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Access</w:t>
      </w:r>
      <w:r>
        <w:t xml:space="preserve"> </w:t>
      </w:r>
      <w:r>
        <w:t xml:space="preserve">Control</w:t>
      </w:r>
      <w:r>
        <w:t xml:space="preserve"> </w:t>
      </w:r>
      <w:r>
        <w:t xml:space="preserve">and</w:t>
      </w:r>
      <w:r>
        <w:t xml:space="preserve"> </w:t>
      </w:r>
      <w:r>
        <w:t xml:space="preserve">Account</w:t>
      </w:r>
      <w:r>
        <w:t xml:space="preserve"> </w:t>
      </w:r>
      <w:r>
        <w:t xml:space="preserve">Lifecycle</w:t>
      </w:r>
    </w:p>
    <w:p>
      <w:pPr>
        <w:pStyle w:val="Subtitle"/>
      </w:pPr>
      <w:r>
        <w:t xml:space="preserve">Engineering</w:t>
      </w:r>
      <w:r>
        <w:t xml:space="preserve"> </w:t>
      </w:r>
      <w:r>
        <w:t xml:space="preserve">Learning</w:t>
      </w:r>
      <w:r>
        <w:t xml:space="preserve"> </w:t>
      </w:r>
      <w:r>
        <w:t xml:space="preserve">Guide</w:t>
      </w:r>
      <w:r>
        <w:t xml:space="preserve"> </w:t>
      </w:r>
      <w:r>
        <w:t xml:space="preserve">·</w:t>
      </w:r>
      <w:r>
        <w:t xml:space="preserve"> </w:t>
      </w:r>
      <w:r>
        <w:t xml:space="preserve">sec-03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Project ID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Purpose of this guide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Last 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sec-03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Prepare the concepts this lab will need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</w:tbl>
    <w:p>
      <w:pPr>
        <w:pStyle w:val="BodyText"/>
      </w:pPr>
      <w:r>
        <w:rPr>
          <w:b/>
        </w:rPr>
        <w:t xml:space="preserve">Labels.</w:t>
      </w:r>
      <w:r>
        <w:t xml:space="preserve"> </w:t>
      </w:r>
      <w:r>
        <w:t xml:space="preserve">These are general explanations. There are no</w:t>
      </w:r>
      <w:r>
        <w:t xml:space="preserve"> </w:t>
      </w:r>
      <w:r>
        <w:t xml:space="preserve">“</w:t>
      </w:r>
      <w:r>
        <w:t xml:space="preserve">Example from your project</w:t>
      </w:r>
      <w:r>
        <w:t xml:space="preserve">”</w:t>
      </w:r>
      <w:r>
        <w:t xml:space="preserve"> </w:t>
      </w:r>
      <w:r>
        <w:t xml:space="preserve">entries because the lab has not been built.</w:t>
      </w:r>
    </w:p>
    <w:p>
      <w:pPr>
        <w:pStyle w:val="Heading1"/>
      </w:pPr>
      <w:bookmarkStart w:id="20" w:name="concepts-this-lab-will-teach"/>
      <w:r>
        <w:t xml:space="preserve">1. Concepts This Lab Will Teach</w:t>
      </w:r>
      <w:bookmarkEnd w:id="20"/>
    </w:p>
    <w:p>
      <w:pPr>
        <w:pStyle w:val="Heading2"/>
      </w:pPr>
      <w:bookmarkStart w:id="21" w:name="least-privilege"/>
      <w:r>
        <w:t xml:space="preserve">Least privilege</w:t>
      </w:r>
      <w:bookmarkEnd w:id="21"/>
    </w:p>
    <w:p>
      <w:pPr>
        <w:pStyle w:val="FirstParagraph"/>
      </w:pPr>
      <w:r>
        <w:rPr>
          <w:b/>
        </w:rPr>
        <w:t xml:space="preserve">Beginner.</w:t>
      </w:r>
      <w:r>
        <w:t xml:space="preserve"> </w:t>
      </w:r>
      <w:r>
        <w:t xml:space="preserve">Give each account only the access its job needs.</w:t>
      </w:r>
    </w:p>
    <w:p>
      <w:pPr>
        <w:pStyle w:val="BodyText"/>
      </w:pPr>
      <w:r>
        <w:rPr>
          <w:b/>
        </w:rPr>
        <w:t xml:space="preserve">Enterprise application.</w:t>
      </w:r>
      <w:r>
        <w:t xml:space="preserve"> </w:t>
      </w:r>
      <w:r>
        <w:t xml:space="preserve">Quarterly access reviews and role-based groups keep permissions from creeping.</w:t>
      </w:r>
    </w:p>
    <w:p>
      <w:pPr>
        <w:pStyle w:val="Heading2"/>
      </w:pPr>
      <w:bookmarkStart w:id="22" w:name="account-lifecycle-joiner-mover-leaver"/>
      <w:r>
        <w:t xml:space="preserve">Account lifecycle (joiner, mover, leaver)</w:t>
      </w:r>
      <w:bookmarkEnd w:id="22"/>
    </w:p>
    <w:p>
      <w:pPr>
        <w:pStyle w:val="FirstParagraph"/>
      </w:pPr>
      <w:r>
        <w:rPr>
          <w:b/>
        </w:rPr>
        <w:t xml:space="preserve">Beginner.</w:t>
      </w:r>
      <w:r>
        <w:t xml:space="preserve"> </w:t>
      </w:r>
      <w:r>
        <w:t xml:space="preserve">Create, change and remove access as people join, change roles and leave.</w:t>
      </w:r>
    </w:p>
    <w:p>
      <w:pPr>
        <w:pStyle w:val="BodyText"/>
      </w:pPr>
      <w:r>
        <w:rPr>
          <w:b/>
        </w:rPr>
        <w:t xml:space="preserve">Enterprise application.</w:t>
      </w:r>
      <w:r>
        <w:t xml:space="preserve"> </w:t>
      </w:r>
      <w:r>
        <w:t xml:space="preserve">Identity governance tools tie lifecycle events to HR records.</w:t>
      </w:r>
    </w:p>
    <w:p>
      <w:pPr>
        <w:pStyle w:val="Heading2"/>
      </w:pPr>
      <w:bookmarkStart w:id="23" w:name="identity-verification-for-recovery"/>
      <w:r>
        <w:t xml:space="preserve">Identity verification for recovery</w:t>
      </w:r>
      <w:bookmarkEnd w:id="23"/>
    </w:p>
    <w:p>
      <w:pPr>
        <w:pStyle w:val="FirstParagraph"/>
      </w:pPr>
      <w:r>
        <w:rPr>
          <w:b/>
        </w:rPr>
        <w:t xml:space="preserve">Beginner.</w:t>
      </w:r>
      <w:r>
        <w:t xml:space="preserve"> </w:t>
      </w:r>
      <w:r>
        <w:t xml:space="preserve">Confirm who is asking before resetting a password or MFA, using a channel the requester does not control.</w:t>
      </w:r>
    </w:p>
    <w:p>
      <w:pPr>
        <w:pStyle w:val="BodyText"/>
      </w:pPr>
      <w:r>
        <w:rPr>
          <w:b/>
        </w:rPr>
        <w:t xml:space="preserve">Enterprise application.</w:t>
      </w:r>
      <w:r>
        <w:t xml:space="preserve"> </w:t>
      </w:r>
      <w:r>
        <w:t xml:space="preserve">Help desks are a common social engineering target; urgency and seniority are classic pressure tactics.</w:t>
      </w:r>
    </w:p>
    <w:p>
      <w:pPr>
        <w:pStyle w:val="Heading2"/>
      </w:pPr>
      <w:bookmarkStart w:id="24" w:name="mfa-enforcement"/>
      <w:r>
        <w:t xml:space="preserve">MFA enforcement</w:t>
      </w:r>
      <w:bookmarkEnd w:id="24"/>
    </w:p>
    <w:p>
      <w:pPr>
        <w:pStyle w:val="FirstParagraph"/>
      </w:pPr>
      <w:r>
        <w:rPr>
          <w:b/>
        </w:rPr>
        <w:t xml:space="preserve">Beginner.</w:t>
      </w:r>
      <w:r>
        <w:t xml:space="preserve"> </w:t>
      </w:r>
      <w:r>
        <w:t xml:space="preserve">Require a second factor; prefer phishing-resistant methods.</w:t>
      </w:r>
    </w:p>
    <w:p>
      <w:pPr>
        <w:pStyle w:val="BodyText"/>
      </w:pPr>
      <w:r>
        <w:rPr>
          <w:b/>
        </w:rPr>
        <w:t xml:space="preserve">Enterprise application.</w:t>
      </w:r>
      <w:r>
        <w:t xml:space="preserve"> </w:t>
      </w:r>
      <w:r>
        <w:t xml:space="preserve">Conditional access policies and Cisco Duo-style enrolment checks.</w:t>
      </w:r>
    </w:p>
    <w:p>
      <w:pPr>
        <w:pStyle w:val="Heading1"/>
      </w:pPr>
      <w:bookmarkStart w:id="25" w:name="X68f97d97b6988a9f1927974b246fa043ceeeab7"/>
      <w:r>
        <w:t xml:space="preserve">2. What You Need to Explain in a Technical Interview</w:t>
      </w:r>
      <w:bookmarkEnd w:id="25"/>
    </w:p>
    <w:p>
      <w:pPr>
        <w:pStyle w:val="FirstParagraph"/>
      </w:pPr>
      <w:r>
        <w:t xml:space="preserve">Each of the concepts above, with an example from the lab once it exists.</w:t>
      </w:r>
    </w:p>
    <w:p>
      <w:pPr>
        <w:pStyle w:val="Heading1"/>
      </w:pPr>
      <w:bookmarkStart w:id="26" w:name="test-your-understanding"/>
      <w:r>
        <w:t xml:space="preserve">Test Your Understanding</w:t>
      </w:r>
      <w:bookmarkEnd w:id="26"/>
    </w:p>
    <w:p>
      <w:pPr>
        <w:numPr>
          <w:ilvl w:val="0"/>
          <w:numId w:val="1001"/>
        </w:numPr>
        <w:pStyle w:val="Compact"/>
      </w:pPr>
      <w:r>
        <w:t xml:space="preserve">Why is urgency from a senior person a red flag in a recovery request?</w:t>
      </w:r>
    </w:p>
    <w:p>
      <w:pPr>
        <w:numPr>
          <w:ilvl w:val="0"/>
          <w:numId w:val="1001"/>
        </w:numPr>
        <w:pStyle w:val="Compact"/>
      </w:pPr>
      <w:r>
        <w:t xml:space="preserve">What should happen to an account on a person’s last day?</w:t>
      </w:r>
    </w:p>
    <w:p>
      <w:pPr>
        <w:numPr>
          <w:ilvl w:val="0"/>
          <w:numId w:val="1001"/>
        </w:numPr>
        <w:pStyle w:val="Compact"/>
      </w:pPr>
      <w:r>
        <w:t xml:space="preserve">How would you find accounts with more access than their role needs?</w:t>
      </w:r>
    </w:p>
    <w:p>
      <w:pPr>
        <w:numPr>
          <w:ilvl w:val="0"/>
          <w:numId w:val="1001"/>
        </w:numPr>
        <w:pStyle w:val="Compact"/>
      </w:pPr>
      <w:r>
        <w:t xml:space="preserve">Which verification channel is safe for an MFA reset, and why?</w:t>
      </w:r>
    </w:p>
    <w:p>
      <w:pPr>
        <w:numPr>
          <w:ilvl w:val="0"/>
          <w:numId w:val="1001"/>
        </w:numPr>
        <w:pStyle w:val="Compact"/>
      </w:pPr>
      <w:r>
        <w:t xml:space="preserve">What should every access approval record contain?</w:t>
      </w:r>
    </w:p>
    <w:sectPr>
      <w:headerReference w:type="default" r:id="rId9"/>
      <w:footerReference w:type="default" r:id="rId10"/>
      <w:pgMar w:left="1296" w:right="1296" w:top="1224" w:bottom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color w:val="6B7280"/>
        <w:sz w:val="16"/>
      </w:rPr>
      <w:t xml:space="preserve">Engineering Learning Guide  ·  Last verified 2026-10-26   ·   Page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7D2EC"/>
      </w:pBdr>
    </w:pPr>
    <w:r/>
    <w:r>
      <w:rPr>
        <w:rFonts w:ascii="Avenir Next" w:hAnsi="Avenir Next"/>
        <w:color w:val="1E3A8A"/>
        <w:sz w:val="15"/>
      </w:rPr>
      <w:t>PROJECT INTELLIGENCE HUB  ·  SEC-03  ·  ACCESS CONTROL AND ACCOUNT LIFECYCLE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BodyText">
    <w:name w:val="Body Text"/>
    <w:basedOn w:val="Normal"/>
    <w:link w:val="BodyTextChar"/>
    <w:pPr>
      <w:spacing w:before="180" w:after="120" w:line="300" w:lineRule="auto"/>
    </w:pPr>
    <w:qFormat/>
    <w:rPr>
      <w:rFonts w:ascii="Helvetica Neue" w:hAnsi="Helvetica Neue" w:cs="Helvetica Neue" w:eastAsia="Helvetica Neue"/>
      <w:color w:val="1F2937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customStyle="1" w:styleId="Compact">
    <w:name w:val="Compact"/>
    <w:basedOn w:val="BodyText"/>
    <w:qFormat/>
    <w:pPr>
      <w:spacing w:before="36" w:after="4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80"/>
      <w:jc w:val="center"/>
    </w:pPr>
    <w:rPr>
      <w:rFonts w:ascii="Avenir Next" w:hAnsi="Avenir Next" w:cs="Avenir Next" w:eastAsia="Avenir Next"/>
      <w:b/>
      <w:bCs/>
      <w:color w:val="0F172A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venir Next" w:hAnsi="Avenir Next" w:cs="Avenir Next" w:eastAsia="Avenir Next"/>
      <w:b w:val="0"/>
      <w:color w:val="6B728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  <w:pBdr>
        <w:bottom w:val="single" w:sz="6" w:space="4" w:color="C7D2EC"/>
      </w:pBdr>
    </w:pPr>
    <w:rPr>
      <w:rFonts w:ascii="Avenir Next" w:hAnsi="Avenir Next" w:cs="Avenir Next" w:eastAsia="Avenir Next"/>
      <w:b/>
      <w:bCs/>
      <w:color w:val="0F172A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="Avenir Next" w:hAnsi="Avenir Next" w:cs="Avenir Next" w:eastAsia="Avenir Next"/>
      <w:b/>
      <w:bCs/>
      <w:color w:val="1E3A8A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60"/>
      <w:outlineLvl w:val="2"/>
    </w:pPr>
    <w:rPr>
      <w:rFonts w:ascii="Avenir Next" w:hAnsi="Avenir Next" w:cs="Avenir Next" w:eastAsia="Avenir Next"/>
      <w:b/>
      <w:bCs/>
      <w:color w:val="0F172A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40"/>
      <w:outlineLvl w:val="3"/>
    </w:pPr>
    <w:rPr>
      <w:rFonts w:ascii="Avenir Next" w:hAnsi="Avenir Next" w:cs="Avenir Next" w:eastAsia="Avenir Next"/>
      <w:i/>
      <w:b/>
      <w:bCs/>
      <w:color w:val="6B7280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288" w:right="480"/>
    </w:pPr>
    <w:rPr>
      <w:rFonts w:ascii="Helvetica Neue" w:hAnsi="Helvetica Neue" w:cs="Helvetica Neue" w:eastAsia="Helvetica Neue"/>
      <w:color w:val="1F2937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Helvetica Neue" w:hAnsi="Helvetica Neue" w:cs="Helvetica Neue" w:eastAsia="Helvetica Neue"/>
      <w:color w:val="6B728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cs="Menlo" w:eastAsia="Menlo"/>
      <w:color w:val="0F172A"/>
      <w:sz w:val="17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E3A8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 Control and Account Lifecycle</dc:title>
  <dc:creator/>
  <cp:keywords/>
  <dcterms:created xsi:type="dcterms:W3CDTF">2026-10-26T04:27:05Z</dcterms:created>
  <dcterms:modified xsi:type="dcterms:W3CDTF">2026-10-26T04:27:05Z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Engineering Learning Guide · sec-03</vt:lpwstr>
  </property>
</Properties>
</file>