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5"/>
          <w:szCs w:val="25"/>
          <w:highlight w:val="white"/>
          <w:rtl w:val="0"/>
        </w:rPr>
        <w:t xml:space="preserve">AIM 7:- Performing one-way ANOVA using aov() (R).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rtl w:val="0"/>
        </w:rPr>
        <w:t xml:space="preserve">AIM 8:- Performing two-way ANOVA using  aov() (R).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rtl w:val="0"/>
        </w:rPr>
        <w:t xml:space="preserve">AIM9:- Conducting Chi-square tests using chisq.test() (R)  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</w:rPr>
        <w:drawing>
          <wp:inline distB="114300" distT="114300" distL="114300" distR="114300">
            <wp:extent cx="5943600" cy="327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highlight w:val="white"/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DANIYAL KHAN 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S088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center"/>
      <w:rPr>
        <w:sz w:val="46"/>
        <w:szCs w:val="46"/>
      </w:rPr>
    </w:pPr>
    <w:r w:rsidDel="00000000" w:rsidR="00000000" w:rsidRPr="00000000">
      <w:rPr>
        <w:sz w:val="46"/>
        <w:szCs w:val="46"/>
      </w:rPr>
      <w:pict>
        <v:shape id="PowerPlusWaterMarkObject1" style="position:absolute;width:592.8174297119178pt;height:69.0345174786909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DANIYAL KHAN S088" style="font-family:&amp;quot;Arial&amp;quot;;font-size:1pt;"/>
        </v:shape>
      </w:pict>
    </w:r>
    <w:r w:rsidDel="00000000" w:rsidR="00000000" w:rsidRPr="00000000">
      <w:rPr>
        <w:sz w:val="46"/>
        <w:szCs w:val="46"/>
        <w:rtl w:val="0"/>
      </w:rPr>
      <w:t xml:space="preserve">SHETH LUJ COLLEGE</w:t>
    </w:r>
  </w:p>
  <w:p w:rsidR="00000000" w:rsidDel="00000000" w:rsidP="00000000" w:rsidRDefault="00000000" w:rsidRPr="00000000" w14:paraId="0000000D">
    <w:pPr>
      <w:jc w:val="center"/>
      <w:rPr>
        <w:sz w:val="34"/>
        <w:szCs w:val="34"/>
      </w:rPr>
    </w:pPr>
    <w:r w:rsidDel="00000000" w:rsidR="00000000" w:rsidRPr="00000000">
      <w:rPr>
        <w:sz w:val="34"/>
        <w:szCs w:val="34"/>
        <w:rtl w:val="0"/>
      </w:rPr>
      <w:t xml:space="preserve">R - PROGRAMMING PRACTICAL M2 7-9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