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Geldium Delinquency Risk – Exploratory Data Analysis (EDA)</w:t>
      </w:r>
    </w:p>
    <w:p>
      <w:pPr>
        <w:pStyle w:val="Heading2"/>
      </w:pPr>
      <w:r>
        <w:t>Step 1: Initial Dataset Review &amp; Key Insights</w:t>
      </w:r>
    </w:p>
    <w:p>
      <w:r>
        <w:t>• Missing values observed in critical variables such as income, credit utilization, and payment history.</w:t>
        <w:br/>
        <w:t>• Inconsistent entries detected in credit utilization (values &gt;100%), indicating data quality issues.</w:t>
        <w:br/>
        <w:t>• Outliers found in loan balance and income, suggesting possible data entry errors or extreme customer cases.</w:t>
        <w:br/>
        <w:t>• Early delinquency risk indicators appear in customers with high credit utilization, prior missed payments, and lower income stability.</w:t>
      </w:r>
    </w:p>
    <w:p>
      <w:r>
        <w:t>Initial data review shows moderate data quality issues that could affect delinquency modeling if left untreated.</w:t>
        <w:br/>
        <w:t>Missing values are concentrated in financially sensitive fields, while some numerical variables show unrealistic ranges.</w:t>
        <w:br/>
        <w:t>These issues should be addressed before building predictive models to ensure fairness and accuracy.</w:t>
      </w:r>
    </w:p>
    <w:p>
      <w:pPr>
        <w:pStyle w:val="Heading2"/>
      </w:pPr>
      <w:r>
        <w:t>Step 2: Missing Data Handling Strategy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Issue</w:t>
            </w:r>
          </w:p>
        </w:tc>
        <w:tc>
          <w:tcPr>
            <w:tcW w:type="dxa" w:w="2880"/>
          </w:tcPr>
          <w:p>
            <w:r>
              <w:t>Treatment Method</w:t>
            </w:r>
          </w:p>
        </w:tc>
        <w:tc>
          <w:tcPr>
            <w:tcW w:type="dxa" w:w="2880"/>
          </w:tcPr>
          <w:p>
            <w:r>
              <w:t>Justification</w:t>
            </w:r>
          </w:p>
        </w:tc>
      </w:tr>
      <w:tr>
        <w:tc>
          <w:tcPr>
            <w:tcW w:type="dxa" w:w="2880"/>
          </w:tcPr>
          <w:p>
            <w:r>
              <w:t>Missing Income</w:t>
            </w:r>
          </w:p>
        </w:tc>
        <w:tc>
          <w:tcPr>
            <w:tcW w:type="dxa" w:w="2880"/>
          </w:tcPr>
          <w:p>
            <w:r>
              <w:t>Median Imputation</w:t>
            </w:r>
          </w:p>
        </w:tc>
        <w:tc>
          <w:tcPr>
            <w:tcW w:type="dxa" w:w="2880"/>
          </w:tcPr>
          <w:p>
            <w:r>
              <w:t>Income is skewed; median reduces outlier impact</w:t>
            </w:r>
          </w:p>
        </w:tc>
      </w:tr>
      <w:tr>
        <w:tc>
          <w:tcPr>
            <w:tcW w:type="dxa" w:w="2880"/>
          </w:tcPr>
          <w:p>
            <w:r>
              <w:t>Missing Credit Utilization</w:t>
            </w:r>
          </w:p>
        </w:tc>
        <w:tc>
          <w:tcPr>
            <w:tcW w:type="dxa" w:w="2880"/>
          </w:tcPr>
          <w:p>
            <w:r>
              <w:t>Model-based / Median Imputation</w:t>
            </w:r>
          </w:p>
        </w:tc>
        <w:tc>
          <w:tcPr>
            <w:tcW w:type="dxa" w:w="2880"/>
          </w:tcPr>
          <w:p>
            <w:r>
              <w:t>Critical predictor; removal may reduce data size</w:t>
            </w:r>
          </w:p>
        </w:tc>
      </w:tr>
      <w:tr>
        <w:tc>
          <w:tcPr>
            <w:tcW w:type="dxa" w:w="2880"/>
          </w:tcPr>
          <w:p>
            <w:r>
              <w:t>Missing Payment History</w:t>
            </w:r>
          </w:p>
        </w:tc>
        <w:tc>
          <w:tcPr>
            <w:tcW w:type="dxa" w:w="2880"/>
          </w:tcPr>
          <w:p>
            <w:r>
              <w:t>Remove Rows</w:t>
            </w:r>
          </w:p>
        </w:tc>
        <w:tc>
          <w:tcPr>
            <w:tcW w:type="dxa" w:w="2880"/>
          </w:tcPr>
          <w:p>
            <w:r>
              <w:t>High-risk variable; missing values reduce reliability</w:t>
            </w:r>
          </w:p>
        </w:tc>
      </w:tr>
    </w:tbl>
    <w:p>
      <w:pPr>
        <w:pStyle w:val="Heading2"/>
      </w:pPr>
      <w:r>
        <w:t>Step 3: Risk Patterns &amp; Indicators</w:t>
      </w:r>
    </w:p>
    <w:p>
      <w:r>
        <w:t>• High credit utilization (&gt;80%) strongly correlates with delinquency risk.</w:t>
        <w:br/>
        <w:t>• Customers with prior missed payments show significantly higher default probability.</w:t>
        <w:br/>
        <w:t>• Low or unstable income is associated with delayed payments.</w:t>
        <w:br/>
        <w:t>• Unexpected trend: some high-income customers still exhibit delinquency, indicating behavioral risk factors.</w:t>
      </w:r>
    </w:p>
    <w:p>
      <w:pPr>
        <w:pStyle w:val="Heading2"/>
      </w:pPr>
      <w:r>
        <w:t>Conclusion</w:t>
      </w:r>
    </w:p>
    <w:p>
      <w:r>
        <w:t>The EDA reveals that delinquency risk is primarily driven by credit behavior rather than demographic factors alone.</w:t>
        <w:br/>
        <w:t>Addressing missing and inconsistent data significantly improves model readiness.</w:t>
        <w:br/>
        <w:t>These insights will help Geldium refine its risk model and target early intervention strategies.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