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3F" w:rsidRDefault="009C05C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C05C5">
        <w:rPr>
          <w:rFonts w:ascii="Times New Roman" w:hAnsi="Times New Roman" w:cs="Times New Roman"/>
          <w:sz w:val="24"/>
          <w:szCs w:val="24"/>
          <w:lang w:val="en-IN"/>
        </w:rPr>
        <w:t>Income Tax</w:t>
      </w:r>
    </w:p>
    <w:p w:rsidR="009C05C5" w:rsidRDefault="009C05C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Assessment year = An year before the current financial year</w:t>
      </w:r>
      <w:r w:rsidR="00AD7D71">
        <w:rPr>
          <w:rFonts w:ascii="Times New Roman" w:hAnsi="Times New Roman" w:cs="Times New Roman"/>
          <w:sz w:val="24"/>
          <w:szCs w:val="24"/>
          <w:lang w:val="en-IN"/>
        </w:rPr>
        <w:t>. For Example, If current financial year is 2023-24 then assessment year would be 2024-25, if current financial year is 2022-23 then assessment year will be 2023-24.</w:t>
      </w:r>
    </w:p>
    <w:p w:rsidR="009C05C5" w:rsidRDefault="009C05C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Income tax is imposed and recovered by Central Government</w:t>
      </w:r>
    </w:p>
    <w:p w:rsidR="009C05C5" w:rsidRDefault="009C05C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always need to find the taxable income. Upon find it we need to apply the respective rates to calculate income tax.</w:t>
      </w:r>
    </w:p>
    <w:p w:rsidR="00046DF6" w:rsidRDefault="00046DF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Surcharges are also involved if income is high. Also Health and Education cess are also applicable.</w:t>
      </w:r>
    </w:p>
    <w:p w:rsidR="009C05C5" w:rsidRPr="009C05C5" w:rsidRDefault="009C05C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9C05C5" w:rsidRPr="009C05C5" w:rsidSect="004A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05C5"/>
    <w:rsid w:val="00046DF6"/>
    <w:rsid w:val="004A073F"/>
    <w:rsid w:val="009C05C5"/>
    <w:rsid w:val="00AD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2023-05-04T05:50:00Z</dcterms:created>
  <dcterms:modified xsi:type="dcterms:W3CDTF">2023-05-05T11:02:00Z</dcterms:modified>
</cp:coreProperties>
</file>