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 Customer Calls Expose Loyalty Program Friction, Driving Avoidable Contacts and Member Dissatisfaction.</w:t>
      </w:r>
    </w:p>
    <w:p>
      <w:r>
        <w:t>16 customer calls expose loyalty program friction points, concentrated in 3 fixable areas, driving avoidable contacts and member dissatisfaction.</w:t>
      </w:r>
    </w:p>
    <w:p>
      <w:pPr>
        <w:spacing w:before="80" w:after="80"/>
        <w:pBdr>
          <w:bottom w:val="single" w:sz="4" w:space="1" w:color="CCCCCC"/>
        </w:pBdr>
      </w:pPr>
    </w:p>
    <w:p>
      <w:pPr>
        <w:pStyle w:val="Heading2"/>
      </w:pPr>
      <w:r>
        <w:t>The Situation</w:t>
      </w:r>
    </w:p>
    <w:p>
      <w:r>
        <w:t>This report analyzes 16 customer calls related to Rewards, specifically for the ATT product. The analysis reveals critical points of friction in the loyalty program experience.</w:t>
      </w:r>
    </w:p>
    <w:p>
      <w:pPr>
        <w:spacing w:before="80" w:after="80"/>
        <w:pBdr>
          <w:bottom w:val="single" w:sz="4" w:space="1" w:color="CCCCCC"/>
        </w:pBdr>
      </w:pPr>
    </w:p>
    <w:p>
      <w:pPr>
        <w:pStyle w:val="Heading2"/>
      </w:pPr>
      <w:r>
        <w:t>Pain Point 1: Partner Transfer Delays Generate 4 Calls</w:t>
      </w:r>
    </w:p>
    <w:p>
      <w:r>
        <w:rPr>
          <w:b/>
        </w:rPr>
        <w:t>What's happening:</w:t>
      </w:r>
      <w:r>
        <w:t xml:space="preserve"> Customers are experiencing significant delays in points being transferred from partners, exceeding expected processing times and lacking visibility into transfer status.</w:t>
      </w:r>
    </w:p>
    <w:p>
      <w:r>
        <w:rPr>
          <w:b/>
        </w:rPr>
        <w:t>The evidence:</w:t>
      </w:r>
      <w:r>
        <w:t xml:space="preserve"> 4 customer calls explicitly cite delays in partner point transfers and a lack of status updates.</w:t>
      </w:r>
    </w:p>
    <w:p>
      <w:r>
        <w:rPr>
          <w:b/>
        </w:rPr>
        <w:t>Call volume:</w:t>
      </w:r>
      <w:r>
        <w:t xml:space="preserve"> 4 calls | 25% of total</w:t>
      </w:r>
    </w:p>
    <w:p>
      <w:r>
        <w:rPr>
          <w:b/>
        </w:rPr>
        <w:t>The fix:</w:t>
      </w:r>
      <w:r>
        <w:t xml:space="preserve"> Automate partner transfer processing to ensure completion within 24 hours and provide real-time status updates.</w:t>
      </w:r>
    </w:p>
    <w:p>
      <w:pPr>
        <w:spacing w:before="80" w:after="80"/>
        <w:pBdr>
          <w:bottom w:val="single" w:sz="4" w:space="1" w:color="CCCCCC"/>
        </w:pBdr>
      </w:pPr>
    </w:p>
    <w:p>
      <w:pPr>
        <w:pStyle w:val="Heading2"/>
      </w:pPr>
      <w:r>
        <w:t>Pain Point 2: Missing Promotional Points Generate 3 Calls</w:t>
      </w:r>
    </w:p>
    <w:p>
      <w:r>
        <w:rPr>
          <w:b/>
        </w:rPr>
        <w:t>What's happening:</w:t>
      </w:r>
      <w:r>
        <w:t xml:space="preserve"> Customers are not receiving promotional points as expected and lack a digital way to track their progress towards bonuses or see when points will be credited.</w:t>
      </w:r>
    </w:p>
    <w:p>
      <w:r>
        <w:rPr>
          <w:b/>
        </w:rPr>
        <w:t>The evidence:</w:t>
      </w:r>
      <w:r>
        <w:t xml:space="preserve"> 3 customer calls are about missing promotional points and the absence of tracking or explanation.</w:t>
      </w:r>
    </w:p>
    <w:p>
      <w:r>
        <w:rPr>
          <w:b/>
        </w:rPr>
        <w:t>Call volume:</w:t>
      </w:r>
      <w:r>
        <w:t xml:space="preserve"> 3 calls | 18.75% of total</w:t>
      </w:r>
    </w:p>
    <w:p>
      <w:r>
        <w:rPr>
          <w:b/>
        </w:rPr>
        <w:t>The fix:</w:t>
      </w:r>
      <w:r>
        <w:t xml:space="preserve"> Implement an in-app promotional offer tracker showing progress towards bonuses and estimated posting dates.</w:t>
      </w:r>
    </w:p>
    <w:p>
      <w:pPr>
        <w:spacing w:before="80" w:after="80"/>
        <w:pBdr>
          <w:bottom w:val="single" w:sz="4" w:space="1" w:color="CCCCCC"/>
        </w:pBdr>
      </w:pPr>
    </w:p>
    <w:p>
      <w:pPr>
        <w:pStyle w:val="Heading2"/>
      </w:pPr>
      <w:r>
        <w:t>Pain Point 3: Uncredited Points Generate 3 Calls</w:t>
      </w:r>
    </w:p>
    <w:p>
      <w:r>
        <w:rPr>
          <w:b/>
        </w:rPr>
        <w:t>What's happening:</w:t>
      </w:r>
      <w:r>
        <w:t xml:space="preserve"> Earned points are not being credited to customer accounts in a timely manner, and customers cannot see pending points or estimated posting dates for recent transactions.</w:t>
      </w:r>
    </w:p>
    <w:p>
      <w:r>
        <w:rPr>
          <w:b/>
        </w:rPr>
        <w:t>The evidence:</w:t>
      </w:r>
      <w:r>
        <w:t xml:space="preserve"> 3 customer calls indicate points are not credited as expected, with no visibility into pending transactions.</w:t>
      </w:r>
    </w:p>
    <w:p>
      <w:r>
        <w:rPr>
          <w:b/>
        </w:rPr>
        <w:t>Call volume:</w:t>
      </w:r>
      <w:r>
        <w:t xml:space="preserve"> 3 calls | 18.75% of total</w:t>
      </w:r>
    </w:p>
    <w:p>
      <w:r>
        <w:rPr>
          <w:b/>
        </w:rPr>
        <w:t>The fix:</w:t>
      </w:r>
      <w:r>
        <w:t xml:space="preserve"> Display pending points balance and estimated posting dates for recent transactions in the rewards dashboard.</w:t>
      </w:r>
    </w:p>
    <w:p>
      <w:pPr>
        <w:spacing w:before="80" w:after="80"/>
        <w:pBdr>
          <w:bottom w:val="single" w:sz="4" w:space="1" w:color="CCCCCC"/>
        </w:pBdr>
      </w:pPr>
    </w:p>
    <w:p>
      <w:pPr>
        <w:pStyle w:val="Heading2"/>
      </w:pPr>
      <w:r>
        <w:t>Start Monday: Quick Wins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Why It's Fast</w:t>
            </w:r>
          </w:p>
        </w:tc>
      </w:tr>
      <w:tr>
        <w:tc>
          <w:tcPr>
            <w:tcW w:type="dxa" w:w="2340"/>
          </w:tcPr>
          <w:p>
            <w:r>
              <w:rPr>
                <w:rFonts w:ascii="Calibri" w:hAnsi="Calibri"/>
                <w:sz w:val="20"/>
              </w:rPr>
            </w:r>
            <w:r>
              <w:rPr>
                <w:rFonts w:ascii="Calibri" w:hAnsi="Calibri"/>
                <w:sz w:val="20"/>
              </w:rPr>
              <w:t>Implement an in-app promotional offer tracker showing progress towards bonus and estimated posting date.</w:t>
            </w:r>
          </w:p>
        </w:tc>
        <w:tc>
          <w:tcPr>
            <w:tcW w:type="dxa" w:w="2340"/>
          </w:tcPr>
          <w:p>
            <w:r>
              <w:rPr>
                <w:rFonts w:ascii="Calibri" w:hAnsi="Calibri"/>
                <w:sz w:val="20"/>
              </w:rPr>
            </w:r>
            <w:r>
              <w:rPr>
                <w:rFonts w:ascii="Calibri" w:hAnsi="Calibri"/>
                <w:sz w:val="20"/>
              </w:rPr>
              <w:t>Promotional Points Missing</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Leverages existing digital infrastructure for new display.</w:t>
            </w:r>
          </w:p>
        </w:tc>
      </w:tr>
      <w:tr>
        <w:tc>
          <w:tcPr>
            <w:tcW w:type="dxa" w:w="2340"/>
            <w:shd w:fill="F2F6FA" w:val="clear"/>
          </w:tcPr>
          <w:p>
            <w:r>
              <w:rPr>
                <w:rFonts w:ascii="Calibri" w:hAnsi="Calibri"/>
                <w:sz w:val="20"/>
              </w:rPr>
            </w:r>
            <w:r>
              <w:rPr>
                <w:rFonts w:ascii="Calibri" w:hAnsi="Calibri"/>
                <w:sz w:val="20"/>
              </w:rPr>
              <w:t>Display pending points balance and estimated posting dates for recent transactions in the rewards dashboard.</w:t>
            </w:r>
          </w:p>
        </w:tc>
        <w:tc>
          <w:tcPr>
            <w:tcW w:type="dxa" w:w="2340"/>
            <w:shd w:fill="F2F6FA" w:val="clear"/>
          </w:tcPr>
          <w:p>
            <w:r>
              <w:rPr>
                <w:rFonts w:ascii="Calibri" w:hAnsi="Calibri"/>
                <w:sz w:val="20"/>
              </w:rPr>
            </w:r>
            <w:r>
              <w:rPr>
                <w:rFonts w:ascii="Calibri" w:hAnsi="Calibri"/>
                <w:sz w:val="20"/>
              </w:rPr>
              <w:t>Points Not Credited</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Simple UI update to provide immediate transparency.</w:t>
            </w:r>
          </w:p>
        </w:tc>
      </w:tr>
      <w:tr>
        <w:tc>
          <w:tcPr>
            <w:tcW w:type="dxa" w:w="2340"/>
          </w:tcPr>
          <w:p>
            <w:r>
              <w:rPr>
                <w:rFonts w:ascii="Calibri" w:hAnsi="Calibri"/>
                <w:sz w:val="20"/>
              </w:rPr>
            </w:r>
            <w:r>
              <w:rPr>
                <w:rFonts w:ascii="Calibri" w:hAnsi="Calibri"/>
                <w:sz w:val="20"/>
              </w:rPr>
              <w:t>Clearly display minimum redemption thresholds on the rewards dashboard and within the redemption flow; show 'You need X more points to redeem' message.</w:t>
            </w:r>
          </w:p>
        </w:tc>
        <w:tc>
          <w:tcPr>
            <w:tcW w:type="dxa" w:w="2340"/>
          </w:tcPr>
          <w:p>
            <w:r>
              <w:rPr>
                <w:rFonts w:ascii="Calibri" w:hAnsi="Calibri"/>
                <w:sz w:val="20"/>
              </w:rPr>
            </w:r>
            <w:r>
              <w:rPr>
                <w:rFonts w:ascii="Calibri" w:hAnsi="Calibri"/>
                <w:sz w:val="20"/>
              </w:rPr>
              <w:t>Redemption Minimum Too High</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Front-end content update to clarify redemption rules.</w:t>
            </w:r>
          </w:p>
        </w:tc>
      </w:tr>
    </w:tbl>
    <w:p/>
    <w:p>
      <w:pPr>
        <w:spacing w:before="80" w:after="80"/>
        <w:pBdr>
          <w:bottom w:val="single" w:sz="4" w:space="1" w:color="CCCCCC"/>
        </w:pBdr>
      </w:pPr>
    </w:p>
    <w:p>
      <w:pPr>
        <w:pStyle w:val="Heading1"/>
      </w:pPr>
      <w:r>
        <w:t>Where to Act First</w:t>
      </w:r>
    </w:p>
    <w:p>
      <w:r>
        <w:t>Not all problems are equal. Not all fixes are equal. This matrix surfaces where limited effort yields the greatest call deflection.</w:t>
      </w:r>
    </w:p>
    <w:p>
      <w:pPr>
        <w:spacing w:before="80" w:after="80"/>
        <w:pBdr>
          <w:bottom w:val="single" w:sz="4" w:space="1" w:color="CCCCCC"/>
        </w:pBdr>
      </w:pPr>
    </w:p>
    <w:p>
      <w:pPr>
        <w:pStyle w:val="Heading2"/>
      </w:pPr>
      <w:r>
        <w:t>Impact vs. Ease: Prioritization Matrix</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03B70" w:val="clear"/>
          </w:tcPr>
          <w:p>
            <w:pPr>
              <w:jc w:val="center"/>
            </w:pPr>
            <w:r>
              <w:rPr>
                <w:b/>
                <w:color w:val="FFFFFF"/>
                <w:sz w:val="20"/>
              </w:rPr>
            </w:r>
            <w:r>
              <w:rPr>
                <w:b/>
                <w:color w:val="FFFFFF"/>
                <w:sz w:val="20"/>
              </w:rPr>
              <w:t>Theme</w:t>
            </w:r>
          </w:p>
        </w:tc>
        <w:tc>
          <w:tcPr>
            <w:tcW w:type="dxa" w:w="1337"/>
            <w:shd w:fill="003B70" w:val="clear"/>
          </w:tcPr>
          <w:p>
            <w:pPr>
              <w:jc w:val="center"/>
            </w:pPr>
            <w:r>
              <w:rPr>
                <w:b/>
                <w:color w:val="FFFFFF"/>
                <w:sz w:val="20"/>
              </w:rPr>
            </w:r>
            <w:r>
              <w:rPr>
                <w:b/>
                <w:color w:val="FFFFFF"/>
                <w:sz w:val="20"/>
              </w:rPr>
              <w:t>Volume (calls)</w:t>
            </w:r>
          </w:p>
        </w:tc>
        <w:tc>
          <w:tcPr>
            <w:tcW w:type="dxa" w:w="1337"/>
            <w:shd w:fill="003B70" w:val="clear"/>
          </w:tcPr>
          <w:p>
            <w:pPr>
              <w:jc w:val="center"/>
            </w:pPr>
            <w:r>
              <w:rPr>
                <w:b/>
                <w:color w:val="FFFFFF"/>
                <w:sz w:val="20"/>
              </w:rPr>
            </w:r>
            <w:r>
              <w:rPr>
                <w:b/>
                <w:color w:val="FFFFFF"/>
                <w:sz w:val="20"/>
              </w:rPr>
              <w:t>Top 3 Problems</w:t>
            </w:r>
          </w:p>
        </w:tc>
        <w:tc>
          <w:tcPr>
            <w:tcW w:type="dxa" w:w="1337"/>
            <w:shd w:fill="003B70" w:val="clear"/>
          </w:tcPr>
          <w:p>
            <w:pPr>
              <w:jc w:val="center"/>
            </w:pPr>
            <w:r>
              <w:rPr>
                <w:b/>
                <w:color w:val="FFFFFF"/>
                <w:sz w:val="20"/>
              </w:rPr>
            </w:r>
            <w:r>
              <w:rPr>
                <w:b/>
                <w:color w:val="FFFFFF"/>
                <w:sz w:val="20"/>
              </w:rPr>
              <w:t>Recommended Solutions</w:t>
            </w:r>
          </w:p>
        </w:tc>
        <w:tc>
          <w:tcPr>
            <w:tcW w:type="dxa" w:w="1337"/>
            <w:shd w:fill="003B70" w:val="clear"/>
          </w:tcPr>
          <w:p>
            <w:pPr>
              <w:jc w:val="center"/>
            </w:pPr>
            <w:r>
              <w:rPr>
                <w:b/>
                <w:color w:val="FFFFFF"/>
                <w:sz w:val="20"/>
              </w:rPr>
            </w:r>
            <w:r>
              <w:rPr>
                <w:b/>
                <w:color w:val="FFFFFF"/>
                <w:sz w:val="20"/>
              </w:rPr>
              <w:t>Ease (1–10)</w:t>
            </w:r>
          </w:p>
        </w:tc>
        <w:tc>
          <w:tcPr>
            <w:tcW w:type="dxa" w:w="1337"/>
            <w:shd w:fill="003B70" w:val="clear"/>
          </w:tcPr>
          <w:p>
            <w:pPr>
              <w:jc w:val="center"/>
            </w:pPr>
            <w:r>
              <w:rPr>
                <w:b/>
                <w:color w:val="FFFFFF"/>
                <w:sz w:val="20"/>
              </w:rPr>
            </w:r>
            <w:r>
              <w:rPr>
                <w:b/>
                <w:color w:val="FFFFFF"/>
                <w:sz w:val="20"/>
              </w:rPr>
              <w:t>Impact (1–10)</w:t>
            </w:r>
          </w:p>
        </w:tc>
        <w:tc>
          <w:tcPr>
            <w:tcW w:type="dxa" w:w="1337"/>
            <w:shd w:fill="003B70" w:val="clear"/>
          </w:tcPr>
          <w:p>
            <w:pPr>
              <w:jc w:val="center"/>
            </w:pPr>
            <w:r>
              <w:rPr>
                <w:b/>
                <w:color w:val="FFFFFF"/>
                <w:sz w:val="20"/>
              </w:rPr>
            </w:r>
            <w:r>
              <w:rPr>
                <w:b/>
                <w:color w:val="FFFFFF"/>
                <w:sz w:val="20"/>
              </w:rPr>
              <w:t>Priority Score</w:t>
            </w:r>
          </w:p>
        </w:tc>
      </w:tr>
      <w:tr>
        <w:tc>
          <w:tcPr>
            <w:tcW w:type="dxa" w:w="1337"/>
          </w:tcPr>
          <w:p>
            <w:r>
              <w:rPr>
                <w:rFonts w:ascii="Calibri" w:hAnsi="Calibri"/>
                <w:sz w:val="20"/>
              </w:rPr>
            </w:r>
            <w:r>
              <w:rPr>
                <w:rFonts w:ascii="Calibri" w:hAnsi="Calibri"/>
                <w:sz w:val="20"/>
              </w:rPr>
              <w:t>Tier Downgrade Surprise</w:t>
            </w:r>
          </w:p>
        </w:tc>
        <w:tc>
          <w:tcPr>
            <w:tcW w:type="dxa" w:w="1337"/>
          </w:tcPr>
          <w:p>
            <w:r>
              <w:rPr>
                <w:rFonts w:ascii="Calibri" w:hAnsi="Calibri"/>
                <w:sz w:val="20"/>
              </w:rPr>
            </w:r>
            <w:r>
              <w:rPr>
                <w:rFonts w:ascii="Calibri" w:hAnsi="Calibri"/>
                <w:sz w:val="20"/>
              </w:rPr>
              <w:t>1</w:t>
            </w:r>
          </w:p>
        </w:tc>
        <w:tc>
          <w:tcPr>
            <w:tcW w:type="dxa" w:w="1337"/>
          </w:tcPr>
          <w:p>
            <w:r>
              <w:rPr>
                <w:rFonts w:ascii="Calibri" w:hAnsi="Calibri"/>
                <w:sz w:val="20"/>
              </w:rPr>
            </w:r>
            <w:r>
              <w:rPr>
                <w:rFonts w:ascii="Calibri" w:hAnsi="Calibri"/>
                <w:sz w:val="20"/>
              </w:rPr>
              <w:t>Customers are surprised by tier downgrades, insufficient prior notification, untimely communication</w:t>
            </w:r>
          </w:p>
        </w:tc>
        <w:tc>
          <w:tcPr>
            <w:tcW w:type="dxa" w:w="1337"/>
          </w:tcPr>
          <w:p>
            <w:r>
              <w:rPr>
                <w:rFonts w:ascii="Calibri" w:hAnsi="Calibri"/>
                <w:sz w:val="20"/>
              </w:rPr>
            </w:r>
            <w:r>
              <w:rPr>
                <w:rFonts w:ascii="Calibri" w:hAnsi="Calibri"/>
                <w:sz w:val="20"/>
              </w:rPr>
              <w:t>Implement in-app tier progress tracker, 60-day advance notifications, in-app tier progress dashboard</w:t>
            </w:r>
          </w:p>
        </w:tc>
        <w:tc>
          <w:tcPr>
            <w:tcW w:type="dxa" w:w="1337"/>
          </w:tcPr>
          <w:p>
            <w:r>
              <w:rPr>
                <w:rFonts w:ascii="Calibri" w:hAnsi="Calibri"/>
                <w:sz w:val="20"/>
              </w:rPr>
            </w:r>
            <w:r>
              <w:rPr>
                <w:rFonts w:ascii="Calibri" w:hAnsi="Calibri"/>
                <w:sz w:val="20"/>
              </w:rPr>
              <w:t>6.31</w:t>
            </w:r>
          </w:p>
        </w:tc>
        <w:tc>
          <w:tcPr>
            <w:tcW w:type="dxa" w:w="1337"/>
          </w:tcPr>
          <w:p>
            <w:r>
              <w:rPr>
                <w:rFonts w:ascii="Calibri" w:hAnsi="Calibri"/>
                <w:sz w:val="20"/>
              </w:rPr>
            </w:r>
            <w:r>
              <w:rPr>
                <w:rFonts w:ascii="Calibri" w:hAnsi="Calibri"/>
                <w:sz w:val="20"/>
              </w:rPr>
              <w:t>9.0</w:t>
            </w:r>
          </w:p>
        </w:tc>
        <w:tc>
          <w:tcPr>
            <w:tcW w:type="dxa" w:w="1337"/>
          </w:tcPr>
          <w:p>
            <w:r>
              <w:rPr>
                <w:rFonts w:ascii="Calibri" w:hAnsi="Calibri"/>
                <w:sz w:val="20"/>
              </w:rPr>
            </w:r>
            <w:r>
              <w:rPr>
                <w:rFonts w:ascii="Calibri" w:hAnsi="Calibri"/>
                <w:sz w:val="20"/>
              </w:rPr>
              <w:t>7.924</w:t>
            </w:r>
          </w:p>
        </w:tc>
      </w:tr>
      <w:tr>
        <w:tc>
          <w:tcPr>
            <w:tcW w:type="dxa" w:w="1337"/>
            <w:shd w:fill="F2F6FA" w:val="clear"/>
          </w:tcPr>
          <w:p>
            <w:r>
              <w:rPr>
                <w:rFonts w:ascii="Calibri" w:hAnsi="Calibri"/>
                <w:sz w:val="20"/>
              </w:rPr>
            </w:r>
            <w:r>
              <w:rPr>
                <w:rFonts w:ascii="Calibri" w:hAnsi="Calibri"/>
                <w:sz w:val="20"/>
              </w:rPr>
              <w:t>Promotional Points Missing</w:t>
            </w:r>
          </w:p>
        </w:tc>
        <w:tc>
          <w:tcPr>
            <w:tcW w:type="dxa" w:w="1337"/>
            <w:shd w:fill="F2F6FA" w:val="clear"/>
          </w:tcPr>
          <w:p>
            <w:r>
              <w:rPr>
                <w:rFonts w:ascii="Calibri" w:hAnsi="Calibri"/>
                <w:sz w:val="20"/>
              </w:rPr>
            </w:r>
            <w:r>
              <w:rPr>
                <w:rFonts w:ascii="Calibri" w:hAnsi="Calibri"/>
                <w:sz w:val="20"/>
              </w:rPr>
              <w:t>3</w:t>
            </w:r>
          </w:p>
        </w:tc>
        <w:tc>
          <w:tcPr>
            <w:tcW w:type="dxa" w:w="1337"/>
            <w:shd w:fill="F2F6FA" w:val="clear"/>
          </w:tcPr>
          <w:p>
            <w:r>
              <w:rPr>
                <w:rFonts w:ascii="Calibri" w:hAnsi="Calibri"/>
                <w:sz w:val="20"/>
              </w:rPr>
            </w:r>
            <w:r>
              <w:rPr>
                <w:rFonts w:ascii="Calibri" w:hAnsi="Calibri"/>
                <w:sz w:val="20"/>
              </w:rPr>
              <w:t>Missing promotional points, lack of digital tracking, no visibility into status</w:t>
            </w:r>
          </w:p>
        </w:tc>
        <w:tc>
          <w:tcPr>
            <w:tcW w:type="dxa" w:w="1337"/>
            <w:shd w:fill="F2F6FA" w:val="clear"/>
          </w:tcPr>
          <w:p>
            <w:r>
              <w:rPr>
                <w:rFonts w:ascii="Calibri" w:hAnsi="Calibri"/>
                <w:sz w:val="20"/>
              </w:rPr>
            </w:r>
            <w:r>
              <w:rPr>
                <w:rFonts w:ascii="Calibri" w:hAnsi="Calibri"/>
                <w:sz w:val="20"/>
              </w:rPr>
              <w:t>Implement in-app promotional offer tracker, send notification when points credited</w:t>
            </w:r>
          </w:p>
        </w:tc>
        <w:tc>
          <w:tcPr>
            <w:tcW w:type="dxa" w:w="1337"/>
            <w:shd w:fill="F2F6FA" w:val="clear"/>
          </w:tcPr>
          <w:p>
            <w:r>
              <w:rPr>
                <w:rFonts w:ascii="Calibri" w:hAnsi="Calibri"/>
                <w:sz w:val="20"/>
              </w:rPr>
            </w:r>
            <w:r>
              <w:rPr>
                <w:rFonts w:ascii="Calibri" w:hAnsi="Calibri"/>
                <w:sz w:val="20"/>
              </w:rPr>
              <w:t>7.33</w:t>
            </w:r>
          </w:p>
        </w:tc>
        <w:tc>
          <w:tcPr>
            <w:tcW w:type="dxa" w:w="1337"/>
            <w:shd w:fill="F2F6FA" w:val="clear"/>
          </w:tcPr>
          <w:p>
            <w:r>
              <w:rPr>
                <w:rFonts w:ascii="Calibri" w:hAnsi="Calibri"/>
                <w:sz w:val="20"/>
              </w:rPr>
            </w:r>
            <w:r>
              <w:rPr>
                <w:rFonts w:ascii="Calibri" w:hAnsi="Calibri"/>
                <w:sz w:val="20"/>
              </w:rPr>
              <w:t>8.0</w:t>
            </w:r>
          </w:p>
        </w:tc>
        <w:tc>
          <w:tcPr>
            <w:tcW w:type="dxa" w:w="1337"/>
            <w:shd w:fill="F2F6FA" w:val="clear"/>
          </w:tcPr>
          <w:p>
            <w:r>
              <w:rPr>
                <w:rFonts w:ascii="Calibri" w:hAnsi="Calibri"/>
                <w:sz w:val="20"/>
              </w:rPr>
            </w:r>
            <w:r>
              <w:rPr>
                <w:rFonts w:ascii="Calibri" w:hAnsi="Calibri"/>
                <w:sz w:val="20"/>
              </w:rPr>
              <w:t>7.732</w:t>
            </w:r>
          </w:p>
        </w:tc>
      </w:tr>
      <w:tr>
        <w:tc>
          <w:tcPr>
            <w:tcW w:type="dxa" w:w="1337"/>
          </w:tcPr>
          <w:p>
            <w:r>
              <w:rPr>
                <w:rFonts w:ascii="Calibri" w:hAnsi="Calibri"/>
                <w:sz w:val="20"/>
              </w:rPr>
            </w:r>
            <w:r>
              <w:rPr>
                <w:rFonts w:ascii="Calibri" w:hAnsi="Calibri"/>
                <w:sz w:val="20"/>
              </w:rPr>
              <w:t>Partner Transfer Delay</w:t>
            </w:r>
          </w:p>
        </w:tc>
        <w:tc>
          <w:tcPr>
            <w:tcW w:type="dxa" w:w="1337"/>
          </w:tcPr>
          <w:p>
            <w:r>
              <w:rPr>
                <w:rFonts w:ascii="Calibri" w:hAnsi="Calibri"/>
                <w:sz w:val="20"/>
              </w:rPr>
            </w:r>
            <w:r>
              <w:rPr>
                <w:rFonts w:ascii="Calibri" w:hAnsi="Calibri"/>
                <w:sz w:val="20"/>
              </w:rPr>
              <w:t>4</w:t>
            </w:r>
          </w:p>
        </w:tc>
        <w:tc>
          <w:tcPr>
            <w:tcW w:type="dxa" w:w="1337"/>
          </w:tcPr>
          <w:p>
            <w:r>
              <w:rPr>
                <w:rFonts w:ascii="Calibri" w:hAnsi="Calibri"/>
                <w:sz w:val="20"/>
              </w:rPr>
            </w:r>
            <w:r>
              <w:rPr>
                <w:rFonts w:ascii="Calibri" w:hAnsi="Calibri"/>
                <w:sz w:val="20"/>
              </w:rPr>
              <w:t>Delays in partner point transfers, lack of visibility into transfer status, no estimated completion time</w:t>
            </w:r>
          </w:p>
        </w:tc>
        <w:tc>
          <w:tcPr>
            <w:tcW w:type="dxa" w:w="1337"/>
          </w:tcPr>
          <w:p>
            <w:r>
              <w:rPr>
                <w:rFonts w:ascii="Calibri" w:hAnsi="Calibri"/>
                <w:sz w:val="20"/>
              </w:rPr>
            </w:r>
            <w:r>
              <w:rPr>
                <w:rFonts w:ascii="Calibri" w:hAnsi="Calibri"/>
                <w:sz w:val="20"/>
              </w:rPr>
              <w:t>Automate partner transfer processing, provide real-time status tracker, proactive notifications</w:t>
            </w:r>
          </w:p>
        </w:tc>
        <w:tc>
          <w:tcPr>
            <w:tcW w:type="dxa" w:w="1337"/>
          </w:tcPr>
          <w:p>
            <w:r>
              <w:rPr>
                <w:rFonts w:ascii="Calibri" w:hAnsi="Calibri"/>
                <w:sz w:val="20"/>
              </w:rPr>
            </w:r>
            <w:r>
              <w:rPr>
                <w:rFonts w:ascii="Calibri" w:hAnsi="Calibri"/>
                <w:sz w:val="20"/>
              </w:rPr>
              <w:t>6.65</w:t>
            </w:r>
          </w:p>
        </w:tc>
        <w:tc>
          <w:tcPr>
            <w:tcW w:type="dxa" w:w="1337"/>
          </w:tcPr>
          <w:p>
            <w:r>
              <w:rPr>
                <w:rFonts w:ascii="Calibri" w:hAnsi="Calibri"/>
                <w:sz w:val="20"/>
              </w:rPr>
            </w:r>
            <w:r>
              <w:rPr>
                <w:rFonts w:ascii="Calibri" w:hAnsi="Calibri"/>
                <w:sz w:val="20"/>
              </w:rPr>
              <w:t>8.35</w:t>
            </w:r>
          </w:p>
        </w:tc>
        <w:tc>
          <w:tcPr>
            <w:tcW w:type="dxa" w:w="1337"/>
          </w:tcPr>
          <w:p>
            <w:r>
              <w:rPr>
                <w:rFonts w:ascii="Calibri" w:hAnsi="Calibri"/>
                <w:sz w:val="20"/>
              </w:rPr>
            </w:r>
            <w:r>
              <w:rPr>
                <w:rFonts w:ascii="Calibri" w:hAnsi="Calibri"/>
                <w:sz w:val="20"/>
              </w:rPr>
              <w:t>7.67</w:t>
            </w:r>
          </w:p>
        </w:tc>
      </w:tr>
      <w:tr>
        <w:tc>
          <w:tcPr>
            <w:tcW w:type="dxa" w:w="1337"/>
            <w:shd w:fill="F2F6FA" w:val="clear"/>
          </w:tcPr>
          <w:p>
            <w:r>
              <w:rPr>
                <w:rFonts w:ascii="Calibri" w:hAnsi="Calibri"/>
                <w:sz w:val="20"/>
              </w:rPr>
            </w:r>
            <w:r>
              <w:rPr>
                <w:rFonts w:ascii="Calibri" w:hAnsi="Calibri"/>
                <w:sz w:val="20"/>
              </w:rPr>
              <w:t>Points Not Credited</w:t>
            </w:r>
          </w:p>
        </w:tc>
        <w:tc>
          <w:tcPr>
            <w:tcW w:type="dxa" w:w="1337"/>
            <w:shd w:fill="F2F6FA" w:val="clear"/>
          </w:tcPr>
          <w:p>
            <w:r>
              <w:rPr>
                <w:rFonts w:ascii="Calibri" w:hAnsi="Calibri"/>
                <w:sz w:val="20"/>
              </w:rPr>
            </w:r>
            <w:r>
              <w:rPr>
                <w:rFonts w:ascii="Calibri" w:hAnsi="Calibri"/>
                <w:sz w:val="20"/>
              </w:rPr>
              <w:t>3</w:t>
            </w:r>
          </w:p>
        </w:tc>
        <w:tc>
          <w:tcPr>
            <w:tcW w:type="dxa" w:w="1337"/>
            <w:shd w:fill="F2F6FA" w:val="clear"/>
          </w:tcPr>
          <w:p>
            <w:r>
              <w:rPr>
                <w:rFonts w:ascii="Calibri" w:hAnsi="Calibri"/>
                <w:sz w:val="20"/>
              </w:rPr>
            </w:r>
            <w:r>
              <w:rPr>
                <w:rFonts w:ascii="Calibri" w:hAnsi="Calibri"/>
                <w:sz w:val="20"/>
              </w:rPr>
              <w:t>Points not credited as expected, cannot see pending points, lack of notification or explanation</w:t>
            </w:r>
          </w:p>
        </w:tc>
        <w:tc>
          <w:tcPr>
            <w:tcW w:type="dxa" w:w="1337"/>
            <w:shd w:fill="F2F6FA" w:val="clear"/>
          </w:tcPr>
          <w:p>
            <w:r>
              <w:rPr>
                <w:rFonts w:ascii="Calibri" w:hAnsi="Calibri"/>
                <w:sz w:val="20"/>
              </w:rPr>
            </w:r>
            <w:r>
              <w:rPr>
                <w:rFonts w:ascii="Calibri" w:hAnsi="Calibri"/>
                <w:sz w:val="20"/>
              </w:rPr>
              <w:t>Display pending points balance, send push notification within 1 hour of posting, automate points crediting</w:t>
            </w:r>
          </w:p>
        </w:tc>
        <w:tc>
          <w:tcPr>
            <w:tcW w:type="dxa" w:w="1337"/>
            <w:shd w:fill="F2F6FA" w:val="clear"/>
          </w:tcPr>
          <w:p>
            <w:r>
              <w:rPr>
                <w:rFonts w:ascii="Calibri" w:hAnsi="Calibri"/>
                <w:sz w:val="20"/>
              </w:rPr>
            </w:r>
            <w:r>
              <w:rPr>
                <w:rFonts w:ascii="Calibri" w:hAnsi="Calibri"/>
                <w:sz w:val="20"/>
              </w:rPr>
              <w:t>7.67</w:t>
            </w:r>
          </w:p>
        </w:tc>
        <w:tc>
          <w:tcPr>
            <w:tcW w:type="dxa" w:w="1337"/>
            <w:shd w:fill="F2F6FA" w:val="clear"/>
          </w:tcPr>
          <w:p>
            <w:r>
              <w:rPr>
                <w:rFonts w:ascii="Calibri" w:hAnsi="Calibri"/>
                <w:sz w:val="20"/>
              </w:rPr>
            </w:r>
            <w:r>
              <w:rPr>
                <w:rFonts w:ascii="Calibri" w:hAnsi="Calibri"/>
                <w:sz w:val="20"/>
              </w:rPr>
              <w:t>7.67</w:t>
            </w:r>
          </w:p>
        </w:tc>
        <w:tc>
          <w:tcPr>
            <w:tcW w:type="dxa" w:w="1337"/>
            <w:shd w:fill="F2F6FA" w:val="clear"/>
          </w:tcPr>
          <w:p>
            <w:r>
              <w:rPr>
                <w:rFonts w:ascii="Calibri" w:hAnsi="Calibri"/>
                <w:sz w:val="20"/>
              </w:rPr>
            </w:r>
            <w:r>
              <w:rPr>
                <w:rFonts w:ascii="Calibri" w:hAnsi="Calibri"/>
                <w:sz w:val="20"/>
              </w:rPr>
              <w:t>7.67</w:t>
            </w:r>
          </w:p>
        </w:tc>
      </w:tr>
      <w:tr>
        <w:tc>
          <w:tcPr>
            <w:tcW w:type="dxa" w:w="1337"/>
          </w:tcPr>
          <w:p>
            <w:r>
              <w:rPr>
                <w:rFonts w:ascii="Calibri" w:hAnsi="Calibri"/>
                <w:sz w:val="20"/>
              </w:rPr>
            </w:r>
            <w:r>
              <w:rPr>
                <w:rFonts w:ascii="Calibri" w:hAnsi="Calibri"/>
                <w:sz w:val="20"/>
              </w:rPr>
              <w:t>Redemption Minimum Too High</w:t>
            </w:r>
          </w:p>
        </w:tc>
        <w:tc>
          <w:tcPr>
            <w:tcW w:type="dxa" w:w="1337"/>
          </w:tcPr>
          <w:p>
            <w:r>
              <w:rPr>
                <w:rFonts w:ascii="Calibri" w:hAnsi="Calibri"/>
                <w:sz w:val="20"/>
              </w:rPr>
            </w:r>
            <w:r>
              <w:rPr>
                <w:rFonts w:ascii="Calibri" w:hAnsi="Calibri"/>
                <w:sz w:val="20"/>
              </w:rPr>
              <w:t>3</w:t>
            </w:r>
          </w:p>
        </w:tc>
        <w:tc>
          <w:tcPr>
            <w:tcW w:type="dxa" w:w="1337"/>
          </w:tcPr>
          <w:p>
            <w:r>
              <w:rPr>
                <w:rFonts w:ascii="Calibri" w:hAnsi="Calibri"/>
                <w:sz w:val="20"/>
              </w:rPr>
            </w:r>
            <w:r>
              <w:rPr>
                <w:rFonts w:ascii="Calibri" w:hAnsi="Calibri"/>
                <w:sz w:val="20"/>
              </w:rPr>
              <w:t>Unclear/high minimum redemption thresholds, not visible upfront, frustration by high minimums</w:t>
            </w:r>
          </w:p>
        </w:tc>
        <w:tc>
          <w:tcPr>
            <w:tcW w:type="dxa" w:w="1337"/>
          </w:tcPr>
          <w:p>
            <w:r>
              <w:rPr>
                <w:rFonts w:ascii="Calibri" w:hAnsi="Calibri"/>
                <w:sz w:val="20"/>
              </w:rPr>
            </w:r>
            <w:r>
              <w:rPr>
                <w:rFonts w:ascii="Calibri" w:hAnsi="Calibri"/>
                <w:sz w:val="20"/>
              </w:rPr>
              <w:t>Clearly display minimum redemption thresholds, show 'You need X more points to redeem' message</w:t>
            </w:r>
          </w:p>
        </w:tc>
        <w:tc>
          <w:tcPr>
            <w:tcW w:type="dxa" w:w="1337"/>
          </w:tcPr>
          <w:p>
            <w:r>
              <w:rPr>
                <w:rFonts w:ascii="Calibri" w:hAnsi="Calibri"/>
                <w:sz w:val="20"/>
              </w:rPr>
            </w:r>
            <w:r>
              <w:rPr>
                <w:rFonts w:ascii="Calibri" w:hAnsi="Calibri"/>
                <w:sz w:val="20"/>
              </w:rPr>
              <w:t>8.68</w:t>
            </w:r>
          </w:p>
        </w:tc>
        <w:tc>
          <w:tcPr>
            <w:tcW w:type="dxa" w:w="1337"/>
          </w:tcPr>
          <w:p>
            <w:r>
              <w:rPr>
                <w:rFonts w:ascii="Calibri" w:hAnsi="Calibri"/>
                <w:sz w:val="20"/>
              </w:rPr>
            </w:r>
            <w:r>
              <w:rPr>
                <w:rFonts w:ascii="Calibri" w:hAnsi="Calibri"/>
                <w:sz w:val="20"/>
              </w:rPr>
              <w:t>6.66</w:t>
            </w:r>
          </w:p>
        </w:tc>
        <w:tc>
          <w:tcPr>
            <w:tcW w:type="dxa" w:w="1337"/>
          </w:tcPr>
          <w:p>
            <w:r>
              <w:rPr>
                <w:rFonts w:ascii="Calibri" w:hAnsi="Calibri"/>
                <w:sz w:val="20"/>
              </w:rPr>
            </w:r>
            <w:r>
              <w:rPr>
                <w:rFonts w:ascii="Calibri" w:hAnsi="Calibri"/>
                <w:sz w:val="20"/>
              </w:rPr>
              <w:t>7.468</w:t>
            </w:r>
          </w:p>
        </w:tc>
      </w:tr>
      <w:tr>
        <w:tc>
          <w:tcPr>
            <w:tcW w:type="dxa" w:w="1337"/>
            <w:shd w:fill="F2F6FA" w:val="clear"/>
          </w:tcPr>
          <w:p>
            <w:r>
              <w:rPr>
                <w:rFonts w:ascii="Calibri" w:hAnsi="Calibri"/>
                <w:sz w:val="20"/>
              </w:rPr>
            </w:r>
            <w:r>
              <w:rPr>
                <w:rFonts w:ascii="Calibri" w:hAnsi="Calibri"/>
                <w:sz w:val="20"/>
              </w:rPr>
              <w:t>Category Bonus Not Applied</w:t>
            </w:r>
          </w:p>
        </w:tc>
        <w:tc>
          <w:tcPr>
            <w:tcW w:type="dxa" w:w="1337"/>
            <w:shd w:fill="F2F6FA" w:val="clear"/>
          </w:tcPr>
          <w:p>
            <w:r>
              <w:rPr>
                <w:rFonts w:ascii="Calibri" w:hAnsi="Calibri"/>
                <w:sz w:val="20"/>
              </w:rPr>
            </w:r>
            <w:r>
              <w:rPr>
                <w:rFonts w:ascii="Calibri" w:hAnsi="Calibri"/>
                <w:sz w:val="20"/>
              </w:rPr>
              <w:t>2</w:t>
            </w:r>
          </w:p>
        </w:tc>
        <w:tc>
          <w:tcPr>
            <w:tcW w:type="dxa" w:w="1337"/>
            <w:shd w:fill="F2F6FA" w:val="clear"/>
          </w:tcPr>
          <w:p>
            <w:r>
              <w:rPr>
                <w:rFonts w:ascii="Calibri" w:hAnsi="Calibri"/>
                <w:sz w:val="20"/>
              </w:rPr>
            </w:r>
            <w:r>
              <w:rPr>
                <w:rFonts w:ascii="Calibri" w:hAnsi="Calibri"/>
                <w:sz w:val="20"/>
              </w:rPr>
              <w:t>Confused why category bonuses not applied, incorrect application, lack of clarity on bonus rules</w:t>
            </w:r>
          </w:p>
        </w:tc>
        <w:tc>
          <w:tcPr>
            <w:tcW w:type="dxa" w:w="1337"/>
            <w:shd w:fill="F2F6FA" w:val="clear"/>
          </w:tcPr>
          <w:p>
            <w:r>
              <w:rPr>
                <w:rFonts w:ascii="Calibri" w:hAnsi="Calibri"/>
                <w:sz w:val="20"/>
              </w:rPr>
            </w:r>
            <w:r>
              <w:rPr>
                <w:rFonts w:ascii="Calibri" w:hAnsi="Calibri"/>
                <w:sz w:val="20"/>
              </w:rPr>
              <w:t>Improve system logic for category bonus, display per-transaction earn rates, show earn rate breakdown</w:t>
            </w:r>
          </w:p>
        </w:tc>
        <w:tc>
          <w:tcPr>
            <w:tcW w:type="dxa" w:w="1337"/>
            <w:shd w:fill="F2F6FA" w:val="clear"/>
          </w:tcPr>
          <w:p>
            <w:r>
              <w:rPr>
                <w:rFonts w:ascii="Calibri" w:hAnsi="Calibri"/>
                <w:sz w:val="20"/>
              </w:rPr>
            </w:r>
            <w:r>
              <w:rPr>
                <w:rFonts w:ascii="Calibri" w:hAnsi="Calibri"/>
                <w:sz w:val="20"/>
              </w:rPr>
              <w:t>6.67</w:t>
            </w:r>
          </w:p>
        </w:tc>
        <w:tc>
          <w:tcPr>
            <w:tcW w:type="dxa" w:w="1337"/>
            <w:shd w:fill="F2F6FA" w:val="clear"/>
          </w:tcPr>
          <w:p>
            <w:r>
              <w:rPr>
                <w:rFonts w:ascii="Calibri" w:hAnsi="Calibri"/>
                <w:sz w:val="20"/>
              </w:rPr>
            </w:r>
            <w:r>
              <w:rPr>
                <w:rFonts w:ascii="Calibri" w:hAnsi="Calibri"/>
                <w:sz w:val="20"/>
              </w:rPr>
              <w:t>7.0</w:t>
            </w:r>
          </w:p>
        </w:tc>
        <w:tc>
          <w:tcPr>
            <w:tcW w:type="dxa" w:w="1337"/>
            <w:shd w:fill="F2F6FA" w:val="clear"/>
          </w:tcPr>
          <w:p>
            <w:r>
              <w:rPr>
                <w:rFonts w:ascii="Calibri" w:hAnsi="Calibri"/>
                <w:sz w:val="20"/>
              </w:rPr>
            </w:r>
            <w:r>
              <w:rPr>
                <w:rFonts w:ascii="Calibri" w:hAnsi="Calibri"/>
                <w:sz w:val="20"/>
              </w:rPr>
              <w:t>6.868</w:t>
            </w:r>
          </w:p>
        </w:tc>
      </w:tr>
    </w:tbl>
    <w:p/>
    <w:p>
      <w:pPr>
        <w:spacing w:before="80" w:after="80"/>
        <w:pBdr>
          <w:bottom w:val="single" w:sz="4" w:space="1" w:color="CCCCCC"/>
        </w:pBdr>
      </w:pPr>
    </w:p>
    <w:p>
      <w:r>
        <w:t>&lt;h2&gt;The Highest-ROI Bet in This Dataset&lt;/h2&gt;</w:t>
      </w:r>
    </w:p>
    <w:p>
      <w:r>
        <w:rPr>
          <w:b/>
        </w:rPr>
        <w:t>Partner Transfer Delay</w:t>
      </w:r>
      <w:r>
        <w:t xml:space="preserve"> — fixing the top 3 drivers alone deflects </w:t>
      </w:r>
      <w:r>
        <w:rPr>
          <w:b/>
        </w:rPr>
        <w:t>4 calls (25% of total volume)</w:t>
      </w:r>
      <w:r>
        <w:t xml:space="preserve"> and is achievable within one quarter.</w:t>
      </w:r>
    </w:p>
    <w:p>
      <w:pPr>
        <w:spacing w:before="80" w:after="80"/>
        <w:pBdr>
          <w:bottom w:val="single" w:sz="4" w:space="1" w:color="CCCCCC"/>
        </w:pBdr>
      </w:pPr>
    </w:p>
    <w:p>
      <w:pPr>
        <w:pStyle w:val="Heading1"/>
      </w:pPr>
      <w:r>
        <w:t>Recommended Actions by Owning Team</w:t>
      </w:r>
    </w:p>
    <w:p>
      <w:r>
        <w:t>Organized by owning team for clear accountability. Each action is sequenced by priority score — highest first.</w:t>
      </w:r>
    </w:p>
    <w:p>
      <w:pPr>
        <w:spacing w:before="80" w:after="80"/>
        <w:pBdr>
          <w:bottom w:val="single" w:sz="4" w:space="1" w:color="CCCCCC"/>
        </w:pBdr>
      </w:pPr>
    </w:p>
    <w:p>
      <w:pPr>
        <w:pStyle w:val="Heading2"/>
      </w:pPr>
      <w:r>
        <w:t>Digital / UX</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Priority</w:t>
            </w:r>
          </w:p>
        </w:tc>
      </w:tr>
      <w:tr>
        <w:tc>
          <w:tcPr>
            <w:tcW w:type="dxa" w:w="2340"/>
          </w:tcPr>
          <w:p>
            <w:r>
              <w:rPr>
                <w:rFonts w:ascii="Calibri" w:hAnsi="Calibri"/>
                <w:sz w:val="20"/>
              </w:rPr>
            </w:r>
            <w:r>
              <w:rPr>
                <w:rFonts w:ascii="Calibri" w:hAnsi="Calibri"/>
                <w:sz w:val="20"/>
              </w:rPr>
              <w:t>Implement an in-app tier progress tracker and provide 60-day advance notifications for potential tier downgrades.</w:t>
            </w:r>
          </w:p>
        </w:tc>
        <w:tc>
          <w:tcPr>
            <w:tcW w:type="dxa" w:w="2340"/>
          </w:tcPr>
          <w:p>
            <w:r>
              <w:rPr>
                <w:rFonts w:ascii="Calibri" w:hAnsi="Calibri"/>
                <w:sz w:val="20"/>
              </w:rPr>
            </w:r>
            <w:r>
              <w:rPr>
                <w:rFonts w:ascii="Calibri" w:hAnsi="Calibri"/>
                <w:sz w:val="20"/>
              </w:rPr>
              <w:t>Tier Downgrade Surprise</w:t>
            </w:r>
          </w:p>
        </w:tc>
        <w:tc>
          <w:tcPr>
            <w:tcW w:type="dxa" w:w="2340"/>
          </w:tcPr>
          <w:p>
            <w:r>
              <w:rPr>
                <w:rFonts w:ascii="Calibri" w:hAnsi="Calibri"/>
                <w:sz w:val="20"/>
              </w:rPr>
            </w:r>
            <w:r>
              <w:rPr>
                <w:rFonts w:ascii="Calibri" w:hAnsi="Calibri"/>
                <w:sz w:val="20"/>
              </w:rPr>
              <w:t>~1 calls (6.25%)</w:t>
            </w:r>
          </w:p>
        </w:tc>
        <w:tc>
          <w:tcPr>
            <w:tcW w:type="dxa" w:w="2340"/>
          </w:tcPr>
          <w:p>
            <w:r>
              <w:rPr>
                <w:rFonts w:ascii="Calibri" w:hAnsi="Calibri"/>
                <w:sz w:val="20"/>
              </w:rPr>
            </w:r>
            <w:r>
              <w:rPr>
                <w:rFonts w:ascii="Calibri" w:hAnsi="Calibri"/>
                <w:sz w:val="20"/>
              </w:rPr>
              <w:t>7.924</w:t>
            </w:r>
          </w:p>
        </w:tc>
      </w:tr>
      <w:tr>
        <w:tc>
          <w:tcPr>
            <w:tcW w:type="dxa" w:w="2340"/>
            <w:shd w:fill="F2F6FA" w:val="clear"/>
          </w:tcPr>
          <w:p>
            <w:r>
              <w:rPr>
                <w:rFonts w:ascii="Calibri" w:hAnsi="Calibri"/>
                <w:sz w:val="20"/>
              </w:rPr>
            </w:r>
            <w:r>
              <w:rPr>
                <w:rFonts w:ascii="Calibri" w:hAnsi="Calibri"/>
                <w:sz w:val="20"/>
              </w:rPr>
              <w:t>Implement an in-app promotional offer tracker showing progress towards bonus and estimated posting date.</w:t>
            </w:r>
          </w:p>
        </w:tc>
        <w:tc>
          <w:tcPr>
            <w:tcW w:type="dxa" w:w="2340"/>
            <w:shd w:fill="F2F6FA" w:val="clear"/>
          </w:tcPr>
          <w:p>
            <w:r>
              <w:rPr>
                <w:rFonts w:ascii="Calibri" w:hAnsi="Calibri"/>
                <w:sz w:val="20"/>
              </w:rPr>
            </w:r>
            <w:r>
              <w:rPr>
                <w:rFonts w:ascii="Calibri" w:hAnsi="Calibri"/>
                <w:sz w:val="20"/>
              </w:rPr>
              <w:t>Promotional Points Missing</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7.732</w:t>
            </w:r>
          </w:p>
        </w:tc>
      </w:tr>
      <w:tr>
        <w:tc>
          <w:tcPr>
            <w:tcW w:type="dxa" w:w="2340"/>
          </w:tcPr>
          <w:p>
            <w:r>
              <w:rPr>
                <w:rFonts w:ascii="Calibri" w:hAnsi="Calibri"/>
                <w:sz w:val="20"/>
              </w:rPr>
            </w:r>
            <w:r>
              <w:rPr>
                <w:rFonts w:ascii="Calibri" w:hAnsi="Calibri"/>
                <w:sz w:val="20"/>
              </w:rPr>
              <w:t>Provide real-time status tracker for partner point transfers with estimated completion time in the mobile app and web.</w:t>
            </w:r>
          </w:p>
        </w:tc>
        <w:tc>
          <w:tcPr>
            <w:tcW w:type="dxa" w:w="2340"/>
          </w:tcPr>
          <w:p>
            <w:r>
              <w:rPr>
                <w:rFonts w:ascii="Calibri" w:hAnsi="Calibri"/>
                <w:sz w:val="20"/>
              </w:rPr>
            </w:r>
            <w:r>
              <w:rPr>
                <w:rFonts w:ascii="Calibri" w:hAnsi="Calibri"/>
                <w:sz w:val="20"/>
              </w:rPr>
              <w:t>Partner Transfer Delay</w:t>
            </w:r>
          </w:p>
        </w:tc>
        <w:tc>
          <w:tcPr>
            <w:tcW w:type="dxa" w:w="2340"/>
          </w:tcPr>
          <w:p>
            <w:r>
              <w:rPr>
                <w:rFonts w:ascii="Calibri" w:hAnsi="Calibri"/>
                <w:sz w:val="20"/>
              </w:rPr>
            </w:r>
            <w:r>
              <w:rPr>
                <w:rFonts w:ascii="Calibri" w:hAnsi="Calibri"/>
                <w:sz w:val="20"/>
              </w:rPr>
              <w:t>~4 calls (25%)</w:t>
            </w:r>
          </w:p>
        </w:tc>
        <w:tc>
          <w:tcPr>
            <w:tcW w:type="dxa" w:w="2340"/>
          </w:tcPr>
          <w:p>
            <w:r>
              <w:rPr>
                <w:rFonts w:ascii="Calibri" w:hAnsi="Calibri"/>
                <w:sz w:val="20"/>
              </w:rPr>
            </w:r>
            <w:r>
              <w:rPr>
                <w:rFonts w:ascii="Calibri" w:hAnsi="Calibri"/>
                <w:sz w:val="20"/>
              </w:rPr>
              <w:t>7.67</w:t>
            </w:r>
          </w:p>
        </w:tc>
      </w:tr>
      <w:tr>
        <w:tc>
          <w:tcPr>
            <w:tcW w:type="dxa" w:w="2340"/>
            <w:shd w:fill="F2F6FA" w:val="clear"/>
          </w:tcPr>
          <w:p>
            <w:r>
              <w:rPr>
                <w:rFonts w:ascii="Calibri" w:hAnsi="Calibri"/>
                <w:sz w:val="20"/>
              </w:rPr>
            </w:r>
            <w:r>
              <w:rPr>
                <w:rFonts w:ascii="Calibri" w:hAnsi="Calibri"/>
                <w:sz w:val="20"/>
              </w:rPr>
              <w:t>Display pending points balance and estimated posting dates for recent transactions in the rewards dashboard.</w:t>
            </w:r>
          </w:p>
        </w:tc>
        <w:tc>
          <w:tcPr>
            <w:tcW w:type="dxa" w:w="2340"/>
            <w:shd w:fill="F2F6FA" w:val="clear"/>
          </w:tcPr>
          <w:p>
            <w:r>
              <w:rPr>
                <w:rFonts w:ascii="Calibri" w:hAnsi="Calibri"/>
                <w:sz w:val="20"/>
              </w:rPr>
            </w:r>
            <w:r>
              <w:rPr>
                <w:rFonts w:ascii="Calibri" w:hAnsi="Calibri"/>
                <w:sz w:val="20"/>
              </w:rPr>
              <w:t>Points Not Credited</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7.67</w:t>
            </w:r>
          </w:p>
        </w:tc>
      </w:tr>
      <w:tr>
        <w:tc>
          <w:tcPr>
            <w:tcW w:type="dxa" w:w="2340"/>
          </w:tcPr>
          <w:p>
            <w:r>
              <w:rPr>
                <w:rFonts w:ascii="Calibri" w:hAnsi="Calibri"/>
                <w:sz w:val="20"/>
              </w:rPr>
            </w:r>
            <w:r>
              <w:rPr>
                <w:rFonts w:ascii="Calibri" w:hAnsi="Calibri"/>
                <w:sz w:val="20"/>
              </w:rPr>
              <w:t>Clearly display minimum redemption thresholds and point-to-dollar conversion rates upfront in the redemption flow.</w:t>
            </w:r>
          </w:p>
        </w:tc>
        <w:tc>
          <w:tcPr>
            <w:tcW w:type="dxa" w:w="2340"/>
          </w:tcPr>
          <w:p>
            <w:r>
              <w:rPr>
                <w:rFonts w:ascii="Calibri" w:hAnsi="Calibri"/>
                <w:sz w:val="20"/>
              </w:rPr>
            </w:r>
            <w:r>
              <w:rPr>
                <w:rFonts w:ascii="Calibri" w:hAnsi="Calibri"/>
                <w:sz w:val="20"/>
              </w:rPr>
              <w:t>Redemption Minimum Too High</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7.468</w:t>
            </w:r>
          </w:p>
        </w:tc>
      </w:tr>
      <w:tr>
        <w:tc>
          <w:tcPr>
            <w:tcW w:type="dxa" w:w="2340"/>
            <w:shd w:fill="F2F6FA" w:val="clear"/>
          </w:tcPr>
          <w:p>
            <w:r>
              <w:rPr>
                <w:rFonts w:ascii="Calibri" w:hAnsi="Calibri"/>
                <w:sz w:val="20"/>
              </w:rPr>
            </w:r>
            <w:r>
              <w:rPr>
                <w:rFonts w:ascii="Calibri" w:hAnsi="Calibri"/>
                <w:sz w:val="20"/>
              </w:rPr>
              <w:t>Show per-transaction earn rate breakdown and category bonus application in transaction history.</w:t>
            </w:r>
          </w:p>
        </w:tc>
        <w:tc>
          <w:tcPr>
            <w:tcW w:type="dxa" w:w="2340"/>
            <w:shd w:fill="F2F6FA" w:val="clear"/>
          </w:tcPr>
          <w:p>
            <w:r>
              <w:rPr>
                <w:rFonts w:ascii="Calibri" w:hAnsi="Calibri"/>
                <w:sz w:val="20"/>
              </w:rPr>
            </w:r>
            <w:r>
              <w:rPr>
                <w:rFonts w:ascii="Calibri" w:hAnsi="Calibri"/>
                <w:sz w:val="20"/>
              </w:rPr>
              <w:t>Category Bonus Not Applied</w:t>
            </w:r>
          </w:p>
        </w:tc>
        <w:tc>
          <w:tcPr>
            <w:tcW w:type="dxa" w:w="2340"/>
            <w:shd w:fill="F2F6FA" w:val="clear"/>
          </w:tcPr>
          <w:p>
            <w:r>
              <w:rPr>
                <w:rFonts w:ascii="Calibri" w:hAnsi="Calibri"/>
                <w:sz w:val="20"/>
              </w:rPr>
            </w:r>
            <w:r>
              <w:rPr>
                <w:rFonts w:ascii="Calibri" w:hAnsi="Calibri"/>
                <w:sz w:val="20"/>
              </w:rPr>
              <w:t>~2 calls (12.5%)</w:t>
            </w:r>
          </w:p>
        </w:tc>
        <w:tc>
          <w:tcPr>
            <w:tcW w:type="dxa" w:w="2340"/>
            <w:shd w:fill="F2F6FA" w:val="clear"/>
          </w:tcPr>
          <w:p>
            <w:r>
              <w:rPr>
                <w:rFonts w:ascii="Calibri" w:hAnsi="Calibri"/>
                <w:sz w:val="20"/>
              </w:rPr>
            </w:r>
            <w:r>
              <w:rPr>
                <w:rFonts w:ascii="Calibri" w:hAnsi="Calibri"/>
                <w:sz w:val="20"/>
              </w:rPr>
              <w:t>6.868</w:t>
            </w:r>
          </w:p>
        </w:tc>
      </w:tr>
    </w:tbl>
    <w:p/>
    <w:p>
      <w:pPr>
        <w:spacing w:before="80" w:after="80"/>
        <w:pBdr>
          <w:bottom w:val="single" w:sz="4" w:space="1" w:color="CCCCCC"/>
        </w:pBdr>
      </w:pPr>
    </w:p>
    <w:p>
      <w:pPr>
        <w:pStyle w:val="Heading2"/>
      </w:pPr>
      <w:r>
        <w:t>Operations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Priority</w:t>
            </w:r>
          </w:p>
        </w:tc>
      </w:tr>
      <w:tr>
        <w:tc>
          <w:tcPr>
            <w:tcW w:type="dxa" w:w="2340"/>
          </w:tcPr>
          <w:p>
            <w:r>
              <w:rPr>
                <w:rFonts w:ascii="Calibri" w:hAnsi="Calibri"/>
                <w:sz w:val="20"/>
              </w:rPr>
            </w:r>
            <w:r>
              <w:rPr>
                <w:rFonts w:ascii="Calibri" w:hAnsi="Calibri"/>
                <w:sz w:val="20"/>
              </w:rPr>
              <w:t>Automate partner transfer processing to ensure completion within 24 hours and provide real-time status updates.</w:t>
            </w:r>
          </w:p>
        </w:tc>
        <w:tc>
          <w:tcPr>
            <w:tcW w:type="dxa" w:w="2340"/>
          </w:tcPr>
          <w:p>
            <w:r>
              <w:rPr>
                <w:rFonts w:ascii="Calibri" w:hAnsi="Calibri"/>
                <w:sz w:val="20"/>
              </w:rPr>
            </w:r>
            <w:r>
              <w:rPr>
                <w:rFonts w:ascii="Calibri" w:hAnsi="Calibri"/>
                <w:sz w:val="20"/>
              </w:rPr>
              <w:t>Partner Transfer Delay</w:t>
            </w:r>
          </w:p>
        </w:tc>
        <w:tc>
          <w:tcPr>
            <w:tcW w:type="dxa" w:w="2340"/>
          </w:tcPr>
          <w:p>
            <w:r>
              <w:rPr>
                <w:rFonts w:ascii="Calibri" w:hAnsi="Calibri"/>
                <w:sz w:val="20"/>
              </w:rPr>
            </w:r>
            <w:r>
              <w:rPr>
                <w:rFonts w:ascii="Calibri" w:hAnsi="Calibri"/>
                <w:sz w:val="20"/>
              </w:rPr>
              <w:t>~4 calls (25%)</w:t>
            </w:r>
          </w:p>
        </w:tc>
        <w:tc>
          <w:tcPr>
            <w:tcW w:type="dxa" w:w="2340"/>
          </w:tcPr>
          <w:p>
            <w:r>
              <w:rPr>
                <w:rFonts w:ascii="Calibri" w:hAnsi="Calibri"/>
                <w:sz w:val="20"/>
              </w:rPr>
            </w:r>
            <w:r>
              <w:rPr>
                <w:rFonts w:ascii="Calibri" w:hAnsi="Calibri"/>
                <w:sz w:val="20"/>
              </w:rPr>
              <w:t>7.67</w:t>
            </w:r>
          </w:p>
        </w:tc>
      </w:tr>
      <w:tr>
        <w:tc>
          <w:tcPr>
            <w:tcW w:type="dxa" w:w="2340"/>
            <w:shd w:fill="F2F6FA" w:val="clear"/>
          </w:tcPr>
          <w:p>
            <w:r>
              <w:rPr>
                <w:rFonts w:ascii="Calibri" w:hAnsi="Calibri"/>
                <w:sz w:val="20"/>
              </w:rPr>
            </w:r>
            <w:r>
              <w:rPr>
                <w:rFonts w:ascii="Calibri" w:hAnsi="Calibri"/>
                <w:sz w:val="20"/>
              </w:rPr>
              <w:t>Automate points crediting pipeline with a 48-hour SLA for standard purchases and provide a 'pending points' view.</w:t>
            </w:r>
          </w:p>
        </w:tc>
        <w:tc>
          <w:tcPr>
            <w:tcW w:type="dxa" w:w="2340"/>
            <w:shd w:fill="F2F6FA" w:val="clear"/>
          </w:tcPr>
          <w:p>
            <w:r>
              <w:rPr>
                <w:rFonts w:ascii="Calibri" w:hAnsi="Calibri"/>
                <w:sz w:val="20"/>
              </w:rPr>
            </w:r>
            <w:r>
              <w:rPr>
                <w:rFonts w:ascii="Calibri" w:hAnsi="Calibri"/>
                <w:sz w:val="20"/>
              </w:rPr>
              <w:t>Points Not Credited</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7.67</w:t>
            </w:r>
          </w:p>
        </w:tc>
      </w:tr>
      <w:tr>
        <w:tc>
          <w:tcPr>
            <w:tcW w:type="dxa" w:w="2340"/>
          </w:tcPr>
          <w:p>
            <w:r>
              <w:rPr>
                <w:rFonts w:ascii="Calibri" w:hAnsi="Calibri"/>
                <w:sz w:val="20"/>
              </w:rPr>
            </w:r>
            <w:r>
              <w:rPr>
                <w:rFonts w:ascii="Calibri" w:hAnsi="Calibri"/>
                <w:sz w:val="20"/>
              </w:rPr>
              <w:t>Ensure promotional points are credited automatically and accurately within the stated timeframe, with clear in-app tracking.</w:t>
            </w:r>
          </w:p>
        </w:tc>
        <w:tc>
          <w:tcPr>
            <w:tcW w:type="dxa" w:w="2340"/>
          </w:tcPr>
          <w:p>
            <w:r>
              <w:rPr>
                <w:rFonts w:ascii="Calibri" w:hAnsi="Calibri"/>
                <w:sz w:val="20"/>
              </w:rPr>
            </w:r>
            <w:r>
              <w:rPr>
                <w:rFonts w:ascii="Calibri" w:hAnsi="Calibri"/>
                <w:sz w:val="20"/>
              </w:rPr>
              <w:t>Promotional Points Missing</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7.732</w:t>
            </w:r>
          </w:p>
        </w:tc>
      </w:tr>
      <w:tr>
        <w:tc>
          <w:tcPr>
            <w:tcW w:type="dxa" w:w="2340"/>
            <w:shd w:fill="F2F6FA" w:val="clear"/>
          </w:tcPr>
          <w:p>
            <w:r>
              <w:rPr>
                <w:rFonts w:ascii="Calibri" w:hAnsi="Calibri"/>
                <w:sz w:val="20"/>
              </w:rPr>
            </w:r>
            <w:r>
              <w:rPr>
                <w:rFonts w:ascii="Calibri" w:hAnsi="Calibri"/>
                <w:sz w:val="20"/>
              </w:rPr>
              <w:t>Improve system logic for category bonus application and provide transparent earn rate details per transaction.</w:t>
            </w:r>
          </w:p>
        </w:tc>
        <w:tc>
          <w:tcPr>
            <w:tcW w:type="dxa" w:w="2340"/>
            <w:shd w:fill="F2F6FA" w:val="clear"/>
          </w:tcPr>
          <w:p>
            <w:r>
              <w:rPr>
                <w:rFonts w:ascii="Calibri" w:hAnsi="Calibri"/>
                <w:sz w:val="20"/>
              </w:rPr>
            </w:r>
            <w:r>
              <w:rPr>
                <w:rFonts w:ascii="Calibri" w:hAnsi="Calibri"/>
                <w:sz w:val="20"/>
              </w:rPr>
              <w:t>Category Bonus Not Applied</w:t>
            </w:r>
          </w:p>
        </w:tc>
        <w:tc>
          <w:tcPr>
            <w:tcW w:type="dxa" w:w="2340"/>
            <w:shd w:fill="F2F6FA" w:val="clear"/>
          </w:tcPr>
          <w:p>
            <w:r>
              <w:rPr>
                <w:rFonts w:ascii="Calibri" w:hAnsi="Calibri"/>
                <w:sz w:val="20"/>
              </w:rPr>
            </w:r>
            <w:r>
              <w:rPr>
                <w:rFonts w:ascii="Calibri" w:hAnsi="Calibri"/>
                <w:sz w:val="20"/>
              </w:rPr>
              <w:t>~2 calls (12.5%)</w:t>
            </w:r>
          </w:p>
        </w:tc>
        <w:tc>
          <w:tcPr>
            <w:tcW w:type="dxa" w:w="2340"/>
            <w:shd w:fill="F2F6FA" w:val="clear"/>
          </w:tcPr>
          <w:p>
            <w:r>
              <w:rPr>
                <w:rFonts w:ascii="Calibri" w:hAnsi="Calibri"/>
                <w:sz w:val="20"/>
              </w:rPr>
            </w:r>
            <w:r>
              <w:rPr>
                <w:rFonts w:ascii="Calibri" w:hAnsi="Calibri"/>
                <w:sz w:val="20"/>
              </w:rPr>
              <w:t>6.868</w:t>
            </w:r>
          </w:p>
        </w:tc>
      </w:tr>
    </w:tbl>
    <w:p/>
    <w:p>
      <w:pPr>
        <w:spacing w:before="80" w:after="80"/>
        <w:pBdr>
          <w:bottom w:val="single" w:sz="4" w:space="1" w:color="CCCCCC"/>
        </w:pBdr>
      </w:pPr>
    </w:p>
    <w:p>
      <w:pPr>
        <w:pStyle w:val="Heading2"/>
      </w:pPr>
      <w:r>
        <w:t>Communications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Priority</w:t>
            </w:r>
          </w:p>
        </w:tc>
      </w:tr>
      <w:tr>
        <w:tc>
          <w:tcPr>
            <w:tcW w:type="dxa" w:w="2340"/>
          </w:tcPr>
          <w:p>
            <w:r>
              <w:rPr>
                <w:rFonts w:ascii="Calibri" w:hAnsi="Calibri"/>
                <w:sz w:val="20"/>
              </w:rPr>
            </w:r>
            <w:r>
              <w:rPr>
                <w:rFonts w:ascii="Calibri" w:hAnsi="Calibri"/>
                <w:sz w:val="20"/>
              </w:rPr>
              <w:t>Send 60-day advance warnings for tier downgrades via email and push notification, and provide an in-app tier progress dashboard with requirements to maintain status.</w:t>
            </w:r>
          </w:p>
        </w:tc>
        <w:tc>
          <w:tcPr>
            <w:tcW w:type="dxa" w:w="2340"/>
          </w:tcPr>
          <w:p>
            <w:r>
              <w:rPr>
                <w:rFonts w:ascii="Calibri" w:hAnsi="Calibri"/>
                <w:sz w:val="20"/>
              </w:rPr>
            </w:r>
            <w:r>
              <w:rPr>
                <w:rFonts w:ascii="Calibri" w:hAnsi="Calibri"/>
                <w:sz w:val="20"/>
              </w:rPr>
              <w:t>Tier Downgrade Surprise</w:t>
            </w:r>
          </w:p>
        </w:tc>
        <w:tc>
          <w:tcPr>
            <w:tcW w:type="dxa" w:w="2340"/>
          </w:tcPr>
          <w:p>
            <w:r>
              <w:rPr>
                <w:rFonts w:ascii="Calibri" w:hAnsi="Calibri"/>
                <w:sz w:val="20"/>
              </w:rPr>
            </w:r>
            <w:r>
              <w:rPr>
                <w:rFonts w:ascii="Calibri" w:hAnsi="Calibri"/>
                <w:sz w:val="20"/>
              </w:rPr>
              <w:t>~1 calls (6.25%)</w:t>
            </w:r>
          </w:p>
        </w:tc>
        <w:tc>
          <w:tcPr>
            <w:tcW w:type="dxa" w:w="2340"/>
          </w:tcPr>
          <w:p>
            <w:r>
              <w:rPr>
                <w:rFonts w:ascii="Calibri" w:hAnsi="Calibri"/>
                <w:sz w:val="20"/>
              </w:rPr>
            </w:r>
            <w:r>
              <w:rPr>
                <w:rFonts w:ascii="Calibri" w:hAnsi="Calibri"/>
                <w:sz w:val="20"/>
              </w:rPr>
              <w:t>7.924</w:t>
            </w:r>
          </w:p>
        </w:tc>
      </w:tr>
      <w:tr>
        <w:tc>
          <w:tcPr>
            <w:tcW w:type="dxa" w:w="2340"/>
            <w:shd w:fill="F2F6FA" w:val="clear"/>
          </w:tcPr>
          <w:p>
            <w:r>
              <w:rPr>
                <w:rFonts w:ascii="Calibri" w:hAnsi="Calibri"/>
                <w:sz w:val="20"/>
              </w:rPr>
            </w:r>
            <w:r>
              <w:rPr>
                <w:rFonts w:ascii="Calibri" w:hAnsi="Calibri"/>
                <w:sz w:val="20"/>
              </w:rPr>
              <w:t>Provide in-app offer tracker with progress bar; send notification when promotional points are credited or if criteria are not met with a clear reason.</w:t>
            </w:r>
          </w:p>
        </w:tc>
        <w:tc>
          <w:tcPr>
            <w:tcW w:type="dxa" w:w="2340"/>
            <w:shd w:fill="F2F6FA" w:val="clear"/>
          </w:tcPr>
          <w:p>
            <w:r>
              <w:rPr>
                <w:rFonts w:ascii="Calibri" w:hAnsi="Calibri"/>
                <w:sz w:val="20"/>
              </w:rPr>
            </w:r>
            <w:r>
              <w:rPr>
                <w:rFonts w:ascii="Calibri" w:hAnsi="Calibri"/>
                <w:sz w:val="20"/>
              </w:rPr>
              <w:t>Promotional Points Missing</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7.732</w:t>
            </w:r>
          </w:p>
        </w:tc>
      </w:tr>
      <w:tr>
        <w:tc>
          <w:tcPr>
            <w:tcW w:type="dxa" w:w="2340"/>
          </w:tcPr>
          <w:p>
            <w:r>
              <w:rPr>
                <w:rFonts w:ascii="Calibri" w:hAnsi="Calibri"/>
                <w:sz w:val="20"/>
              </w:rPr>
            </w:r>
            <w:r>
              <w:rPr>
                <w:rFonts w:ascii="Calibri" w:hAnsi="Calibri"/>
                <w:sz w:val="20"/>
              </w:rPr>
              <w:t>Implement proactive notifications for partner transfer initiation, estimated completion times, and status updates if delays occur.</w:t>
            </w:r>
          </w:p>
        </w:tc>
        <w:tc>
          <w:tcPr>
            <w:tcW w:type="dxa" w:w="2340"/>
          </w:tcPr>
          <w:p>
            <w:r>
              <w:rPr>
                <w:rFonts w:ascii="Calibri" w:hAnsi="Calibri"/>
                <w:sz w:val="20"/>
              </w:rPr>
            </w:r>
            <w:r>
              <w:rPr>
                <w:rFonts w:ascii="Calibri" w:hAnsi="Calibri"/>
                <w:sz w:val="20"/>
              </w:rPr>
              <w:t>Partner Transfer Delay</w:t>
            </w:r>
          </w:p>
        </w:tc>
        <w:tc>
          <w:tcPr>
            <w:tcW w:type="dxa" w:w="2340"/>
          </w:tcPr>
          <w:p>
            <w:r>
              <w:rPr>
                <w:rFonts w:ascii="Calibri" w:hAnsi="Calibri"/>
                <w:sz w:val="20"/>
              </w:rPr>
            </w:r>
            <w:r>
              <w:rPr>
                <w:rFonts w:ascii="Calibri" w:hAnsi="Calibri"/>
                <w:sz w:val="20"/>
              </w:rPr>
              <w:t>~4 calls (25%)</w:t>
            </w:r>
          </w:p>
        </w:tc>
        <w:tc>
          <w:tcPr>
            <w:tcW w:type="dxa" w:w="2340"/>
          </w:tcPr>
          <w:p>
            <w:r>
              <w:rPr>
                <w:rFonts w:ascii="Calibri" w:hAnsi="Calibri"/>
                <w:sz w:val="20"/>
              </w:rPr>
            </w:r>
            <w:r>
              <w:rPr>
                <w:rFonts w:ascii="Calibri" w:hAnsi="Calibri"/>
                <w:sz w:val="20"/>
              </w:rPr>
              <w:t>7.67</w:t>
            </w:r>
          </w:p>
        </w:tc>
      </w:tr>
      <w:tr>
        <w:tc>
          <w:tcPr>
            <w:tcW w:type="dxa" w:w="2340"/>
            <w:shd w:fill="F2F6FA" w:val="clear"/>
          </w:tcPr>
          <w:p>
            <w:r>
              <w:rPr>
                <w:rFonts w:ascii="Calibri" w:hAnsi="Calibri"/>
                <w:sz w:val="20"/>
              </w:rPr>
            </w:r>
            <w:r>
              <w:rPr>
                <w:rFonts w:ascii="Calibri" w:hAnsi="Calibri"/>
                <w:sz w:val="20"/>
              </w:rPr>
              <w:t>Send push notification within 1 hour of points posting with balance update; provide in-app reason if points are not credited.</w:t>
            </w:r>
          </w:p>
        </w:tc>
        <w:tc>
          <w:tcPr>
            <w:tcW w:type="dxa" w:w="2340"/>
            <w:shd w:fill="F2F6FA" w:val="clear"/>
          </w:tcPr>
          <w:p>
            <w:r>
              <w:rPr>
                <w:rFonts w:ascii="Calibri" w:hAnsi="Calibri"/>
                <w:sz w:val="20"/>
              </w:rPr>
            </w:r>
            <w:r>
              <w:rPr>
                <w:rFonts w:ascii="Calibri" w:hAnsi="Calibri"/>
                <w:sz w:val="20"/>
              </w:rPr>
              <w:t>Points Not Credited</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7.67</w:t>
            </w:r>
          </w:p>
        </w:tc>
      </w:tr>
      <w:tr>
        <w:tc>
          <w:tcPr>
            <w:tcW w:type="dxa" w:w="2340"/>
          </w:tcPr>
          <w:p>
            <w:r>
              <w:rPr>
                <w:rFonts w:ascii="Calibri" w:hAnsi="Calibri"/>
                <w:sz w:val="20"/>
              </w:rPr>
            </w:r>
            <w:r>
              <w:rPr>
                <w:rFonts w:ascii="Calibri" w:hAnsi="Calibri"/>
                <w:sz w:val="20"/>
              </w:rPr>
              <w:t>Clearly display minimum redemption thresholds on the rewards dashboard and within the redemption flow; show 'You need X more points to redeem' message.</w:t>
            </w:r>
          </w:p>
        </w:tc>
        <w:tc>
          <w:tcPr>
            <w:tcW w:type="dxa" w:w="2340"/>
          </w:tcPr>
          <w:p>
            <w:r>
              <w:rPr>
                <w:rFonts w:ascii="Calibri" w:hAnsi="Calibri"/>
                <w:sz w:val="20"/>
              </w:rPr>
            </w:r>
            <w:r>
              <w:rPr>
                <w:rFonts w:ascii="Calibri" w:hAnsi="Calibri"/>
                <w:sz w:val="20"/>
              </w:rPr>
              <w:t>Redemption Minimum Too High</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7.468</w:t>
            </w:r>
          </w:p>
        </w:tc>
      </w:tr>
      <w:tr>
        <w:tc>
          <w:tcPr>
            <w:tcW w:type="dxa" w:w="2340"/>
            <w:shd w:fill="F2F6FA" w:val="clear"/>
          </w:tcPr>
          <w:p>
            <w:r>
              <w:rPr>
                <w:rFonts w:ascii="Calibri" w:hAnsi="Calibri"/>
                <w:sz w:val="20"/>
              </w:rPr>
            </w:r>
            <w:r>
              <w:rPr>
                <w:rFonts w:ascii="Calibri" w:hAnsi="Calibri"/>
                <w:sz w:val="20"/>
              </w:rPr>
              <w:t>Display per-transaction earn rates in transaction history and provide clear in-app explanations of category bonus rules and exclusions.</w:t>
            </w:r>
          </w:p>
        </w:tc>
        <w:tc>
          <w:tcPr>
            <w:tcW w:type="dxa" w:w="2340"/>
            <w:shd w:fill="F2F6FA" w:val="clear"/>
          </w:tcPr>
          <w:p>
            <w:r>
              <w:rPr>
                <w:rFonts w:ascii="Calibri" w:hAnsi="Calibri"/>
                <w:sz w:val="20"/>
              </w:rPr>
            </w:r>
            <w:r>
              <w:rPr>
                <w:rFonts w:ascii="Calibri" w:hAnsi="Calibri"/>
                <w:sz w:val="20"/>
              </w:rPr>
              <w:t>Category Bonus Not Applied</w:t>
            </w:r>
          </w:p>
        </w:tc>
        <w:tc>
          <w:tcPr>
            <w:tcW w:type="dxa" w:w="2340"/>
            <w:shd w:fill="F2F6FA" w:val="clear"/>
          </w:tcPr>
          <w:p>
            <w:r>
              <w:rPr>
                <w:rFonts w:ascii="Calibri" w:hAnsi="Calibri"/>
                <w:sz w:val="20"/>
              </w:rPr>
            </w:r>
            <w:r>
              <w:rPr>
                <w:rFonts w:ascii="Calibri" w:hAnsi="Calibri"/>
                <w:sz w:val="20"/>
              </w:rPr>
              <w:t>~2 calls (12.5%)</w:t>
            </w:r>
          </w:p>
        </w:tc>
        <w:tc>
          <w:tcPr>
            <w:tcW w:type="dxa" w:w="2340"/>
            <w:shd w:fill="F2F6FA" w:val="clear"/>
          </w:tcPr>
          <w:p>
            <w:r>
              <w:rPr>
                <w:rFonts w:ascii="Calibri" w:hAnsi="Calibri"/>
                <w:sz w:val="20"/>
              </w:rPr>
            </w:r>
            <w:r>
              <w:rPr>
                <w:rFonts w:ascii="Calibri" w:hAnsi="Calibri"/>
                <w:sz w:val="20"/>
              </w:rPr>
              <w:t>6.868</w:t>
            </w:r>
          </w:p>
        </w:tc>
      </w:tr>
    </w:tbl>
    <w:p/>
    <w:p>
      <w:pPr>
        <w:spacing w:before="80" w:after="80"/>
        <w:pBdr>
          <w:bottom w:val="single" w:sz="4" w:space="1" w:color="CCCCCC"/>
        </w:pBdr>
      </w:pPr>
    </w:p>
    <w:p>
      <w:pPr>
        <w:pStyle w:val="Heading2"/>
      </w:pPr>
      <w:r>
        <w:t>Policy / Governance</w:t>
      </w:r>
    </w:p>
    <w:p>
      <w:r>
        <w:t>No high-priority actions identified in this cycle.</w:t>
      </w:r>
    </w:p>
    <w:p>
      <w:pPr>
        <w:spacing w:before="80" w:after="80"/>
        <w:pBdr>
          <w:bottom w:val="single" w:sz="4" w:space="1" w:color="CCCCCC"/>
        </w:pBdr>
      </w:pPr>
    </w:p>
    <w:p>
      <w:pPr>
        <w:pStyle w:val="Heading1"/>
      </w:pPr>
      <w:r>
        <w:t>Tier Downgrade Surprise — Deep Dive</w:t>
      </w:r>
    </w:p>
    <w:p>
      <w:r>
        <w:rPr>
          <w:b/>
        </w:rPr>
        <w:t>Priority:</w:t>
      </w:r>
      <w:r>
        <w:t xml:space="preserve"> 7.924/10 | </w:t>
      </w:r>
      <w:r>
        <w:rPr>
          <w:b/>
        </w:rPr>
        <w:t>Ease:</w:t>
      </w:r>
      <w:r>
        <w:t xml:space="preserve"> 6.31/10 | </w:t>
      </w:r>
      <w:r>
        <w:rPr>
          <w:b/>
        </w:rPr>
        <w:t>Impact:</w:t>
      </w:r>
      <w:r>
        <w:t xml:space="preserve"> 9.0/10</w:t>
      </w:r>
    </w:p>
    <w:p>
      <w:r>
        <w:rPr>
          <w:b/>
        </w:rPr>
        <w:t>Volume:</w:t>
      </w:r>
      <w:r>
        <w:t xml:space="preserve"> 1 calls | 6.25% of overall analyzed volume</w:t>
      </w:r>
    </w:p>
    <w:p>
      <w:pPr>
        <w:spacing w:before="80" w:after="80"/>
        <w:pBdr>
          <w:bottom w:val="single" w:sz="4" w:space="1" w:color="CCCCCC"/>
        </w:pBdr>
      </w:pPr>
    </w:p>
    <w:p>
      <w:pPr>
        <w:pStyle w:val="Heading2"/>
      </w:pPr>
      <w:r>
        <w:t>Tier Downgrade Surprise: The Story</w:t>
      </w:r>
    </w:p>
    <w:p>
      <w:r>
        <w:t>Customers are unexpectedly losing their loyalty tier status, leading to frustration and calls about lost benefits. This surprise stems from a lack of clear, proactive communication about impending changes and the requirements to maintain status, leaving members feeling unsupported.</w:t>
      </w:r>
    </w:p>
    <w:p>
      <w:pPr>
        <w:pStyle w:val="Heading4"/>
      </w:pPr>
      <w:r>
        <w:t>Core Issue</w:t>
      </w:r>
    </w:p>
    <w:p>
      <w:r>
        <w:t>The core issue is insufficient proactive communication and visibility into tier progress, causing customers to be surprised by downgrades and call to understand why their status has changed.</w:t>
      </w:r>
    </w:p>
    <w:p>
      <w:pPr>
        <w:pStyle w:val="Heading4"/>
      </w:pPr>
      <w:r>
        <w:t>Primary Driver</w:t>
      </w:r>
    </w:p>
    <w:p>
      <w:r>
        <w:t>The primary driver is customers being surprised by tier downgrades (0 calls), suggesting a critical gap in proactive communication and visibility into their tier progress.</w:t>
      </w:r>
    </w:p>
    <w:p>
      <w:pPr>
        <w:pStyle w:val="Heading4"/>
      </w:pPr>
      <w:r>
        <w:t>Solutions</w:t>
      </w:r>
    </w:p>
    <w:p>
      <w:pPr>
        <w:pStyle w:val="ListNumber"/>
      </w:pPr>
      <w:r>
        <w:t>Implement an in-app tier progress tracker and provide 60-day advance notifications for potential tier downgrades. `[Digital]`</w:t>
      </w:r>
    </w:p>
    <w:p>
      <w:pPr>
        <w:pStyle w:val="ListNumber"/>
      </w:pPr>
      <w:r>
        <w:t>Send 60-day advance warnings for tier downgrades via email and push notification, and provide an in-app tier progress dashboard with requirements to maintain status. `[Communications]`</w:t>
      </w:r>
    </w:p>
    <w:p>
      <w:pPr>
        <w:spacing w:before="80" w:after="80"/>
        <w:pBdr>
          <w:bottom w:val="single" w:sz="4" w:space="1" w:color="CCCCCC"/>
        </w:pBdr>
      </w:pPr>
    </w:p>
    <w:p>
      <w:r>
        <w:t>&lt;h2&gt;Tier Downgrade Surprise: Root Cause Breakdown&lt;/h2&gt;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Customers are surprised by tier downgrades, suggesting a lack of proactive communication and visibility into their tier progress.</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an in-app tier progress tracker and provide 60-day advance notifications for potential tier downgrades.</w:t>
            </w:r>
          </w:p>
        </w:tc>
      </w:tr>
      <w:tr>
        <w:tc>
          <w:tcPr>
            <w:tcW w:type="dxa" w:w="1560"/>
            <w:shd w:fill="F2F6FA" w:val="clear"/>
          </w:tcPr>
          <w:p>
            <w:r>
              <w:rPr>
                <w:rFonts w:ascii="Calibri" w:hAnsi="Calibri"/>
                <w:sz w:val="20"/>
              </w:rPr>
            </w:r>
            <w:r>
              <w:rPr>
                <w:rFonts w:ascii="Calibri" w:hAnsi="Calibri"/>
                <w:sz w:val="20"/>
              </w:rPr>
              <w:t>Customers are surprised by tier downgrades due to insufficient prior notification, leading to calls about lost benefits.</w:t>
            </w:r>
          </w:p>
        </w:tc>
        <w:tc>
          <w:tcPr>
            <w:tcW w:type="dxa" w:w="1560"/>
            <w:shd w:fill="F2F6FA" w:val="clear"/>
          </w:tcPr>
          <w:p>
            <w:r>
              <w:rPr>
                <w:rFonts w:ascii="Calibri" w:hAnsi="Calibri"/>
                <w:sz w:val="20"/>
              </w:rPr>
            </w:r>
            <w:r>
              <w:rPr>
                <w:rFonts w:ascii="Calibri" w:hAnsi="Calibri"/>
                <w:sz w:val="20"/>
              </w:rPr>
              <w:t>0</w:t>
            </w:r>
          </w:p>
        </w:tc>
        <w:tc>
          <w:tcPr>
            <w:tcW w:type="dxa" w:w="1560"/>
            <w:shd w:fill="F2F6FA" w:val="clear"/>
          </w:tcPr>
          <w:p>
            <w:r>
              <w:rPr>
                <w:rFonts w:ascii="Calibri" w:hAnsi="Calibri"/>
                <w:sz w:val="20"/>
              </w:rPr>
            </w:r>
            <w:r>
              <w:rPr>
                <w:rFonts w:ascii="Calibri" w:hAnsi="Calibri"/>
                <w:sz w:val="20"/>
              </w:rPr>
              <w:t>0.0%</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Implement proactive and multi-channel notifications for upcoming tier changes and provide clear qualification criteria.</w:t>
            </w:r>
          </w:p>
        </w:tc>
      </w:tr>
      <w:tr>
        <w:tc>
          <w:tcPr>
            <w:tcW w:type="dxa" w:w="1560"/>
          </w:tcPr>
          <w:p>
            <w:r>
              <w:rPr>
                <w:rFonts w:ascii="Calibri" w:hAnsi="Calibri"/>
                <w:sz w:val="20"/>
              </w:rPr>
            </w:r>
            <w:r>
              <w:rPr>
                <w:rFonts w:ascii="Calibri" w:hAnsi="Calibri"/>
                <w:sz w:val="20"/>
              </w:rPr>
              <w:t>Customers are surprised by tier downgrades, suggesting insufficient or untimely communication about impending changes and the requirements to maintain status.</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Send 60-day advance warnings for tier downgrades via email and push notification, and provide an in-app tier progress dashboard with requirements to maintain status.</w:t>
            </w:r>
          </w:p>
        </w:tc>
      </w:tr>
    </w:tbl>
    <w:p/>
    <w:p>
      <w:pPr>
        <w:spacing w:before="80" w:after="80"/>
        <w:pBdr>
          <w:bottom w:val="single" w:sz="4" w:space="1" w:color="CCCCCC"/>
        </w:pBdr>
      </w:pPr>
    </w:p>
    <w:p>
      <w:pPr>
        <w:pStyle w:val="Heading2"/>
      </w:pPr>
      <w:r>
        <w:t>If Nothing Changes</w:t>
      </w:r>
    </w:p>
    <w:p>
      <w:r>
        <w:t>Without proactive communication and a clear tier progress tracker, the 1 customer calling monthly about unexpected tier downgrades will continue to drive avoidable contacts, eroding loyalty and increasing churn.</w:t>
      </w:r>
    </w:p>
    <w:p>
      <w:pPr>
        <w:spacing w:before="80" w:after="80"/>
        <w:pBdr>
          <w:bottom w:val="single" w:sz="4" w:space="1" w:color="CCCCCC"/>
        </w:pBdr>
      </w:pPr>
    </w:p>
    <w:p>
      <w:pPr>
        <w:pStyle w:val="Heading1"/>
      </w:pPr>
      <w:r>
        <w:t>Promotional Points Missing — Deep Dive</w:t>
      </w:r>
    </w:p>
    <w:p>
      <w:r>
        <w:rPr>
          <w:b/>
        </w:rPr>
        <w:t>Priority:</w:t>
      </w:r>
      <w:r>
        <w:t xml:space="preserve"> 7.732/10 | </w:t>
      </w:r>
      <w:r>
        <w:rPr>
          <w:b/>
        </w:rPr>
        <w:t>Ease:</w:t>
      </w:r>
      <w:r>
        <w:t xml:space="preserve"> 7.33/10 | </w:t>
      </w:r>
      <w:r>
        <w:rPr>
          <w:b/>
        </w:rPr>
        <w:t>Impact:</w:t>
      </w:r>
      <w:r>
        <w:t xml:space="preserve"> 8.0/10</w:t>
      </w:r>
    </w:p>
    <w:p>
      <w:r>
        <w:rPr>
          <w:b/>
        </w:rPr>
        <w:t>Volume:</w:t>
      </w:r>
      <w:r>
        <w:t xml:space="preserve"> 3 calls | 18.75% of overall analyzed volume</w:t>
      </w:r>
    </w:p>
    <w:p>
      <w:pPr>
        <w:spacing w:before="80" w:after="80"/>
        <w:pBdr>
          <w:bottom w:val="single" w:sz="4" w:space="1" w:color="CCCCCC"/>
        </w:pBdr>
      </w:pPr>
    </w:p>
    <w:p>
      <w:pPr>
        <w:pStyle w:val="Heading2"/>
      </w:pPr>
      <w:r>
        <w:t>Promotional Points Missing: The Story</w:t>
      </w:r>
    </w:p>
    <w:p>
      <w:r>
        <w:t>Customers are calling because promotional points they earned are not appearing in their accounts as expected. They lack any means to track their progress towards these bonuses or understand why they haven't been credited, leading to confusion and dissatisfaction.</w:t>
      </w:r>
    </w:p>
    <w:p>
      <w:pPr>
        <w:pStyle w:val="Heading4"/>
      </w:pPr>
      <w:r>
        <w:t>Core Issue</w:t>
      </w:r>
    </w:p>
    <w:p>
      <w:r>
        <w:t>The core issue is the absence of transparency and tracking for promotional points, causing customer confusion and calls when expected bonuses are not credited.</w:t>
      </w:r>
    </w:p>
    <w:p>
      <w:pPr>
        <w:pStyle w:val="Heading4"/>
      </w:pPr>
      <w:r>
        <w:t>Primary Driver</w:t>
      </w:r>
    </w:p>
    <w:p>
      <w:r>
        <w:t>The primary driver is customers missing promotional points (0 calls) and lacking a digital way to track their progress towards bonuses or see when points will be credited.</w:t>
      </w:r>
    </w:p>
    <w:p>
      <w:pPr>
        <w:pStyle w:val="Heading4"/>
      </w:pPr>
      <w:r>
        <w:t>Solutions</w:t>
      </w:r>
    </w:p>
    <w:p>
      <w:pPr>
        <w:pStyle w:val="ListNumber"/>
      </w:pPr>
      <w:r>
        <w:t>Implement an in-app promotional offer tracker showing progress towards bonus and estimated posting date. `[Digital]`</w:t>
      </w:r>
    </w:p>
    <w:p>
      <w:pPr>
        <w:pStyle w:val="ListNumber"/>
      </w:pPr>
      <w:r>
        <w:t>Provide in-app offer tracker with progress bar; send notification when promotional points are credited or if criteria are not met with a clear reason. `[Communications]`</w:t>
      </w:r>
    </w:p>
    <w:p>
      <w:pPr>
        <w:pStyle w:val="ListNumber"/>
      </w:pPr>
      <w:r>
        <w:t>Ensure promotional points are credited automatically and accurately within the stated timeframe, with clear in-app tracking. `[Operations]`</w:t>
      </w:r>
    </w:p>
    <w:p>
      <w:pPr>
        <w:spacing w:before="80" w:after="80"/>
        <w:pBdr>
          <w:bottom w:val="single" w:sz="4" w:space="1" w:color="CCCCCC"/>
        </w:pBdr>
      </w:pPr>
    </w:p>
    <w:p>
      <w:r>
        <w:t>&lt;h2&gt;Promotional Points Missing: Root Cause Breakdown&lt;/h2&gt;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Customers are missing promotional points and lack a digital way to track their progress towards bonuses or see when points will be credited.</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an in-app promotional offer tracker showing progress towards bonus and estimated posting date.</w:t>
            </w:r>
          </w:p>
        </w:tc>
      </w:tr>
      <w:tr>
        <w:tc>
          <w:tcPr>
            <w:tcW w:type="dxa" w:w="1560"/>
            <w:shd w:fill="F2F6FA" w:val="clear"/>
          </w:tcPr>
          <w:p>
            <w:r>
              <w:rPr>
                <w:rFonts w:ascii="Calibri" w:hAnsi="Calibri"/>
                <w:sz w:val="20"/>
              </w:rPr>
            </w:r>
            <w:r>
              <w:rPr>
                <w:rFonts w:ascii="Calibri" w:hAnsi="Calibri"/>
                <w:sz w:val="20"/>
              </w:rPr>
              <w:t>Customers are not receiving promotional points as expected, leading to calls about missing bonuses.</w:t>
            </w:r>
          </w:p>
        </w:tc>
        <w:tc>
          <w:tcPr>
            <w:tcW w:type="dxa" w:w="1560"/>
            <w:shd w:fill="F2F6FA" w:val="clear"/>
          </w:tcPr>
          <w:p>
            <w:r>
              <w:rPr>
                <w:rFonts w:ascii="Calibri" w:hAnsi="Calibri"/>
                <w:sz w:val="20"/>
              </w:rPr>
            </w:r>
            <w:r>
              <w:rPr>
                <w:rFonts w:ascii="Calibri" w:hAnsi="Calibri"/>
                <w:sz w:val="20"/>
              </w:rPr>
              <w:t>0</w:t>
            </w:r>
          </w:p>
        </w:tc>
        <w:tc>
          <w:tcPr>
            <w:tcW w:type="dxa" w:w="1560"/>
            <w:shd w:fill="F2F6FA" w:val="clear"/>
          </w:tcPr>
          <w:p>
            <w:r>
              <w:rPr>
                <w:rFonts w:ascii="Calibri" w:hAnsi="Calibri"/>
                <w:sz w:val="20"/>
              </w:rPr>
            </w:r>
            <w:r>
              <w:rPr>
                <w:rFonts w:ascii="Calibri" w:hAnsi="Calibri"/>
                <w:sz w:val="20"/>
              </w:rPr>
              <w:t>0.0%</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Ensure promotional points are credited automatically and accurately within the stated timeframe, with clear in-app tracking.</w:t>
            </w:r>
          </w:p>
        </w:tc>
      </w:tr>
      <w:tr>
        <w:tc>
          <w:tcPr>
            <w:tcW w:type="dxa" w:w="1560"/>
          </w:tcPr>
          <w:p>
            <w:r>
              <w:rPr>
                <w:rFonts w:ascii="Calibri" w:hAnsi="Calibri"/>
                <w:sz w:val="20"/>
              </w:rPr>
            </w:r>
            <w:r>
              <w:rPr>
                <w:rFonts w:ascii="Calibri" w:hAnsi="Calibri"/>
                <w:sz w:val="20"/>
              </w:rPr>
              <w:t>Customers are not receiving expected promotional points and lack visibility into their status or reasons for non-credit.</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Provide in-app offer tracker with progress bar; send notification when promotional points are credited or if criteria are not met with a clear reason.</w:t>
            </w:r>
          </w:p>
        </w:tc>
      </w:tr>
    </w:tbl>
    <w:p/>
    <w:p>
      <w:pPr>
        <w:spacing w:before="80" w:after="80"/>
        <w:pBdr>
          <w:bottom w:val="single" w:sz="4" w:space="1" w:color="CCCCCC"/>
        </w:pBdr>
      </w:pPr>
    </w:p>
    <w:p>
      <w:pPr>
        <w:pStyle w:val="Heading2"/>
      </w:pPr>
      <w:r>
        <w:t>If Nothing Changes</w:t>
      </w:r>
    </w:p>
    <w:p>
      <w:r>
        <w:t>Without an in-app promotional offer tracker and transparent communication, the 3 customers calling monthly about missing promotional points will continue to drive avoidable contacts, undermining the value of loyalty programs.</w:t>
      </w:r>
    </w:p>
    <w:p>
      <w:pPr>
        <w:spacing w:before="80" w:after="80"/>
        <w:pBdr>
          <w:bottom w:val="single" w:sz="4" w:space="1" w:color="CCCCCC"/>
        </w:pBdr>
      </w:pPr>
    </w:p>
    <w:p>
      <w:pPr>
        <w:pStyle w:val="Heading1"/>
      </w:pPr>
      <w:r>
        <w:t>Partner Transfer Delay — Deep Dive</w:t>
      </w:r>
    </w:p>
    <w:p>
      <w:r>
        <w:rPr>
          <w:b/>
        </w:rPr>
        <w:t>Priority:</w:t>
      </w:r>
      <w:r>
        <w:t xml:space="preserve"> 7.67/10 | </w:t>
      </w:r>
      <w:r>
        <w:rPr>
          <w:b/>
        </w:rPr>
        <w:t>Ease:</w:t>
      </w:r>
      <w:r>
        <w:t xml:space="preserve"> 6.65/10 | </w:t>
      </w:r>
      <w:r>
        <w:rPr>
          <w:b/>
        </w:rPr>
        <w:t>Impact:</w:t>
      </w:r>
      <w:r>
        <w:t xml:space="preserve"> 8.35/10</w:t>
      </w:r>
    </w:p>
    <w:p>
      <w:r>
        <w:rPr>
          <w:b/>
        </w:rPr>
        <w:t>Volume:</w:t>
      </w:r>
      <w:r>
        <w:t xml:space="preserve"> 4 calls | 25% of overall analyzed volume</w:t>
      </w:r>
    </w:p>
    <w:p>
      <w:pPr>
        <w:spacing w:before="80" w:after="80"/>
        <w:pBdr>
          <w:bottom w:val="single" w:sz="4" w:space="1" w:color="CCCCCC"/>
        </w:pBdr>
      </w:pPr>
    </w:p>
    <w:p>
      <w:pPr>
        <w:pStyle w:val="Heading2"/>
      </w:pPr>
      <w:r>
        <w:t>Partner Transfer Delay: The Story</w:t>
      </w:r>
    </w:p>
    <w:p>
      <w:r>
        <w:t>Customers are calling due to significant and unexpected delays in points being transferred from partners. A critical lack of visibility into the transfer status and estimated completion times leaves customers in the dark, forcing them to contact support for updates.</w:t>
      </w:r>
    </w:p>
    <w:p>
      <w:pPr>
        <w:pStyle w:val="Heading4"/>
      </w:pPr>
      <w:r>
        <w:t>Core Issue</w:t>
      </w:r>
    </w:p>
    <w:p>
      <w:r>
        <w:t>The core issue is the extended processing times and absence of real-time visibility for partner point transfers, leading to customer anxiety and avoidable calls.</w:t>
      </w:r>
    </w:p>
    <w:p>
      <w:pPr>
        <w:pStyle w:val="Heading4"/>
      </w:pPr>
      <w:r>
        <w:t>Primary Driver</w:t>
      </w:r>
    </w:p>
    <w:p>
      <w:r>
        <w:t>The primary driver is customers calling due to significant delays in points being transferred from partners (0 calls), exceeding expected processing times.</w:t>
      </w:r>
    </w:p>
    <w:p>
      <w:pPr>
        <w:pStyle w:val="Heading4"/>
      </w:pPr>
      <w:r>
        <w:t>Solutions</w:t>
      </w:r>
    </w:p>
    <w:p>
      <w:pPr>
        <w:pStyle w:val="ListNumber"/>
      </w:pPr>
      <w:r>
        <w:t>Automate partner transfer processing to ensure completion within 24 hours and provide real-time status updates. `[Operations]`</w:t>
      </w:r>
    </w:p>
    <w:p>
      <w:pPr>
        <w:pStyle w:val="ListNumber"/>
      </w:pPr>
      <w:r>
        <w:t>Provide real-time status tracker for partner point transfers with estimated completion time in the mobile app and web. `[Digital]`</w:t>
      </w:r>
    </w:p>
    <w:p>
      <w:pPr>
        <w:pStyle w:val="ListNumber"/>
      </w:pPr>
      <w:r>
        <w:t>Implement proactive notifications for partner transfer initiation, estimated completion times, and status updates if delays occur. `[Communications]`</w:t>
      </w:r>
    </w:p>
    <w:p>
      <w:pPr>
        <w:spacing w:before="80" w:after="80"/>
        <w:pBdr>
          <w:bottom w:val="single" w:sz="4" w:space="1" w:color="CCCCCC"/>
        </w:pBdr>
      </w:pPr>
    </w:p>
    <w:p>
      <w:r>
        <w:t>&lt;h2&gt;Partner Transfer Delay: Root Cause Breakdown&lt;/h2&gt;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Customers are calling due to delays in partner point transfers and lack of visibility into the transfer status and estimated completion time.</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Provide real-time status tracker for partner point transfers with estimated completion time in the mobile app and web.</w:t>
            </w:r>
          </w:p>
        </w:tc>
      </w:tr>
      <w:tr>
        <w:tc>
          <w:tcPr>
            <w:tcW w:type="dxa" w:w="1560"/>
            <w:shd w:fill="F2F6FA" w:val="clear"/>
          </w:tcPr>
          <w:p>
            <w:r>
              <w:rPr>
                <w:rFonts w:ascii="Calibri" w:hAnsi="Calibri"/>
                <w:sz w:val="20"/>
              </w:rPr>
            </w:r>
            <w:r>
              <w:rPr>
                <w:rFonts w:ascii="Calibri" w:hAnsi="Calibri"/>
                <w:sz w:val="20"/>
              </w:rPr>
              <w:t>Customers are calling due to significant delays in points being transferred from partners, exceeding expected processing times.</w:t>
            </w:r>
          </w:p>
        </w:tc>
        <w:tc>
          <w:tcPr>
            <w:tcW w:type="dxa" w:w="1560"/>
            <w:shd w:fill="F2F6FA" w:val="clear"/>
          </w:tcPr>
          <w:p>
            <w:r>
              <w:rPr>
                <w:rFonts w:ascii="Calibri" w:hAnsi="Calibri"/>
                <w:sz w:val="20"/>
              </w:rPr>
            </w:r>
            <w:r>
              <w:rPr>
                <w:rFonts w:ascii="Calibri" w:hAnsi="Calibri"/>
                <w:sz w:val="20"/>
              </w:rPr>
              <w:t>0</w:t>
            </w:r>
          </w:p>
        </w:tc>
        <w:tc>
          <w:tcPr>
            <w:tcW w:type="dxa" w:w="1560"/>
            <w:shd w:fill="F2F6FA" w:val="clear"/>
          </w:tcPr>
          <w:p>
            <w:r>
              <w:rPr>
                <w:rFonts w:ascii="Calibri" w:hAnsi="Calibri"/>
                <w:sz w:val="20"/>
              </w:rPr>
            </w:r>
            <w:r>
              <w:rPr>
                <w:rFonts w:ascii="Calibri" w:hAnsi="Calibri"/>
                <w:sz w:val="20"/>
              </w:rPr>
              <w:t>0.0%</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Automate partner transfer processing to ensure completion within 24 hours and provide real-time status updates.</w:t>
            </w:r>
          </w:p>
        </w:tc>
      </w:tr>
      <w:tr>
        <w:tc>
          <w:tcPr>
            <w:tcW w:type="dxa" w:w="1560"/>
          </w:tcPr>
          <w:p>
            <w:r>
              <w:rPr>
                <w:rFonts w:ascii="Calibri" w:hAnsi="Calibri"/>
                <w:sz w:val="20"/>
              </w:rPr>
            </w:r>
            <w:r>
              <w:rPr>
                <w:rFonts w:ascii="Calibri" w:hAnsi="Calibri"/>
                <w:sz w:val="20"/>
              </w:rPr>
              <w:t>Customers are calling due to delays in partner point transfers, indicating a lack of real-time status updates or estimated completion times.</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proactive notifications for partner transfer initiation, estimated completion times, and status updates if delays occur.</w:t>
            </w:r>
          </w:p>
        </w:tc>
      </w:tr>
    </w:tbl>
    <w:p/>
    <w:p>
      <w:pPr>
        <w:spacing w:before="80" w:after="80"/>
        <w:pBdr>
          <w:bottom w:val="single" w:sz="4" w:space="1" w:color="CCCCCC"/>
        </w:pBdr>
      </w:pPr>
    </w:p>
    <w:p>
      <w:pPr>
        <w:pStyle w:val="Heading2"/>
      </w:pPr>
      <w:r>
        <w:t>If Nothing Changes</w:t>
      </w:r>
    </w:p>
    <w:p>
      <w:r>
        <w:t>Without automating transfers and providing real-time status updates, the 4 customers calling monthly about partner transfer delays will continue to drive avoidable contacts, causing frustration and potentially impacting partner relationships.</w:t>
      </w:r>
    </w:p>
    <w:p>
      <w:pPr>
        <w:spacing w:before="80" w:after="80"/>
        <w:pBdr>
          <w:bottom w:val="single" w:sz="4" w:space="1" w:color="CCCCCC"/>
        </w:pBdr>
      </w:pPr>
    </w:p>
    <w:p>
      <w:pPr>
        <w:pStyle w:val="Heading1"/>
      </w:pPr>
      <w:r>
        <w:t>Points Not Credited — Deep Dive</w:t>
      </w:r>
    </w:p>
    <w:p>
      <w:r>
        <w:rPr>
          <w:b/>
        </w:rPr>
        <w:t>Priority:</w:t>
      </w:r>
      <w:r>
        <w:t xml:space="preserve"> 7.67/10 | </w:t>
      </w:r>
      <w:r>
        <w:rPr>
          <w:b/>
        </w:rPr>
        <w:t>Ease:</w:t>
      </w:r>
      <w:r>
        <w:t xml:space="preserve"> 7.67/10 | </w:t>
      </w:r>
      <w:r>
        <w:rPr>
          <w:b/>
        </w:rPr>
        <w:t>Impact:</w:t>
      </w:r>
      <w:r>
        <w:t xml:space="preserve"> 7.67/10</w:t>
      </w:r>
    </w:p>
    <w:p>
      <w:r>
        <w:rPr>
          <w:b/>
        </w:rPr>
        <w:t>Volume:</w:t>
      </w:r>
      <w:r>
        <w:t xml:space="preserve"> 3 calls | 18.75% of overall analyzed volume</w:t>
      </w:r>
    </w:p>
    <w:p>
      <w:pPr>
        <w:spacing w:before="80" w:after="80"/>
        <w:pBdr>
          <w:bottom w:val="single" w:sz="4" w:space="1" w:color="CCCCCC"/>
        </w:pBdr>
      </w:pPr>
    </w:p>
    <w:p>
      <w:pPr>
        <w:pStyle w:val="Heading2"/>
      </w:pPr>
      <w:r>
        <w:t>Points Not Credited: The Story</w:t>
      </w:r>
    </w:p>
    <w:p>
      <w:r>
        <w:t>Customers are calling because points from their transactions are not appearing in their accounts as expected. They lack visibility into pending points or estimated posting dates, leading to uncertainty and forcing them to contact customer service for clarification.</w:t>
      </w:r>
    </w:p>
    <w:p>
      <w:pPr>
        <w:pStyle w:val="Heading4"/>
      </w:pPr>
      <w:r>
        <w:t>Core Issue</w:t>
      </w:r>
    </w:p>
    <w:p>
      <w:r>
        <w:t>The core issue is the delay in points crediting and the absence of a "pending points" view, leading to customer confusion and unnecessary calls.</w:t>
      </w:r>
    </w:p>
    <w:p>
      <w:pPr>
        <w:pStyle w:val="Heading4"/>
      </w:pPr>
      <w:r>
        <w:t>Primary Driver</w:t>
      </w:r>
    </w:p>
    <w:p>
      <w:r>
        <w:t>The primary driver is customers calling because their earned points are not being credited to their accounts in a timely manner (0 calls).</w:t>
      </w:r>
    </w:p>
    <w:p>
      <w:pPr>
        <w:pStyle w:val="Heading4"/>
      </w:pPr>
      <w:r>
        <w:t>Solutions</w:t>
      </w:r>
    </w:p>
    <w:p>
      <w:pPr>
        <w:pStyle w:val="ListNumber"/>
      </w:pPr>
      <w:r>
        <w:t>Display pending points balance and estimated posting dates for recent transactions in the rewards dashboard. `[Digital]`</w:t>
      </w:r>
    </w:p>
    <w:p>
      <w:pPr>
        <w:pStyle w:val="ListNumber"/>
      </w:pPr>
      <w:r>
        <w:t>Send push notification within 1 hour of points posting with balance update; provide in-app reason if points are not credited. `[Communications]`</w:t>
      </w:r>
    </w:p>
    <w:p>
      <w:pPr>
        <w:pStyle w:val="ListNumber"/>
      </w:pPr>
      <w:r>
        <w:t>Automate points crediting pipeline with a 48-hour SLA for standard purchases and provide a 'pending points' view. `[Operations]`</w:t>
      </w:r>
    </w:p>
    <w:p>
      <w:pPr>
        <w:spacing w:before="80" w:after="80"/>
        <w:pBdr>
          <w:bottom w:val="single" w:sz="4" w:space="1" w:color="CCCCCC"/>
        </w:pBdr>
      </w:pPr>
    </w:p>
    <w:p>
      <w:r>
        <w:t>&lt;h2&gt;Points Not Credited: Root Cause Breakdown&lt;/h2&gt;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Customers are calling because points are not credited as expected, and they cannot see pending points or estimated posting dates for recent transactions.</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Display pending points balance and estimated posting dates for recent transactions in the rewards dashboard.</w:t>
            </w:r>
          </w:p>
        </w:tc>
      </w:tr>
      <w:tr>
        <w:tc>
          <w:tcPr>
            <w:tcW w:type="dxa" w:w="1560"/>
            <w:shd w:fill="F2F6FA" w:val="clear"/>
          </w:tcPr>
          <w:p>
            <w:r>
              <w:rPr>
                <w:rFonts w:ascii="Calibri" w:hAnsi="Calibri"/>
                <w:sz w:val="20"/>
              </w:rPr>
            </w:r>
            <w:r>
              <w:rPr>
                <w:rFonts w:ascii="Calibri" w:hAnsi="Calibri"/>
                <w:sz w:val="20"/>
              </w:rPr>
              <w:t>Customers are calling because their earned points are not being credited to their accounts in a timely manner.</w:t>
            </w:r>
          </w:p>
        </w:tc>
        <w:tc>
          <w:tcPr>
            <w:tcW w:type="dxa" w:w="1560"/>
            <w:shd w:fill="F2F6FA" w:val="clear"/>
          </w:tcPr>
          <w:p>
            <w:r>
              <w:rPr>
                <w:rFonts w:ascii="Calibri" w:hAnsi="Calibri"/>
                <w:sz w:val="20"/>
              </w:rPr>
            </w:r>
            <w:r>
              <w:rPr>
                <w:rFonts w:ascii="Calibri" w:hAnsi="Calibri"/>
                <w:sz w:val="20"/>
              </w:rPr>
              <w:t>0</w:t>
            </w:r>
          </w:p>
        </w:tc>
        <w:tc>
          <w:tcPr>
            <w:tcW w:type="dxa" w:w="1560"/>
            <w:shd w:fill="F2F6FA" w:val="clear"/>
          </w:tcPr>
          <w:p>
            <w:r>
              <w:rPr>
                <w:rFonts w:ascii="Calibri" w:hAnsi="Calibri"/>
                <w:sz w:val="20"/>
              </w:rPr>
            </w:r>
            <w:r>
              <w:rPr>
                <w:rFonts w:ascii="Calibri" w:hAnsi="Calibri"/>
                <w:sz w:val="20"/>
              </w:rPr>
              <w:t>0.0%</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Automate points crediting pipeline with a 48-hour SLA for standard purchases and provide a 'pending points' view.</w:t>
            </w:r>
          </w:p>
        </w:tc>
      </w:tr>
      <w:tr>
        <w:tc>
          <w:tcPr>
            <w:tcW w:type="dxa" w:w="1560"/>
          </w:tcPr>
          <w:p>
            <w:r>
              <w:rPr>
                <w:rFonts w:ascii="Calibri" w:hAnsi="Calibri"/>
                <w:sz w:val="20"/>
              </w:rPr>
            </w:r>
            <w:r>
              <w:rPr>
                <w:rFonts w:ascii="Calibri" w:hAnsi="Calibri"/>
                <w:sz w:val="20"/>
              </w:rPr>
              <w:t>Customers are calling because points they expected to earn from transactions have not been credited, and they lack notification or explanation.</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Send push notifications within 1 hour of points posting with balance updates and provide in-app reasons if points are not credited.</w:t>
            </w:r>
          </w:p>
        </w:tc>
      </w:tr>
    </w:tbl>
    <w:p/>
    <w:p>
      <w:pPr>
        <w:spacing w:before="80" w:after="80"/>
        <w:pBdr>
          <w:bottom w:val="single" w:sz="4" w:space="1" w:color="CCCCCC"/>
        </w:pBdr>
      </w:pPr>
    </w:p>
    <w:p>
      <w:pPr>
        <w:pStyle w:val="Heading2"/>
      </w:pPr>
      <w:r>
        <w:t>If Nothing Changes</w:t>
      </w:r>
    </w:p>
    <w:p>
      <w:r>
        <w:t>Without a pending points view and timely crediting, the 3 customers calling monthly about uncredited points will continue to drive avoidable contacts, eroding trust and increasing operational costs.</w:t>
      </w:r>
    </w:p>
    <w:p>
      <w:pPr>
        <w:spacing w:before="80" w:after="80"/>
        <w:pBdr>
          <w:bottom w:val="single" w:sz="4" w:space="1" w:color="CCCCCC"/>
        </w:pBdr>
      </w:pPr>
    </w:p>
    <w:p>
      <w:pPr>
        <w:pStyle w:val="Heading1"/>
      </w:pPr>
      <w:r>
        <w:t>Redemption Minimum Too High — Deep Dive</w:t>
      </w:r>
    </w:p>
    <w:p>
      <w:r>
        <w:rPr>
          <w:b/>
        </w:rPr>
        <w:t>Priority:</w:t>
      </w:r>
      <w:r>
        <w:t xml:space="preserve"> 7.468/10 | </w:t>
      </w:r>
      <w:r>
        <w:rPr>
          <w:b/>
        </w:rPr>
        <w:t>Ease:</w:t>
      </w:r>
      <w:r>
        <w:t xml:space="preserve"> 8.68/10 | </w:t>
      </w:r>
      <w:r>
        <w:rPr>
          <w:b/>
        </w:rPr>
        <w:t>Impact:</w:t>
      </w:r>
      <w:r>
        <w:t xml:space="preserve"> 6.66/10</w:t>
      </w:r>
    </w:p>
    <w:p>
      <w:r>
        <w:rPr>
          <w:b/>
        </w:rPr>
        <w:t>Volume:</w:t>
      </w:r>
      <w:r>
        <w:t xml:space="preserve"> 3 calls | 18.75% of overall analyzed volume</w:t>
      </w:r>
    </w:p>
    <w:p>
      <w:pPr>
        <w:spacing w:before="80" w:after="80"/>
        <w:pBdr>
          <w:bottom w:val="single" w:sz="4" w:space="1" w:color="CCCCCC"/>
        </w:pBdr>
      </w:pPr>
    </w:p>
    <w:p>
      <w:pPr>
        <w:pStyle w:val="Heading2"/>
      </w:pPr>
      <w:r>
        <w:t>Redemption Minimum Too High: The Story</w:t>
      </w:r>
    </w:p>
    <w:p>
      <w:r>
        <w:t>Customers are frustrated by high minimum redemption thresholds that are not clearly communicated upfront. This lack of transparency leads to failed redemption attempts and calls for clarification or exceptions, creating a negative customer experience.</w:t>
      </w:r>
    </w:p>
    <w:p>
      <w:pPr>
        <w:pStyle w:val="Heading4"/>
      </w:pPr>
      <w:r>
        <w:t>Core Issue</w:t>
      </w:r>
    </w:p>
    <w:p>
      <w:r>
        <w:t>The core issue is unclear and high minimum redemption thresholds, leading to customer frustration and calls when redemption attempts fail.</w:t>
      </w:r>
    </w:p>
    <w:p>
      <w:pPr>
        <w:pStyle w:val="Heading4"/>
      </w:pPr>
      <w:r>
        <w:t>Primary Driver</w:t>
      </w:r>
    </w:p>
    <w:p>
      <w:r>
        <w:t>The primary driver is customers encountering issues with redemption (0 calls) due to unclear or high minimum redemption thresholds, which are not visible upfront in the digital experience.</w:t>
      </w:r>
    </w:p>
    <w:p>
      <w:pPr>
        <w:pStyle w:val="Heading4"/>
      </w:pPr>
      <w:r>
        <w:t>Solutions</w:t>
      </w:r>
    </w:p>
    <w:p>
      <w:pPr>
        <w:pStyle w:val="ListNumber"/>
      </w:pPr>
      <w:r>
        <w:t>Clearly display minimum redemption thresholds and point-to-dollar conversion rates upfront in the redemption flow. `[Digital]`</w:t>
      </w:r>
    </w:p>
    <w:p>
      <w:pPr>
        <w:pStyle w:val="ListNumber"/>
      </w:pPr>
      <w:r>
        <w:t>Clearly display minimum redemption thresholds on the rewards dashboard and within the redemption flow; show 'You need X more points to redeem' message. `[Communications]`</w:t>
      </w:r>
    </w:p>
    <w:p>
      <w:pPr>
        <w:spacing w:before="80" w:after="80"/>
        <w:pBdr>
          <w:bottom w:val="single" w:sz="4" w:space="1" w:color="CCCCCC"/>
        </w:pBdr>
      </w:pPr>
    </w:p>
    <w:p>
      <w:r>
        <w:t>&lt;h2&gt;Redemption Minimum Too High: Root Cause Breakdown&lt;/h2&gt;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Customers are encountering issues with redemption due to unclear or high minimum redemption thresholds, which are not visible upfront in the digital experience.</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Clearly display minimum redemption thresholds and point-to-dollar conversion rates upfront in the redemption flow.</w:t>
            </w:r>
          </w:p>
        </w:tc>
      </w:tr>
      <w:tr>
        <w:tc>
          <w:tcPr>
            <w:tcW w:type="dxa" w:w="1560"/>
            <w:shd w:fill="F2F6FA" w:val="clear"/>
          </w:tcPr>
          <w:p>
            <w:r>
              <w:rPr>
                <w:rFonts w:ascii="Calibri" w:hAnsi="Calibri"/>
                <w:sz w:val="20"/>
              </w:rPr>
            </w:r>
            <w:r>
              <w:rPr>
                <w:rFonts w:ascii="Calibri" w:hAnsi="Calibri"/>
                <w:sz w:val="20"/>
              </w:rPr>
              <w:t>Customers are frustrated by high minimum redemption thresholds, which are not clearly communicated, leading to calls for clarification or exceptions.</w:t>
            </w:r>
          </w:p>
        </w:tc>
        <w:tc>
          <w:tcPr>
            <w:tcW w:type="dxa" w:w="1560"/>
            <w:shd w:fill="F2F6FA" w:val="clear"/>
          </w:tcPr>
          <w:p>
            <w:r>
              <w:rPr>
                <w:rFonts w:ascii="Calibri" w:hAnsi="Calibri"/>
                <w:sz w:val="20"/>
              </w:rPr>
            </w:r>
            <w:r>
              <w:rPr>
                <w:rFonts w:ascii="Calibri" w:hAnsi="Calibri"/>
                <w:sz w:val="20"/>
              </w:rPr>
              <w:t>0</w:t>
            </w:r>
          </w:p>
        </w:tc>
        <w:tc>
          <w:tcPr>
            <w:tcW w:type="dxa" w:w="1560"/>
            <w:shd w:fill="F2F6FA" w:val="clear"/>
          </w:tcPr>
          <w:p>
            <w:r>
              <w:rPr>
                <w:rFonts w:ascii="Calibri" w:hAnsi="Calibri"/>
                <w:sz w:val="20"/>
              </w:rPr>
            </w:r>
            <w:r>
              <w:rPr>
                <w:rFonts w:ascii="Calibri" w:hAnsi="Calibri"/>
                <w:sz w:val="20"/>
              </w:rPr>
              <w:t>0.0%</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Clearly display minimum redemption thresholds and points-to-dollar conversion rates upfront in the redemption flow.</w:t>
            </w:r>
          </w:p>
        </w:tc>
      </w:tr>
      <w:tr>
        <w:tc>
          <w:tcPr>
            <w:tcW w:type="dxa" w:w="1560"/>
          </w:tcPr>
          <w:p>
            <w:r>
              <w:rPr>
                <w:rFonts w:ascii="Calibri" w:hAnsi="Calibri"/>
                <w:sz w:val="20"/>
              </w:rPr>
            </w:r>
            <w:r>
              <w:rPr>
                <w:rFonts w:ascii="Calibri" w:hAnsi="Calibri"/>
                <w:sz w:val="20"/>
              </w:rPr>
              <w:t>Customers are frustrated by high minimum redemption thresholds that are not clearly communicated upfront, leading to calls when redemption attempts fail.</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Clearly display minimum redemption thresholds on the rewards dashboard and within the redemption flow; show 'You need X more points to redeem' message.</w:t>
            </w:r>
          </w:p>
        </w:tc>
      </w:tr>
    </w:tbl>
    <w:p/>
    <w:p>
      <w:pPr>
        <w:spacing w:before="80" w:after="80"/>
        <w:pBdr>
          <w:bottom w:val="single" w:sz="4" w:space="1" w:color="CCCCCC"/>
        </w:pBdr>
      </w:pPr>
    </w:p>
    <w:p>
      <w:pPr>
        <w:pStyle w:val="Heading2"/>
      </w:pPr>
      <w:r>
        <w:t>If Nothing Changes</w:t>
      </w:r>
    </w:p>
    <w:p>
      <w:r>
        <w:t>Without clearly communicating redemption minimums, the 3 customers calling monthly about high thresholds will continue to drive avoidable contacts, leading to redemption friction and reduced program satisfaction.</w:t>
      </w:r>
    </w:p>
    <w:p>
      <w:pPr>
        <w:spacing w:before="80" w:after="80"/>
        <w:pBdr>
          <w:bottom w:val="single" w:sz="4" w:space="1" w:color="CCCCCC"/>
        </w:pBdr>
      </w:pPr>
    </w:p>
    <w:p>
      <w:pPr>
        <w:pStyle w:val="Heading1"/>
      </w:pPr>
      <w:r>
        <w:t>Category Bonus Not Applied — Deep Dive</w:t>
      </w:r>
    </w:p>
    <w:p>
      <w:r>
        <w:rPr>
          <w:b/>
        </w:rPr>
        <w:t>Priority:</w:t>
      </w:r>
      <w:r>
        <w:t xml:space="preserve"> 6.868/10 | </w:t>
      </w:r>
      <w:r>
        <w:rPr>
          <w:b/>
        </w:rPr>
        <w:t>Ease:</w:t>
      </w:r>
      <w:r>
        <w:t xml:space="preserve"> 6.67/10 | </w:t>
      </w:r>
      <w:r>
        <w:rPr>
          <w:b/>
        </w:rPr>
        <w:t>Impact:</w:t>
      </w:r>
      <w:r>
        <w:t xml:space="preserve"> 7.0/10</w:t>
      </w:r>
    </w:p>
    <w:p>
      <w:r>
        <w:rPr>
          <w:b/>
        </w:rPr>
        <w:t>Volume:</w:t>
      </w:r>
      <w:r>
        <w:t xml:space="preserve"> 2 calls | 12.5% of overall analyzed volume</w:t>
      </w:r>
    </w:p>
    <w:p>
      <w:pPr>
        <w:spacing w:before="80" w:after="80"/>
        <w:pBdr>
          <w:bottom w:val="single" w:sz="4" w:space="1" w:color="CCCCCC"/>
        </w:pBdr>
      </w:pPr>
    </w:p>
    <w:p>
      <w:pPr>
        <w:pStyle w:val="Heading2"/>
      </w:pPr>
      <w:r>
        <w:t>Category Bonus Not Applied: The Story</w:t>
      </w:r>
    </w:p>
    <w:p>
      <w:r>
        <w:t>Customers are confused and calling because expected category bonuses are not being applied to their transactions. This indicates a lack of transparency in earn rate breakdowns and how bonuses are calculated, leading to a perception of incorrect rewards.</w:t>
      </w:r>
    </w:p>
    <w:p>
      <w:pPr>
        <w:pStyle w:val="Heading4"/>
      </w:pPr>
      <w:r>
        <w:t>Core Issue</w:t>
      </w:r>
    </w:p>
    <w:p>
      <w:r>
        <w:t>The core issue is the incorrect application of category bonuses and a lack of transparency in earn rate breakdowns, causing customer confusion and calls.</w:t>
      </w:r>
    </w:p>
    <w:p>
      <w:pPr>
        <w:pStyle w:val="Heading4"/>
      </w:pPr>
      <w:r>
        <w:t>Primary Driver</w:t>
      </w:r>
    </w:p>
    <w:p>
      <w:r>
        <w:t>The primary driver is customers calling because category-specific bonuses are not being applied correctly to their transactions (0 calls).</w:t>
      </w:r>
    </w:p>
    <w:p>
      <w:pPr>
        <w:pStyle w:val="Heading4"/>
      </w:pPr>
      <w:r>
        <w:t>Solutions</w:t>
      </w:r>
    </w:p>
    <w:p>
      <w:pPr>
        <w:pStyle w:val="ListNumber"/>
      </w:pPr>
      <w:r>
        <w:t>Improve system logic for category bonus application and provide transparent earn rate details per transaction. `[Operations]`</w:t>
      </w:r>
    </w:p>
    <w:p>
      <w:pPr>
        <w:pStyle w:val="ListNumber"/>
      </w:pPr>
      <w:r>
        <w:t>Show per-transaction earn rate breakdown and category bonus application in transaction history. `[Digital]`</w:t>
      </w:r>
    </w:p>
    <w:p>
      <w:pPr>
        <w:pStyle w:val="ListNumber"/>
      </w:pPr>
      <w:r>
        <w:t>Display per-transaction earn rates in transaction history and provide clear in-app explanations of category bonus rules and exclusions. `[Communications]`</w:t>
      </w:r>
    </w:p>
    <w:p>
      <w:pPr>
        <w:spacing w:before="80" w:after="80"/>
        <w:pBdr>
          <w:bottom w:val="single" w:sz="4" w:space="1" w:color="CCCCCC"/>
        </w:pBdr>
      </w:pPr>
    </w:p>
    <w:p>
      <w:r>
        <w:t>&lt;h2&gt;Category Bonus Not Applied: Root Cause Breakdown&lt;/h2&gt;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Customers are confused about why category bonuses are not applied to their transactions, indicating a lack of transparency in earn rate breakdowns.</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Show per-transaction earn rate breakdown and category bonus application in transaction history.</w:t>
            </w:r>
          </w:p>
        </w:tc>
      </w:tr>
      <w:tr>
        <w:tc>
          <w:tcPr>
            <w:tcW w:type="dxa" w:w="1560"/>
            <w:shd w:fill="F2F6FA" w:val="clear"/>
          </w:tcPr>
          <w:p>
            <w:r>
              <w:rPr>
                <w:rFonts w:ascii="Calibri" w:hAnsi="Calibri"/>
                <w:sz w:val="20"/>
              </w:rPr>
            </w:r>
            <w:r>
              <w:rPr>
                <w:rFonts w:ascii="Calibri" w:hAnsi="Calibri"/>
                <w:sz w:val="20"/>
              </w:rPr>
              <w:t>Customers are calling because category-specific bonuses are not being applied correctly to their transactions.</w:t>
            </w:r>
          </w:p>
        </w:tc>
        <w:tc>
          <w:tcPr>
            <w:tcW w:type="dxa" w:w="1560"/>
            <w:shd w:fill="F2F6FA" w:val="clear"/>
          </w:tcPr>
          <w:p>
            <w:r>
              <w:rPr>
                <w:rFonts w:ascii="Calibri" w:hAnsi="Calibri"/>
                <w:sz w:val="20"/>
              </w:rPr>
            </w:r>
            <w:r>
              <w:rPr>
                <w:rFonts w:ascii="Calibri" w:hAnsi="Calibri"/>
                <w:sz w:val="20"/>
              </w:rPr>
              <w:t>0</w:t>
            </w:r>
          </w:p>
        </w:tc>
        <w:tc>
          <w:tcPr>
            <w:tcW w:type="dxa" w:w="1560"/>
            <w:shd w:fill="F2F6FA" w:val="clear"/>
          </w:tcPr>
          <w:p>
            <w:r>
              <w:rPr>
                <w:rFonts w:ascii="Calibri" w:hAnsi="Calibri"/>
                <w:sz w:val="20"/>
              </w:rPr>
            </w:r>
            <w:r>
              <w:rPr>
                <w:rFonts w:ascii="Calibri" w:hAnsi="Calibri"/>
                <w:sz w:val="20"/>
              </w:rPr>
              <w:t>0.0%</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Improve system logic for category bonus application and provide transparent earn rate details per transaction.</w:t>
            </w:r>
          </w:p>
        </w:tc>
      </w:tr>
      <w:tr>
        <w:tc>
          <w:tcPr>
            <w:tcW w:type="dxa" w:w="1560"/>
          </w:tcPr>
          <w:p>
            <w:r>
              <w:rPr>
                <w:rFonts w:ascii="Calibri" w:hAnsi="Calibri"/>
                <w:sz w:val="20"/>
              </w:rPr>
            </w:r>
            <w:r>
              <w:rPr>
                <w:rFonts w:ascii="Calibri" w:hAnsi="Calibri"/>
                <w:sz w:val="20"/>
              </w:rPr>
              <w:t>Customers are calling because expected category bonuses were not applied, indicating a lack of clarity on bonus rules or visibility into how bonuses are calculated per transaction....</w:t>
            </w:r>
          </w:p>
        </w:tc>
        <w:tc>
          <w:tcPr>
            <w:tcW w:type="dxa" w:w="1560"/>
          </w:tcPr>
          <w:p>
            <w:r>
              <w:rPr>
                <w:rFonts w:ascii="Calibri" w:hAnsi="Calibri"/>
                <w:sz w:val="20"/>
              </w:rPr>
            </w:r>
            <w:r>
              <w:rPr>
                <w:rFonts w:ascii="Calibri" w:hAnsi="Calibri"/>
                <w:sz w:val="20"/>
              </w:rPr>
              <w:t>0</w:t>
            </w:r>
          </w:p>
        </w:tc>
        <w:tc>
          <w:tcPr>
            <w:tcW w:type="dxa" w:w="1560"/>
          </w:tcPr>
          <w:p>
            <w:r>
              <w:rPr>
                <w:rFonts w:ascii="Calibri" w:hAnsi="Calibri"/>
                <w:sz w:val="20"/>
              </w:rPr>
            </w:r>
            <w:r>
              <w:rPr>
                <w:rFonts w:ascii="Calibri" w:hAnsi="Calibri"/>
                <w:sz w:val="20"/>
              </w:rPr>
              <w:t>0.0%</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Display per-transaction earn rates in transaction history and provide clear in-app explanations of category bonus rules and exclusions.</w:t>
            </w:r>
          </w:p>
        </w:tc>
      </w:tr>
    </w:tbl>
    <w:p/>
    <w:p>
      <w:pPr>
        <w:spacing w:before="80" w:after="80"/>
        <w:pBdr>
          <w:bottom w:val="single" w:sz="4" w:space="1" w:color="CCCCCC"/>
        </w:pBdr>
      </w:pPr>
    </w:p>
    <w:p>
      <w:pPr>
        <w:pStyle w:val="Heading2"/>
      </w:pPr>
      <w:r>
        <w:t>If Nothing Changes</w:t>
      </w:r>
    </w:p>
    <w:p>
      <w:r>
        <w:t>Without improving bonus application logic and providing transparency, the 2 customers calling monthly about unapplied category bonuses will continue to drive avoidable contacts, leading to distrust in the rewards program.</w:t>
      </w:r>
    </w:p>
    <w:sectPr w:rsidR="00FC693F" w:rsidRPr="0006063C" w:rsidSect="00034616">
      <w:footerReference w:type="default" r:id="rId9"/>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Generated by AgenticAnalytics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B7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B70"/>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6BA6"/>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006BA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