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Loyalty Experience Failures Drive Avoidable Contacts</w:t>
      </w:r>
    </w:p>
    <w:p>
      <w:r>
        <w:t>16 customer calls expose critical gaps in the digital loyalty experience, particularly around points visibility and redemption, costing your team avoidable contacts every month.</w:t>
      </w:r>
    </w:p>
    <w:p>
      <w:pPr>
        <w:spacing w:before="80" w:after="80"/>
        <w:pBdr>
          <w:bottom w:val="single" w:sz="4" w:space="1" w:color="CCCCCC"/>
        </w:pBdr>
      </w:pPr>
    </w:p>
    <w:p>
      <w:pPr>
        <w:pStyle w:val="Heading2"/>
      </w:pPr>
      <w:r>
        <w:t>The Situation</w:t>
      </w:r>
    </w:p>
    <w:p>
      <w:r>
        <w:t>This report analyzes 16 customer calls focused on "Rewards" from customers using the "ATT" product. The analysis reveals two dominant themes, "Loyalty Tier" and "Other," both driven primarily by digital experience shortcomings.</w:t>
      </w:r>
    </w:p>
    <w:p>
      <w:pPr>
        <w:spacing w:before="80" w:after="80"/>
        <w:pBdr>
          <w:bottom w:val="single" w:sz="4" w:space="1" w:color="CCCCCC"/>
        </w:pBdr>
      </w:pPr>
    </w:p>
    <w:p>
      <w:pPr>
        <w:pStyle w:val="Heading2"/>
      </w:pPr>
      <w:r>
        <w:t>Pain Point 1: Partner Points Transfers Lack Transparency</w:t>
      </w:r>
    </w:p>
    <w:p>
      <w:r>
        <w:rPr>
          <w:b/>
        </w:rPr>
        <w:t>What's happening:</w:t>
      </w:r>
      <w:r>
        <w:t xml:space="preserve"> Customers are calling due to significant delays in points transfers to partner programs and a complete lack of digital visibility into the transfer status. This creates uncertainty and forces manual inquiries.</w:t>
      </w:r>
    </w:p>
    <w:p>
      <w:r>
        <w:rPr>
          <w:b/>
        </w:rPr>
        <w:t>The evidence:</w:t>
      </w:r>
      <w:r>
        <w:t xml:space="preserve"> "Partner Transfer Delay" is a primary driver, accounting for 4 calls (25% of total analyzed volume), split across both "Loyalty Tier" and "Other" themes.</w:t>
      </w:r>
    </w:p>
    <w:p>
      <w:r>
        <w:rPr>
          <w:b/>
        </w:rPr>
        <w:t>Call volume:</w:t>
      </w:r>
      <w:r>
        <w:t xml:space="preserve"> 4 calls | 25% of total</w:t>
      </w:r>
    </w:p>
    <w:p>
      <w:r>
        <w:rPr>
          <w:b/>
        </w:rPr>
        <w:t>The fix:</w:t>
      </w:r>
      <w:r>
        <w:t xml:space="preserve"> Implement an in-app status tracker for partner points transfers, showing current status and estimated completion times.</w:t>
      </w:r>
    </w:p>
    <w:p>
      <w:pPr>
        <w:spacing w:before="80" w:after="80"/>
        <w:pBdr>
          <w:bottom w:val="single" w:sz="4" w:space="1" w:color="CCCCCC"/>
        </w:pBdr>
      </w:pPr>
    </w:p>
    <w:p>
      <w:pPr>
        <w:pStyle w:val="Heading2"/>
      </w:pPr>
      <w:r>
        <w:t>Pain Point 2: Points Not Credited Leads to 3 Avoidable Contacts</w:t>
      </w:r>
    </w:p>
    <w:p>
      <w:r>
        <w:rPr>
          <w:b/>
        </w:rPr>
        <w:t>What's happening:</w:t>
      </w:r>
      <w:r>
        <w:t xml:space="preserve"> Customers are consistently calling because points they expected to earn have not been credited to their account, leading to confusion and a need for manual inquiry. The absence of a "pending points" view exacerbates this issue.</w:t>
      </w:r>
    </w:p>
    <w:p>
      <w:r>
        <w:rPr>
          <w:b/>
        </w:rPr>
        <w:t>The evidence:</w:t>
      </w:r>
      <w:r>
        <w:t xml:space="preserve"> "Points Not Credited" is a significant driver, responsible for 3 calls (18.75% of total analyzed volume), appearing in both "Loyalty Tier" and "Other" themes.</w:t>
      </w:r>
    </w:p>
    <w:p>
      <w:r>
        <w:rPr>
          <w:b/>
        </w:rPr>
        <w:t>Call volume:</w:t>
      </w:r>
      <w:r>
        <w:t xml:space="preserve"> 3 calls | 18.75% of total</w:t>
      </w:r>
    </w:p>
    <w:p>
      <w:r>
        <w:rPr>
          <w:b/>
        </w:rPr>
        <w:t>The fix:</w:t>
      </w:r>
      <w:r>
        <w:t xml:space="preserve"> Introduce a 'pending points' section in the rewards dashboard to show points that are awaiting credit, along with estimated posting dates.</w:t>
      </w:r>
    </w:p>
    <w:p>
      <w:pPr>
        <w:spacing w:before="80" w:after="80"/>
        <w:pBdr>
          <w:bottom w:val="single" w:sz="4" w:space="1" w:color="CCCCCC"/>
        </w:pBdr>
      </w:pPr>
    </w:p>
    <w:p>
      <w:pPr>
        <w:pStyle w:val="Heading2"/>
      </w:pPr>
      <w:r>
        <w:t>Pain Point 3: Unclear Redemption Minimums Generate 3 Calls</w:t>
      </w:r>
    </w:p>
    <w:p>
      <w:r>
        <w:rPr>
          <w:b/>
        </w:rPr>
        <w:t>What's happening:</w:t>
      </w:r>
      <w:r>
        <w:t xml:space="preserve"> Customers are frustrated by high minimums required for rewards redemption, which are not clearly communicated upfront within the digital experience, leading to unexpected roadblocks and calls for clarification.</w:t>
      </w:r>
    </w:p>
    <w:p>
      <w:r>
        <w:rPr>
          <w:b/>
        </w:rPr>
        <w:t>The evidence:</w:t>
      </w:r>
      <w:r>
        <w:t xml:space="preserve"> "Redemption Minimum Too High" is a recurring issue, causing 3 calls (18.75% of total analyzed volume), present in both "Loyalty Tier" and "Other" themes.</w:t>
      </w:r>
    </w:p>
    <w:p>
      <w:r>
        <w:rPr>
          <w:b/>
        </w:rPr>
        <w:t>Call volume:</w:t>
      </w:r>
      <w:r>
        <w:t xml:space="preserve"> 3 calls | 18.75% of total</w:t>
      </w:r>
    </w:p>
    <w:p>
      <w:r>
        <w:rPr>
          <w:b/>
        </w:rPr>
        <w:t>The fix:</w:t>
      </w:r>
      <w:r>
        <w:t xml:space="preserve"> Ensure minimum redemption thresholds and points-to-dollar conversion rates are prominently displayed at the beginning of the redemption process.</w:t>
      </w:r>
    </w:p>
    <w:p>
      <w:pPr>
        <w:spacing w:before="80" w:after="80"/>
        <w:pBdr>
          <w:bottom w:val="single" w:sz="4" w:space="1" w:color="CCCCCC"/>
        </w:pBdr>
      </w:pPr>
    </w:p>
    <w:p>
      <w:pPr>
        <w:pStyle w:val="Heading2"/>
      </w:pPr>
      <w:r>
        <w:t>Start Monday: Quick Wins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Why It's Fast</w:t>
            </w:r>
          </w:p>
        </w:tc>
      </w:tr>
      <w:tr>
        <w:tc>
          <w:tcPr>
            <w:tcW w:type="dxa" w:w="2340"/>
          </w:tcPr>
          <w:p>
            <w:r>
              <w:rPr>
                <w:rFonts w:ascii="Calibri" w:hAnsi="Calibri"/>
                <w:sz w:val="20"/>
              </w:rPr>
            </w:r>
            <w:r>
              <w:rPr>
                <w:rFonts w:ascii="Calibri" w:hAnsi="Calibri"/>
                <w:sz w:val="20"/>
              </w:rPr>
              <w:t>Implement an in-app status tracker for partner points transfers</w:t>
            </w:r>
          </w:p>
        </w:tc>
        <w:tc>
          <w:tcPr>
            <w:tcW w:type="dxa" w:w="2340"/>
          </w:tcPr>
          <w:p>
            <w:r>
              <w:rPr>
                <w:rFonts w:ascii="Calibri" w:hAnsi="Calibri"/>
                <w:sz w:val="20"/>
              </w:rPr>
            </w:r>
            <w:r>
              <w:rPr>
                <w:rFonts w:ascii="Calibri" w:hAnsi="Calibri"/>
                <w:sz w:val="20"/>
              </w:rPr>
              <w:t>Loyalty Tier</w:t>
            </w:r>
          </w:p>
        </w:tc>
        <w:tc>
          <w:tcPr>
            <w:tcW w:type="dxa" w:w="2340"/>
          </w:tcPr>
          <w:p>
            <w:r>
              <w:rPr>
                <w:rFonts w:ascii="Calibri" w:hAnsi="Calibri"/>
                <w:sz w:val="20"/>
              </w:rPr>
            </w:r>
            <w:r>
              <w:rPr>
                <w:rFonts w:ascii="Calibri" w:hAnsi="Calibri"/>
                <w:sz w:val="20"/>
              </w:rPr>
              <w:t>~4 calls (25%)</w:t>
            </w:r>
          </w:p>
        </w:tc>
        <w:tc>
          <w:tcPr>
            <w:tcW w:type="dxa" w:w="2340"/>
          </w:tcPr>
          <w:p>
            <w:r>
              <w:rPr>
                <w:rFonts w:ascii="Calibri" w:hAnsi="Calibri"/>
                <w:sz w:val="20"/>
              </w:rPr>
            </w:r>
            <w:r>
              <w:rPr>
                <w:rFonts w:ascii="Calibri" w:hAnsi="Calibri"/>
                <w:sz w:val="20"/>
              </w:rPr>
              <w:t>Leverages existing digital infrastructure with a new data feed.</w:t>
            </w:r>
          </w:p>
        </w:tc>
      </w:tr>
      <w:tr>
        <w:tc>
          <w:tcPr>
            <w:tcW w:type="dxa" w:w="2340"/>
            <w:shd w:fill="F2F6FA" w:val="clear"/>
          </w:tcPr>
          <w:p>
            <w:r>
              <w:rPr>
                <w:rFonts w:ascii="Calibri" w:hAnsi="Calibri"/>
                <w:sz w:val="20"/>
              </w:rPr>
            </w:r>
            <w:r>
              <w:rPr>
                <w:rFonts w:ascii="Calibri" w:hAnsi="Calibri"/>
                <w:sz w:val="20"/>
              </w:rPr>
              <w:t>Introduce a 'pending points' section in the rewards dashboard</w:t>
            </w:r>
          </w:p>
        </w:tc>
        <w:tc>
          <w:tcPr>
            <w:tcW w:type="dxa" w:w="2340"/>
            <w:shd w:fill="F2F6FA" w:val="clear"/>
          </w:tcPr>
          <w:p>
            <w:r>
              <w:rPr>
                <w:rFonts w:ascii="Calibri" w:hAnsi="Calibri"/>
                <w:sz w:val="20"/>
              </w:rPr>
            </w:r>
            <w:r>
              <w:rPr>
                <w:rFonts w:ascii="Calibri" w:hAnsi="Calibri"/>
                <w:sz w:val="20"/>
              </w:rPr>
              <w:t>Loyalty Tier / Other</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Simple UI addition, utilizing current points ledger data.</w:t>
            </w:r>
          </w:p>
        </w:tc>
      </w:tr>
      <w:tr>
        <w:tc>
          <w:tcPr>
            <w:tcW w:type="dxa" w:w="2340"/>
          </w:tcPr>
          <w:p>
            <w:r>
              <w:rPr>
                <w:rFonts w:ascii="Calibri" w:hAnsi="Calibri"/>
                <w:sz w:val="20"/>
              </w:rPr>
            </w:r>
            <w:r>
              <w:rPr>
                <w:rFonts w:ascii="Calibri" w:hAnsi="Calibri"/>
                <w:sz w:val="20"/>
              </w:rPr>
              <w:t>Clearly communicate redemption minimums upfront in the rewards section</w:t>
            </w:r>
          </w:p>
        </w:tc>
        <w:tc>
          <w:tcPr>
            <w:tcW w:type="dxa" w:w="2340"/>
          </w:tcPr>
          <w:p>
            <w:r>
              <w:rPr>
                <w:rFonts w:ascii="Calibri" w:hAnsi="Calibri"/>
                <w:sz w:val="20"/>
              </w:rPr>
            </w:r>
            <w:r>
              <w:rPr>
                <w:rFonts w:ascii="Calibri" w:hAnsi="Calibri"/>
                <w:sz w:val="20"/>
              </w:rPr>
              <w:t>Other</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Minor content and UI adjustment in existing redemption flow.</w:t>
            </w:r>
          </w:p>
        </w:tc>
      </w:tr>
    </w:tbl>
    <w:p/>
    <w:p>
      <w:pPr>
        <w:spacing w:before="80" w:after="80"/>
        <w:pBdr>
          <w:bottom w:val="single" w:sz="4" w:space="1" w:color="CCCCCC"/>
        </w:pBdr>
      </w:pPr>
    </w:p>
    <w:p>
      <w:pPr>
        <w:pStyle w:val="Heading1"/>
      </w:pPr>
      <w:r>
        <w:t>Where to Act First</w:t>
      </w:r>
    </w:p>
    <w:p>
      <w:r>
        <w:t>Not all problems are equal. Not all fixes are equal. This matrix surfaces where limited effort yields the greatest call deflection.</w:t>
      </w:r>
    </w:p>
    <w:p>
      <w:pPr>
        <w:spacing w:before="80" w:after="80"/>
        <w:pBdr>
          <w:bottom w:val="single" w:sz="4" w:space="1" w:color="CCCCCC"/>
        </w:pBdr>
      </w:pPr>
    </w:p>
    <w:p>
      <w:pPr>
        <w:pStyle w:val="Heading2"/>
      </w:pPr>
      <w:r>
        <w:t>Impact vs. Ease: Prioritization Matrix</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003B70" w:val="clear"/>
          </w:tcPr>
          <w:p>
            <w:pPr>
              <w:jc w:val="center"/>
            </w:pPr>
            <w:r>
              <w:rPr>
                <w:b/>
                <w:color w:val="FFFFFF"/>
                <w:sz w:val="20"/>
              </w:rPr>
            </w:r>
            <w:r>
              <w:rPr>
                <w:b/>
                <w:color w:val="FFFFFF"/>
                <w:sz w:val="20"/>
              </w:rPr>
              <w:t>Theme</w:t>
            </w:r>
          </w:p>
        </w:tc>
        <w:tc>
          <w:tcPr>
            <w:tcW w:type="dxa" w:w="1337"/>
            <w:shd w:fill="003B70" w:val="clear"/>
          </w:tcPr>
          <w:p>
            <w:pPr>
              <w:jc w:val="center"/>
            </w:pPr>
            <w:r>
              <w:rPr>
                <w:b/>
                <w:color w:val="FFFFFF"/>
                <w:sz w:val="20"/>
              </w:rPr>
            </w:r>
            <w:r>
              <w:rPr>
                <w:b/>
                <w:color w:val="FFFFFF"/>
                <w:sz w:val="20"/>
              </w:rPr>
              <w:t>Volume (calls)</w:t>
            </w:r>
          </w:p>
        </w:tc>
        <w:tc>
          <w:tcPr>
            <w:tcW w:type="dxa" w:w="1337"/>
            <w:shd w:fill="003B70" w:val="clear"/>
          </w:tcPr>
          <w:p>
            <w:pPr>
              <w:jc w:val="center"/>
            </w:pPr>
            <w:r>
              <w:rPr>
                <w:b/>
                <w:color w:val="FFFFFF"/>
                <w:sz w:val="20"/>
              </w:rPr>
            </w:r>
            <w:r>
              <w:rPr>
                <w:b/>
                <w:color w:val="FFFFFF"/>
                <w:sz w:val="20"/>
              </w:rPr>
              <w:t>Top 3 Problems</w:t>
            </w:r>
          </w:p>
        </w:tc>
        <w:tc>
          <w:tcPr>
            <w:tcW w:type="dxa" w:w="1337"/>
            <w:shd w:fill="003B70" w:val="clear"/>
          </w:tcPr>
          <w:p>
            <w:pPr>
              <w:jc w:val="center"/>
            </w:pPr>
            <w:r>
              <w:rPr>
                <w:b/>
                <w:color w:val="FFFFFF"/>
                <w:sz w:val="20"/>
              </w:rPr>
            </w:r>
            <w:r>
              <w:rPr>
                <w:b/>
                <w:color w:val="FFFFFF"/>
                <w:sz w:val="20"/>
              </w:rPr>
              <w:t>Recommended Solutions</w:t>
            </w:r>
          </w:p>
        </w:tc>
        <w:tc>
          <w:tcPr>
            <w:tcW w:type="dxa" w:w="1337"/>
            <w:shd w:fill="003B70" w:val="clear"/>
          </w:tcPr>
          <w:p>
            <w:pPr>
              <w:jc w:val="center"/>
            </w:pPr>
            <w:r>
              <w:rPr>
                <w:b/>
                <w:color w:val="FFFFFF"/>
                <w:sz w:val="20"/>
              </w:rPr>
            </w:r>
            <w:r>
              <w:rPr>
                <w:b/>
                <w:color w:val="FFFFFF"/>
                <w:sz w:val="20"/>
              </w:rPr>
              <w:t>Ease (1–10)</w:t>
            </w:r>
          </w:p>
        </w:tc>
        <w:tc>
          <w:tcPr>
            <w:tcW w:type="dxa" w:w="1337"/>
            <w:shd w:fill="003B70" w:val="clear"/>
          </w:tcPr>
          <w:p>
            <w:pPr>
              <w:jc w:val="center"/>
            </w:pPr>
            <w:r>
              <w:rPr>
                <w:b/>
                <w:color w:val="FFFFFF"/>
                <w:sz w:val="20"/>
              </w:rPr>
            </w:r>
            <w:r>
              <w:rPr>
                <w:b/>
                <w:color w:val="FFFFFF"/>
                <w:sz w:val="20"/>
              </w:rPr>
              <w:t>Impact (1–10)</w:t>
            </w:r>
          </w:p>
        </w:tc>
        <w:tc>
          <w:tcPr>
            <w:tcW w:type="dxa" w:w="1337"/>
            <w:shd w:fill="003B70" w:val="clear"/>
          </w:tcPr>
          <w:p>
            <w:pPr>
              <w:jc w:val="center"/>
            </w:pPr>
            <w:r>
              <w:rPr>
                <w:b/>
                <w:color w:val="FFFFFF"/>
                <w:sz w:val="20"/>
              </w:rPr>
            </w:r>
            <w:r>
              <w:rPr>
                <w:b/>
                <w:color w:val="FFFFFF"/>
                <w:sz w:val="20"/>
              </w:rPr>
              <w:t>Priority Score</w:t>
            </w:r>
          </w:p>
        </w:tc>
      </w:tr>
      <w:tr>
        <w:tc>
          <w:tcPr>
            <w:tcW w:type="dxa" w:w="1337"/>
          </w:tcPr>
          <w:p>
            <w:r>
              <w:rPr>
                <w:rFonts w:ascii="Calibri" w:hAnsi="Calibri"/>
                <w:sz w:val="20"/>
              </w:rPr>
            </w:r>
            <w:r>
              <w:rPr>
                <w:rFonts w:ascii="Calibri" w:hAnsi="Calibri"/>
                <w:sz w:val="20"/>
              </w:rPr>
              <w:t>Loyalty Tier</w:t>
            </w:r>
          </w:p>
        </w:tc>
        <w:tc>
          <w:tcPr>
            <w:tcW w:type="dxa" w:w="1337"/>
          </w:tcPr>
          <w:p>
            <w:r>
              <w:rPr>
                <w:rFonts w:ascii="Calibri" w:hAnsi="Calibri"/>
                <w:sz w:val="20"/>
              </w:rPr>
            </w:r>
            <w:r>
              <w:rPr>
                <w:rFonts w:ascii="Calibri" w:hAnsi="Calibri"/>
                <w:sz w:val="20"/>
              </w:rPr>
              <w:t>9</w:t>
            </w:r>
          </w:p>
        </w:tc>
        <w:tc>
          <w:tcPr>
            <w:tcW w:type="dxa" w:w="1337"/>
          </w:tcPr>
          <w:p>
            <w:r>
              <w:rPr>
                <w:rFonts w:ascii="Calibri" w:hAnsi="Calibri"/>
                <w:sz w:val="20"/>
              </w:rPr>
            </w:r>
            <w:r>
              <w:rPr>
                <w:rFonts w:ascii="Calibri" w:hAnsi="Calibri"/>
                <w:sz w:val="20"/>
              </w:rPr>
              <w:t>Partner Transfer Delay (3 calls), Promotional Points Missing (2 calls), Category Bonus Not Applied (2 calls)</w:t>
            </w:r>
          </w:p>
        </w:tc>
        <w:tc>
          <w:tcPr>
            <w:tcW w:type="dxa" w:w="1337"/>
          </w:tcPr>
          <w:p>
            <w:r>
              <w:rPr>
                <w:rFonts w:ascii="Calibri" w:hAnsi="Calibri"/>
                <w:sz w:val="20"/>
              </w:rPr>
            </w:r>
            <w:r>
              <w:rPr>
                <w:rFonts w:ascii="Calibri" w:hAnsi="Calibri"/>
                <w:sz w:val="20"/>
              </w:rPr>
              <w:t>Implement in-app status tracker, Develop promotional offer tracker, Enhance transaction details</w:t>
            </w:r>
          </w:p>
        </w:tc>
        <w:tc>
          <w:tcPr>
            <w:tcW w:type="dxa" w:w="1337"/>
          </w:tcPr>
          <w:p>
            <w:r>
              <w:rPr>
                <w:rFonts w:ascii="Calibri" w:hAnsi="Calibri"/>
                <w:sz w:val="20"/>
              </w:rPr>
            </w:r>
            <w:r>
              <w:rPr>
                <w:rFonts w:ascii="Calibri" w:hAnsi="Calibri"/>
                <w:sz w:val="20"/>
              </w:rPr>
              <w:t>7.0</w:t>
            </w:r>
          </w:p>
        </w:tc>
        <w:tc>
          <w:tcPr>
            <w:tcW w:type="dxa" w:w="1337"/>
          </w:tcPr>
          <w:p>
            <w:r>
              <w:rPr>
                <w:rFonts w:ascii="Calibri" w:hAnsi="Calibri"/>
                <w:sz w:val="20"/>
              </w:rPr>
            </w:r>
            <w:r>
              <w:rPr>
                <w:rFonts w:ascii="Calibri" w:hAnsi="Calibri"/>
                <w:sz w:val="20"/>
              </w:rPr>
              <w:t>8.0</w:t>
            </w:r>
          </w:p>
        </w:tc>
        <w:tc>
          <w:tcPr>
            <w:tcW w:type="dxa" w:w="1337"/>
          </w:tcPr>
          <w:p>
            <w:r>
              <w:rPr>
                <w:rFonts w:ascii="Calibri" w:hAnsi="Calibri"/>
                <w:sz w:val="20"/>
              </w:rPr>
            </w:r>
            <w:r>
              <w:rPr>
                <w:rFonts w:ascii="Calibri" w:hAnsi="Calibri"/>
                <w:sz w:val="20"/>
              </w:rPr>
              <w:t>7.6</w:t>
            </w:r>
          </w:p>
        </w:tc>
      </w:tr>
      <w:tr>
        <w:tc>
          <w:tcPr>
            <w:tcW w:type="dxa" w:w="1337"/>
            <w:shd w:fill="F2F6FA" w:val="clear"/>
          </w:tcPr>
          <w:p>
            <w:r>
              <w:rPr>
                <w:rFonts w:ascii="Calibri" w:hAnsi="Calibri"/>
                <w:sz w:val="20"/>
              </w:rPr>
            </w:r>
            <w:r>
              <w:rPr>
                <w:rFonts w:ascii="Calibri" w:hAnsi="Calibri"/>
                <w:sz w:val="20"/>
              </w:rPr>
              <w:t>Other</w:t>
            </w:r>
          </w:p>
        </w:tc>
        <w:tc>
          <w:tcPr>
            <w:tcW w:type="dxa" w:w="1337"/>
            <w:shd w:fill="F2F6FA" w:val="clear"/>
          </w:tcPr>
          <w:p>
            <w:r>
              <w:rPr>
                <w:rFonts w:ascii="Calibri" w:hAnsi="Calibri"/>
                <w:sz w:val="20"/>
              </w:rPr>
            </w:r>
            <w:r>
              <w:rPr>
                <w:rFonts w:ascii="Calibri" w:hAnsi="Calibri"/>
                <w:sz w:val="20"/>
              </w:rPr>
              <w:t>7</w:t>
            </w:r>
          </w:p>
        </w:tc>
        <w:tc>
          <w:tcPr>
            <w:tcW w:type="dxa" w:w="1337"/>
            <w:shd w:fill="F2F6FA" w:val="clear"/>
          </w:tcPr>
          <w:p>
            <w:r>
              <w:rPr>
                <w:rFonts w:ascii="Calibri" w:hAnsi="Calibri"/>
                <w:sz w:val="20"/>
              </w:rPr>
            </w:r>
            <w:r>
              <w:rPr>
                <w:rFonts w:ascii="Calibri" w:hAnsi="Calibri"/>
                <w:sz w:val="20"/>
              </w:rPr>
              <w:t>Points Not Credited (2 calls), Redemption Minimum Too High (2 calls), Tier Downgrade Surprise (1 call)</w:t>
            </w:r>
          </w:p>
        </w:tc>
        <w:tc>
          <w:tcPr>
            <w:tcW w:type="dxa" w:w="1337"/>
            <w:shd w:fill="F2F6FA" w:val="clear"/>
          </w:tcPr>
          <w:p>
            <w:r>
              <w:rPr>
                <w:rFonts w:ascii="Calibri" w:hAnsi="Calibri"/>
                <w:sz w:val="20"/>
              </w:rPr>
            </w:r>
            <w:r>
              <w:rPr>
                <w:rFonts w:ascii="Calibri" w:hAnsi="Calibri"/>
                <w:sz w:val="20"/>
              </w:rPr>
              <w:t>Implement pending points view, Clearly communicate redemption minimums, Provide in-app tier visibility</w:t>
            </w:r>
          </w:p>
        </w:tc>
        <w:tc>
          <w:tcPr>
            <w:tcW w:type="dxa" w:w="1337"/>
            <w:shd w:fill="F2F6FA" w:val="clear"/>
          </w:tcPr>
          <w:p>
            <w:r>
              <w:rPr>
                <w:rFonts w:ascii="Calibri" w:hAnsi="Calibri"/>
                <w:sz w:val="20"/>
              </w:rPr>
            </w:r>
            <w:r>
              <w:rPr>
                <w:rFonts w:ascii="Calibri" w:hAnsi="Calibri"/>
                <w:sz w:val="20"/>
              </w:rPr>
              <w:t>7.0</w:t>
            </w:r>
          </w:p>
        </w:tc>
        <w:tc>
          <w:tcPr>
            <w:tcW w:type="dxa" w:w="1337"/>
            <w:shd w:fill="F2F6FA" w:val="clear"/>
          </w:tcPr>
          <w:p>
            <w:r>
              <w:rPr>
                <w:rFonts w:ascii="Calibri" w:hAnsi="Calibri"/>
                <w:sz w:val="20"/>
              </w:rPr>
            </w:r>
            <w:r>
              <w:rPr>
                <w:rFonts w:ascii="Calibri" w:hAnsi="Calibri"/>
                <w:sz w:val="20"/>
              </w:rPr>
              <w:t>8.0</w:t>
            </w:r>
          </w:p>
        </w:tc>
        <w:tc>
          <w:tcPr>
            <w:tcW w:type="dxa" w:w="1337"/>
            <w:shd w:fill="F2F6FA" w:val="clear"/>
          </w:tcPr>
          <w:p>
            <w:r>
              <w:rPr>
                <w:rFonts w:ascii="Calibri" w:hAnsi="Calibri"/>
                <w:sz w:val="20"/>
              </w:rPr>
            </w:r>
            <w:r>
              <w:rPr>
                <w:rFonts w:ascii="Calibri" w:hAnsi="Calibri"/>
                <w:sz w:val="20"/>
              </w:rPr>
              <w:t>7.6</w:t>
            </w:r>
          </w:p>
        </w:tc>
      </w:tr>
    </w:tbl>
    <w:p/>
    <w:p>
      <w:pPr>
        <w:spacing w:before="80" w:after="80"/>
        <w:pBdr>
          <w:bottom w:val="single" w:sz="4" w:space="1" w:color="CCCCCC"/>
        </w:pBdr>
      </w:pPr>
    </w:p>
    <w:p>
      <w:pPr>
        <w:pStyle w:val="Heading2"/>
      </w:pPr>
      <w:r>
        <w:t>The Biggest Bet</w:t>
      </w:r>
    </w:p>
    <w:p>
      <w:r>
        <w:rPr>
          <w:b/>
        </w:rPr>
        <w:t>Loyalty Tier</w:t>
      </w:r>
      <w:r>
        <w:t xml:space="preserve"> — fixing the top 3 drivers alone deflects </w:t>
      </w:r>
      <w:r>
        <w:rPr>
          <w:b/>
        </w:rPr>
        <w:t>7 calls (43.75% of total volume)</w:t>
      </w:r>
      <w:r>
        <w:t xml:space="preserve"> and is achievable within one quarter.</w:t>
      </w:r>
    </w:p>
    <w:p>
      <w:pPr>
        <w:spacing w:before="80" w:after="80"/>
        <w:pBdr>
          <w:bottom w:val="single" w:sz="4" w:space="1" w:color="CCCCCC"/>
        </w:pBdr>
      </w:pPr>
    </w:p>
    <w:p>
      <w:pPr>
        <w:pStyle w:val="Heading1"/>
      </w:pPr>
      <w:r>
        <w:t>Recommended Actions by Owning Team</w:t>
      </w:r>
    </w:p>
    <w:p>
      <w:r>
        <w:t>Organized by owning team for clear accountability. Each action is sequenced by priority score — highest first.</w:t>
      </w:r>
    </w:p>
    <w:p>
      <w:pPr>
        <w:spacing w:before="80" w:after="80"/>
        <w:pBdr>
          <w:bottom w:val="single" w:sz="4" w:space="1" w:color="CCCCCC"/>
        </w:pBdr>
      </w:pPr>
    </w:p>
    <w:p>
      <w:pPr>
        <w:pStyle w:val="Heading2"/>
      </w:pPr>
      <w:r>
        <w:t>Digital / UX</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B70" w:val="clear"/>
          </w:tcPr>
          <w:p>
            <w:pPr>
              <w:jc w:val="center"/>
            </w:pPr>
            <w:r>
              <w:rPr>
                <w:b/>
                <w:color w:val="FFFFFF"/>
                <w:sz w:val="20"/>
              </w:rPr>
            </w:r>
            <w:r>
              <w:rPr>
                <w:b/>
                <w:color w:val="FFFFFF"/>
                <w:sz w:val="20"/>
              </w:rPr>
              <w:t>Action</w:t>
            </w:r>
          </w:p>
        </w:tc>
        <w:tc>
          <w:tcPr>
            <w:tcW w:type="dxa" w:w="2340"/>
            <w:shd w:fill="003B70" w:val="clear"/>
          </w:tcPr>
          <w:p>
            <w:pPr>
              <w:jc w:val="center"/>
            </w:pPr>
            <w:r>
              <w:rPr>
                <w:b/>
                <w:color w:val="FFFFFF"/>
                <w:sz w:val="20"/>
              </w:rPr>
            </w:r>
            <w:r>
              <w:rPr>
                <w:b/>
                <w:color w:val="FFFFFF"/>
                <w:sz w:val="20"/>
              </w:rPr>
              <w:t>Theme</w:t>
            </w:r>
          </w:p>
        </w:tc>
        <w:tc>
          <w:tcPr>
            <w:tcW w:type="dxa" w:w="2340"/>
            <w:shd w:fill="003B70" w:val="clear"/>
          </w:tcPr>
          <w:p>
            <w:pPr>
              <w:jc w:val="center"/>
            </w:pPr>
            <w:r>
              <w:rPr>
                <w:b/>
                <w:color w:val="FFFFFF"/>
                <w:sz w:val="20"/>
              </w:rPr>
            </w:r>
            <w:r>
              <w:rPr>
                <w:b/>
                <w:color w:val="FFFFFF"/>
                <w:sz w:val="20"/>
              </w:rPr>
              <w:t>Resolves</w:t>
            </w:r>
          </w:p>
        </w:tc>
        <w:tc>
          <w:tcPr>
            <w:tcW w:type="dxa" w:w="2340"/>
            <w:shd w:fill="003B70" w:val="clear"/>
          </w:tcPr>
          <w:p>
            <w:pPr>
              <w:jc w:val="center"/>
            </w:pPr>
            <w:r>
              <w:rPr>
                <w:b/>
                <w:color w:val="FFFFFF"/>
                <w:sz w:val="20"/>
              </w:rPr>
            </w:r>
            <w:r>
              <w:rPr>
                <w:b/>
                <w:color w:val="FFFFFF"/>
                <w:sz w:val="20"/>
              </w:rPr>
              <w:t>Priority</w:t>
            </w:r>
          </w:p>
        </w:tc>
      </w:tr>
      <w:tr>
        <w:tc>
          <w:tcPr>
            <w:tcW w:type="dxa" w:w="2340"/>
          </w:tcPr>
          <w:p>
            <w:r>
              <w:rPr>
                <w:rFonts w:ascii="Calibri" w:hAnsi="Calibri"/>
                <w:sz w:val="20"/>
              </w:rPr>
            </w:r>
            <w:r>
              <w:rPr>
                <w:rFonts w:ascii="Calibri" w:hAnsi="Calibri"/>
                <w:sz w:val="20"/>
              </w:rPr>
              <w:t>Implement an in-app status tracker for partner points transfers</w:t>
            </w:r>
          </w:p>
        </w:tc>
        <w:tc>
          <w:tcPr>
            <w:tcW w:type="dxa" w:w="2340"/>
          </w:tcPr>
          <w:p>
            <w:r>
              <w:rPr>
                <w:rFonts w:ascii="Calibri" w:hAnsi="Calibri"/>
                <w:sz w:val="20"/>
              </w:rPr>
            </w:r>
            <w:r>
              <w:rPr>
                <w:rFonts w:ascii="Calibri" w:hAnsi="Calibri"/>
                <w:sz w:val="20"/>
              </w:rPr>
              <w:t>Loyalty Tier</w:t>
            </w:r>
          </w:p>
        </w:tc>
        <w:tc>
          <w:tcPr>
            <w:tcW w:type="dxa" w:w="2340"/>
          </w:tcPr>
          <w:p>
            <w:r>
              <w:rPr>
                <w:rFonts w:ascii="Calibri" w:hAnsi="Calibri"/>
                <w:sz w:val="20"/>
              </w:rPr>
            </w:r>
            <w:r>
              <w:rPr>
                <w:rFonts w:ascii="Calibri" w:hAnsi="Calibri"/>
                <w:sz w:val="20"/>
              </w:rPr>
              <w:t>~4 calls (25%)</w:t>
            </w:r>
          </w:p>
        </w:tc>
        <w:tc>
          <w:tcPr>
            <w:tcW w:type="dxa" w:w="2340"/>
          </w:tcPr>
          <w:p>
            <w:r>
              <w:rPr>
                <w:rFonts w:ascii="Calibri" w:hAnsi="Calibri"/>
                <w:sz w:val="20"/>
              </w:rPr>
            </w:r>
            <w:r>
              <w:rPr>
                <w:rFonts w:ascii="Calibri" w:hAnsi="Calibri"/>
                <w:sz w:val="20"/>
              </w:rPr>
              <w:t>7.6</w:t>
            </w:r>
          </w:p>
        </w:tc>
      </w:tr>
      <w:tr>
        <w:tc>
          <w:tcPr>
            <w:tcW w:type="dxa" w:w="2340"/>
            <w:shd w:fill="F2F6FA" w:val="clear"/>
          </w:tcPr>
          <w:p>
            <w:r>
              <w:rPr>
                <w:rFonts w:ascii="Calibri" w:hAnsi="Calibri"/>
                <w:sz w:val="20"/>
              </w:rPr>
            </w:r>
            <w:r>
              <w:rPr>
                <w:rFonts w:ascii="Calibri" w:hAnsi="Calibri"/>
                <w:sz w:val="20"/>
              </w:rPr>
              <w:t>Introduce a 'pending points' section in the rewards dashboard</w:t>
            </w:r>
          </w:p>
        </w:tc>
        <w:tc>
          <w:tcPr>
            <w:tcW w:type="dxa" w:w="2340"/>
            <w:shd w:fill="F2F6FA" w:val="clear"/>
          </w:tcPr>
          <w:p>
            <w:r>
              <w:rPr>
                <w:rFonts w:ascii="Calibri" w:hAnsi="Calibri"/>
                <w:sz w:val="20"/>
              </w:rPr>
            </w:r>
            <w:r>
              <w:rPr>
                <w:rFonts w:ascii="Calibri" w:hAnsi="Calibri"/>
                <w:sz w:val="20"/>
              </w:rPr>
              <w:t>Loyalty Tier / Other</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7.6</w:t>
            </w:r>
          </w:p>
        </w:tc>
      </w:tr>
      <w:tr>
        <w:tc>
          <w:tcPr>
            <w:tcW w:type="dxa" w:w="2340"/>
          </w:tcPr>
          <w:p>
            <w:r>
              <w:rPr>
                <w:rFonts w:ascii="Calibri" w:hAnsi="Calibri"/>
                <w:sz w:val="20"/>
              </w:rPr>
            </w:r>
            <w:r>
              <w:rPr>
                <w:rFonts w:ascii="Calibri" w:hAnsi="Calibri"/>
                <w:sz w:val="20"/>
              </w:rPr>
              <w:t>Clearly communicate redemption minimums upfront in the rewards section</w:t>
            </w:r>
          </w:p>
        </w:tc>
        <w:tc>
          <w:tcPr>
            <w:tcW w:type="dxa" w:w="2340"/>
          </w:tcPr>
          <w:p>
            <w:r>
              <w:rPr>
                <w:rFonts w:ascii="Calibri" w:hAnsi="Calibri"/>
                <w:sz w:val="20"/>
              </w:rPr>
            </w:r>
            <w:r>
              <w:rPr>
                <w:rFonts w:ascii="Calibri" w:hAnsi="Calibri"/>
                <w:sz w:val="20"/>
              </w:rPr>
              <w:t>Other</w:t>
            </w:r>
          </w:p>
        </w:tc>
        <w:tc>
          <w:tcPr>
            <w:tcW w:type="dxa" w:w="2340"/>
          </w:tcPr>
          <w:p>
            <w:r>
              <w:rPr>
                <w:rFonts w:ascii="Calibri" w:hAnsi="Calibri"/>
                <w:sz w:val="20"/>
              </w:rPr>
            </w:r>
            <w:r>
              <w:rPr>
                <w:rFonts w:ascii="Calibri" w:hAnsi="Calibri"/>
                <w:sz w:val="20"/>
              </w:rPr>
              <w:t>~3 calls (18.75%)</w:t>
            </w:r>
          </w:p>
        </w:tc>
        <w:tc>
          <w:tcPr>
            <w:tcW w:type="dxa" w:w="2340"/>
          </w:tcPr>
          <w:p>
            <w:r>
              <w:rPr>
                <w:rFonts w:ascii="Calibri" w:hAnsi="Calibri"/>
                <w:sz w:val="20"/>
              </w:rPr>
            </w:r>
            <w:r>
              <w:rPr>
                <w:rFonts w:ascii="Calibri" w:hAnsi="Calibri"/>
                <w:sz w:val="20"/>
              </w:rPr>
              <w:t>7.6</w:t>
            </w:r>
          </w:p>
        </w:tc>
      </w:tr>
      <w:tr>
        <w:tc>
          <w:tcPr>
            <w:tcW w:type="dxa" w:w="2340"/>
            <w:shd w:fill="F2F6FA" w:val="clear"/>
          </w:tcPr>
          <w:p>
            <w:r>
              <w:rPr>
                <w:rFonts w:ascii="Calibri" w:hAnsi="Calibri"/>
                <w:sz w:val="20"/>
              </w:rPr>
            </w:r>
            <w:r>
              <w:rPr>
                <w:rFonts w:ascii="Calibri" w:hAnsi="Calibri"/>
                <w:sz w:val="20"/>
              </w:rPr>
              <w:t>Develop an in-app promotional offer tracker</w:t>
            </w:r>
          </w:p>
        </w:tc>
        <w:tc>
          <w:tcPr>
            <w:tcW w:type="dxa" w:w="2340"/>
            <w:shd w:fill="F2F6FA" w:val="clear"/>
          </w:tcPr>
          <w:p>
            <w:r>
              <w:rPr>
                <w:rFonts w:ascii="Calibri" w:hAnsi="Calibri"/>
                <w:sz w:val="20"/>
              </w:rPr>
            </w:r>
            <w:r>
              <w:rPr>
                <w:rFonts w:ascii="Calibri" w:hAnsi="Calibri"/>
                <w:sz w:val="20"/>
              </w:rPr>
              <w:t>Loyalty Tier</w:t>
            </w:r>
          </w:p>
        </w:tc>
        <w:tc>
          <w:tcPr>
            <w:tcW w:type="dxa" w:w="2340"/>
            <w:shd w:fill="F2F6FA" w:val="clear"/>
          </w:tcPr>
          <w:p>
            <w:r>
              <w:rPr>
                <w:rFonts w:ascii="Calibri" w:hAnsi="Calibri"/>
                <w:sz w:val="20"/>
              </w:rPr>
            </w:r>
            <w:r>
              <w:rPr>
                <w:rFonts w:ascii="Calibri" w:hAnsi="Calibri"/>
                <w:sz w:val="20"/>
              </w:rPr>
              <w:t>~3 calls (18.75%)</w:t>
            </w:r>
          </w:p>
        </w:tc>
        <w:tc>
          <w:tcPr>
            <w:tcW w:type="dxa" w:w="2340"/>
            <w:shd w:fill="F2F6FA" w:val="clear"/>
          </w:tcPr>
          <w:p>
            <w:r>
              <w:rPr>
                <w:rFonts w:ascii="Calibri" w:hAnsi="Calibri"/>
                <w:sz w:val="20"/>
              </w:rPr>
            </w:r>
            <w:r>
              <w:rPr>
                <w:rFonts w:ascii="Calibri" w:hAnsi="Calibri"/>
                <w:sz w:val="20"/>
              </w:rPr>
              <w:t>7.6</w:t>
            </w:r>
          </w:p>
        </w:tc>
      </w:tr>
      <w:tr>
        <w:tc>
          <w:tcPr>
            <w:tcW w:type="dxa" w:w="2340"/>
          </w:tcPr>
          <w:p>
            <w:r>
              <w:rPr>
                <w:rFonts w:ascii="Calibri" w:hAnsi="Calibri"/>
                <w:sz w:val="20"/>
              </w:rPr>
            </w:r>
            <w:r>
              <w:rPr>
                <w:rFonts w:ascii="Calibri" w:hAnsi="Calibri"/>
                <w:sz w:val="20"/>
              </w:rPr>
              <w:t>Enhance transaction details to show earn rate and category mapping</w:t>
            </w:r>
          </w:p>
        </w:tc>
        <w:tc>
          <w:tcPr>
            <w:tcW w:type="dxa" w:w="2340"/>
          </w:tcPr>
          <w:p>
            <w:r>
              <w:rPr>
                <w:rFonts w:ascii="Calibri" w:hAnsi="Calibri"/>
                <w:sz w:val="20"/>
              </w:rPr>
            </w:r>
            <w:r>
              <w:rPr>
                <w:rFonts w:ascii="Calibri" w:hAnsi="Calibri"/>
                <w:sz w:val="20"/>
              </w:rPr>
              <w:t>Loyalty Tier</w:t>
            </w:r>
          </w:p>
        </w:tc>
        <w:tc>
          <w:tcPr>
            <w:tcW w:type="dxa" w:w="2340"/>
          </w:tcPr>
          <w:p>
            <w:r>
              <w:rPr>
                <w:rFonts w:ascii="Calibri" w:hAnsi="Calibri"/>
                <w:sz w:val="20"/>
              </w:rPr>
            </w:r>
            <w:r>
              <w:rPr>
                <w:rFonts w:ascii="Calibri" w:hAnsi="Calibri"/>
                <w:sz w:val="20"/>
              </w:rPr>
              <w:t>~2 calls (12.5%)</w:t>
            </w:r>
          </w:p>
        </w:tc>
        <w:tc>
          <w:tcPr>
            <w:tcW w:type="dxa" w:w="2340"/>
          </w:tcPr>
          <w:p>
            <w:r>
              <w:rPr>
                <w:rFonts w:ascii="Calibri" w:hAnsi="Calibri"/>
                <w:sz w:val="20"/>
              </w:rPr>
            </w:r>
            <w:r>
              <w:rPr>
                <w:rFonts w:ascii="Calibri" w:hAnsi="Calibri"/>
                <w:sz w:val="20"/>
              </w:rPr>
              <w:t>7.6</w:t>
            </w:r>
          </w:p>
        </w:tc>
      </w:tr>
      <w:tr>
        <w:tc>
          <w:tcPr>
            <w:tcW w:type="dxa" w:w="2340"/>
            <w:shd w:fill="F2F6FA" w:val="clear"/>
          </w:tcPr>
          <w:p>
            <w:r>
              <w:rPr>
                <w:rFonts w:ascii="Calibri" w:hAnsi="Calibri"/>
                <w:sz w:val="20"/>
              </w:rPr>
            </w:r>
            <w:r>
              <w:rPr>
                <w:rFonts w:ascii="Calibri" w:hAnsi="Calibri"/>
                <w:sz w:val="20"/>
              </w:rPr>
              <w:t>Provide in-app visibility into tier status, criteria, and notifications</w:t>
            </w:r>
          </w:p>
        </w:tc>
        <w:tc>
          <w:tcPr>
            <w:tcW w:type="dxa" w:w="2340"/>
            <w:shd w:fill="F2F6FA" w:val="clear"/>
          </w:tcPr>
          <w:p>
            <w:r>
              <w:rPr>
                <w:rFonts w:ascii="Calibri" w:hAnsi="Calibri"/>
                <w:sz w:val="20"/>
              </w:rPr>
            </w:r>
            <w:r>
              <w:rPr>
                <w:rFonts w:ascii="Calibri" w:hAnsi="Calibri"/>
                <w:sz w:val="20"/>
              </w:rPr>
              <w:t>Other</w:t>
            </w:r>
          </w:p>
        </w:tc>
        <w:tc>
          <w:tcPr>
            <w:tcW w:type="dxa" w:w="2340"/>
            <w:shd w:fill="F2F6FA" w:val="clear"/>
          </w:tcPr>
          <w:p>
            <w:r>
              <w:rPr>
                <w:rFonts w:ascii="Calibri" w:hAnsi="Calibri"/>
                <w:sz w:val="20"/>
              </w:rPr>
            </w:r>
            <w:r>
              <w:rPr>
                <w:rFonts w:ascii="Calibri" w:hAnsi="Calibri"/>
                <w:sz w:val="20"/>
              </w:rPr>
              <w:t>~1 call (6.25%)</w:t>
            </w:r>
          </w:p>
        </w:tc>
        <w:tc>
          <w:tcPr>
            <w:tcW w:type="dxa" w:w="2340"/>
            <w:shd w:fill="F2F6FA" w:val="clear"/>
          </w:tcPr>
          <w:p>
            <w:r>
              <w:rPr>
                <w:rFonts w:ascii="Calibri" w:hAnsi="Calibri"/>
                <w:sz w:val="20"/>
              </w:rPr>
            </w:r>
            <w:r>
              <w:rPr>
                <w:rFonts w:ascii="Calibri" w:hAnsi="Calibri"/>
                <w:sz w:val="20"/>
              </w:rPr>
              <w:t>7.6</w:t>
            </w:r>
          </w:p>
        </w:tc>
      </w:tr>
    </w:tbl>
    <w:p/>
    <w:p>
      <w:pPr>
        <w:spacing w:before="80" w:after="80"/>
        <w:pBdr>
          <w:bottom w:val="single" w:sz="4" w:space="1" w:color="CCCCCC"/>
        </w:pBdr>
      </w:pPr>
    </w:p>
    <w:p>
      <w:pPr>
        <w:pStyle w:val="Heading2"/>
      </w:pPr>
      <w:r>
        <w:t>Operations</w:t>
      </w:r>
    </w:p>
    <w:p>
      <w:r>
        <w:t>No high-priority actions identified in this cycle.</w:t>
      </w:r>
    </w:p>
    <w:p>
      <w:pPr>
        <w:spacing w:before="80" w:after="80"/>
        <w:pBdr>
          <w:bottom w:val="single" w:sz="4" w:space="1" w:color="CCCCCC"/>
        </w:pBdr>
      </w:pPr>
    </w:p>
    <w:p>
      <w:pPr>
        <w:pStyle w:val="Heading2"/>
      </w:pPr>
      <w:r>
        <w:t>Communications</w:t>
      </w:r>
    </w:p>
    <w:p>
      <w:r>
        <w:t>No high-priority actions identified in this cycle.</w:t>
      </w:r>
    </w:p>
    <w:p>
      <w:pPr>
        <w:spacing w:before="80" w:after="80"/>
        <w:pBdr>
          <w:bottom w:val="single" w:sz="4" w:space="1" w:color="CCCCCC"/>
        </w:pBdr>
      </w:pPr>
    </w:p>
    <w:p>
      <w:pPr>
        <w:pStyle w:val="Heading2"/>
      </w:pPr>
      <w:r>
        <w:t>Policy / Governance</w:t>
      </w:r>
    </w:p>
    <w:p>
      <w:r>
        <w:t>No high-priority actions identified in this cycle.</w:t>
      </w:r>
    </w:p>
    <w:p>
      <w:pPr>
        <w:spacing w:before="80" w:after="80"/>
        <w:pBdr>
          <w:bottom w:val="single" w:sz="4" w:space="1" w:color="CCCCCC"/>
        </w:pBdr>
      </w:pPr>
    </w:p>
    <w:p>
      <w:pPr>
        <w:pStyle w:val="Heading1"/>
      </w:pPr>
      <w:r>
        <w:t>Loyalty Tier — Deep Dive</w:t>
      </w:r>
    </w:p>
    <w:p>
      <w:r>
        <w:rPr>
          <w:b/>
        </w:rPr>
        <w:t>Priority:</w:t>
      </w:r>
      <w:r>
        <w:t xml:space="preserve"> 7.6/10 | </w:t>
      </w:r>
      <w:r>
        <w:rPr>
          <w:b/>
        </w:rPr>
        <w:t>Ease:</w:t>
      </w:r>
      <w:r>
        <w:t xml:space="preserve"> 7.0/10 | </w:t>
      </w:r>
      <w:r>
        <w:rPr>
          <w:b/>
        </w:rPr>
        <w:t>Impact:</w:t>
      </w:r>
      <w:r>
        <w:t xml:space="preserve"> 8.0/10</w:t>
      </w:r>
    </w:p>
    <w:p>
      <w:r>
        <w:rPr>
          <w:b/>
        </w:rPr>
        <w:t>Volume:</w:t>
      </w:r>
      <w:r>
        <w:t xml:space="preserve"> 9 calls | 56.25% of overall analyzed volume</w:t>
      </w:r>
    </w:p>
    <w:p>
      <w:pPr>
        <w:spacing w:before="80" w:after="80"/>
        <w:pBdr>
          <w:bottom w:val="single" w:sz="4" w:space="1" w:color="CCCCCC"/>
        </w:pBdr>
      </w:pPr>
    </w:p>
    <w:p>
      <w:pPr>
        <w:pStyle w:val="Heading2"/>
      </w:pPr>
      <w:r>
        <w:t>Loyalty Tier: The Story</w:t>
      </w:r>
    </w:p>
    <w:p>
      <w:r>
        <w:t>Customers enrolled in the loyalty program are facing significant friction due to a lack of transparency and visibility into their points. This leads to confusion around point transfers, promotional earnings, and how category bonuses are applied, directly driving calls for clarification and manual intervention.</w:t>
      </w:r>
    </w:p>
    <w:p>
      <w:pPr>
        <w:pStyle w:val="Heading4"/>
      </w:pPr>
      <w:r>
        <w:t>Core Issue</w:t>
      </w:r>
    </w:p>
    <w:p>
      <w:r>
        <w:t>The digital experience fails to provide adequate real-time information and self-service tools for customers to track their loyalty points, especially concerning partner transfers, promotional offers, and category bonuses.</w:t>
      </w:r>
    </w:p>
    <w:p>
      <w:pPr>
        <w:pStyle w:val="Heading4"/>
      </w:pPr>
      <w:r>
        <w:t>Primary Driver</w:t>
      </w:r>
    </w:p>
    <w:p>
      <w:r>
        <w:t>The single biggest driver of calls within this theme is "Partner Transfer Delay," accounting for 3 calls, as customers are left in the dark about the status and completion of their points transfers.</w:t>
      </w:r>
    </w:p>
    <w:p>
      <w:pPr>
        <w:pStyle w:val="Heading4"/>
      </w:pPr>
      <w:r>
        <w:t>Solutions</w:t>
      </w:r>
    </w:p>
    <w:p>
      <w:pPr>
        <w:pStyle w:val="ListNumber"/>
      </w:pPr>
      <w:r>
        <w:t>Implement an in-app status tracker for partner points transfers, showing current status and estimated completion times. `[Digital]`</w:t>
      </w:r>
    </w:p>
    <w:p>
      <w:pPr>
        <w:pStyle w:val="ListNumber"/>
      </w:pPr>
      <w:r>
        <w:t>Develop an in-app promotional offer tracker that displays progress towards earning points and clearly outlines all eligibility criteria. `[Digital]`</w:t>
      </w:r>
    </w:p>
    <w:p>
      <w:pPr>
        <w:pStyle w:val="ListNumber"/>
      </w:pPr>
      <w:r>
        <w:t>Enhance transaction details to show the earn rate applied to each purchase and provide an explainer for how merchant categories map to bonus categories. `[Digital]`</w:t>
      </w:r>
    </w:p>
    <w:p>
      <w:pPr>
        <w:spacing w:before="80" w:after="80"/>
        <w:pBdr>
          <w:bottom w:val="single" w:sz="4" w:space="1" w:color="CCCCCC"/>
        </w:pBdr>
      </w:pPr>
    </w:p>
    <w:p>
      <w:pPr>
        <w:pStyle w:val="Heading2"/>
      </w:pPr>
      <w:r>
        <w:t>Loyalty Tier: Root Cause Breakdown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Partner Transfer Delay</w:t>
            </w:r>
          </w:p>
        </w:tc>
        <w:tc>
          <w:tcPr>
            <w:tcW w:type="dxa" w:w="1560"/>
          </w:tcPr>
          <w:p>
            <w:r>
              <w:rPr>
                <w:rFonts w:ascii="Calibri" w:hAnsi="Calibri"/>
                <w:sz w:val="20"/>
              </w:rPr>
            </w:r>
            <w:r>
              <w:rPr>
                <w:rFonts w:ascii="Calibri" w:hAnsi="Calibri"/>
                <w:sz w:val="20"/>
              </w:rPr>
              <w:t>3</w:t>
            </w:r>
          </w:p>
        </w:tc>
        <w:tc>
          <w:tcPr>
            <w:tcW w:type="dxa" w:w="1560"/>
          </w:tcPr>
          <w:p>
            <w:r>
              <w:rPr>
                <w:rFonts w:ascii="Calibri" w:hAnsi="Calibri"/>
                <w:sz w:val="20"/>
              </w:rPr>
            </w:r>
            <w:r>
              <w:rPr>
                <w:rFonts w:ascii="Calibri" w:hAnsi="Calibri"/>
                <w:sz w:val="20"/>
              </w:rPr>
              <w:t>33.33%</w:t>
            </w:r>
          </w:p>
        </w:tc>
        <w:tc>
          <w:tcPr>
            <w:tcW w:type="dxa" w:w="1560"/>
          </w:tcPr>
          <w:p>
            <w:r>
              <w:rPr>
                <w:rFonts w:ascii="Calibri" w:hAnsi="Calibri"/>
                <w:sz w:val="20"/>
              </w:rPr>
            </w:r>
            <w:r>
              <w:rPr>
                <w:rFonts w:ascii="Calibri" w:hAnsi="Calibri"/>
                <w:sz w:val="20"/>
              </w:rPr>
              <w:t>Primary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an in-app status tracker for partner points transfers</w:t>
            </w:r>
          </w:p>
        </w:tc>
      </w:tr>
      <w:tr>
        <w:tc>
          <w:tcPr>
            <w:tcW w:type="dxa" w:w="1560"/>
            <w:shd w:fill="F2F6FA" w:val="clear"/>
          </w:tcPr>
          <w:p>
            <w:r>
              <w:rPr>
                <w:rFonts w:ascii="Calibri" w:hAnsi="Calibri"/>
                <w:sz w:val="20"/>
              </w:rPr>
            </w:r>
            <w:r>
              <w:rPr>
                <w:rFonts w:ascii="Calibri" w:hAnsi="Calibri"/>
                <w:sz w:val="20"/>
              </w:rPr>
              <w:t>Promotional Points Missing</w:t>
            </w:r>
          </w:p>
        </w:tc>
        <w:tc>
          <w:tcPr>
            <w:tcW w:type="dxa" w:w="1560"/>
            <w:shd w:fill="F2F6FA" w:val="clear"/>
          </w:tcPr>
          <w:p>
            <w:r>
              <w:rPr>
                <w:rFonts w:ascii="Calibri" w:hAnsi="Calibri"/>
                <w:sz w:val="20"/>
              </w:rPr>
            </w:r>
            <w:r>
              <w:rPr>
                <w:rFonts w:ascii="Calibri" w:hAnsi="Calibri"/>
                <w:sz w:val="20"/>
              </w:rPr>
              <w:t>2</w:t>
            </w:r>
          </w:p>
        </w:tc>
        <w:tc>
          <w:tcPr>
            <w:tcW w:type="dxa" w:w="1560"/>
            <w:shd w:fill="F2F6FA" w:val="clear"/>
          </w:tcPr>
          <w:p>
            <w:r>
              <w:rPr>
                <w:rFonts w:ascii="Calibri" w:hAnsi="Calibri"/>
                <w:sz w:val="20"/>
              </w:rPr>
            </w:r>
            <w:r>
              <w:rPr>
                <w:rFonts w:ascii="Calibri" w:hAnsi="Calibri"/>
                <w:sz w:val="20"/>
              </w:rPr>
              <w:t>22.22%</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Develop an in-app promotional offer tracker</w:t>
            </w:r>
          </w:p>
        </w:tc>
      </w:tr>
      <w:tr>
        <w:tc>
          <w:tcPr>
            <w:tcW w:type="dxa" w:w="1560"/>
          </w:tcPr>
          <w:p>
            <w:r>
              <w:rPr>
                <w:rFonts w:ascii="Calibri" w:hAnsi="Calibri"/>
                <w:sz w:val="20"/>
              </w:rPr>
            </w:r>
            <w:r>
              <w:rPr>
                <w:rFonts w:ascii="Calibri" w:hAnsi="Calibri"/>
                <w:sz w:val="20"/>
              </w:rPr>
              <w:t>Category Bonus Not Applied</w:t>
            </w:r>
          </w:p>
        </w:tc>
        <w:tc>
          <w:tcPr>
            <w:tcW w:type="dxa" w:w="1560"/>
          </w:tcPr>
          <w:p>
            <w:r>
              <w:rPr>
                <w:rFonts w:ascii="Calibri" w:hAnsi="Calibri"/>
                <w:sz w:val="20"/>
              </w:rPr>
            </w:r>
            <w:r>
              <w:rPr>
                <w:rFonts w:ascii="Calibri" w:hAnsi="Calibri"/>
                <w:sz w:val="20"/>
              </w:rPr>
              <w:t>2</w:t>
            </w:r>
          </w:p>
        </w:tc>
        <w:tc>
          <w:tcPr>
            <w:tcW w:type="dxa" w:w="1560"/>
          </w:tcPr>
          <w:p>
            <w:r>
              <w:rPr>
                <w:rFonts w:ascii="Calibri" w:hAnsi="Calibri"/>
                <w:sz w:val="20"/>
              </w:rPr>
            </w:r>
            <w:r>
              <w:rPr>
                <w:rFonts w:ascii="Calibri" w:hAnsi="Calibri"/>
                <w:sz w:val="20"/>
              </w:rPr>
              <w:t>22.22%</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Enhance transaction details to show earn rate and category mapping</w:t>
            </w:r>
          </w:p>
        </w:tc>
      </w:tr>
      <w:tr>
        <w:tc>
          <w:tcPr>
            <w:tcW w:type="dxa" w:w="1560"/>
            <w:shd w:fill="F2F6FA" w:val="clear"/>
          </w:tcPr>
          <w:p>
            <w:r>
              <w:rPr>
                <w:rFonts w:ascii="Calibri" w:hAnsi="Calibri"/>
                <w:sz w:val="20"/>
              </w:rPr>
            </w:r>
            <w:r>
              <w:rPr>
                <w:rFonts w:ascii="Calibri" w:hAnsi="Calibri"/>
                <w:sz w:val="20"/>
              </w:rPr>
              <w:t>Points Not Credited</w:t>
            </w:r>
          </w:p>
        </w:tc>
        <w:tc>
          <w:tcPr>
            <w:tcW w:type="dxa" w:w="1560"/>
            <w:shd w:fill="F2F6FA" w:val="clear"/>
          </w:tcPr>
          <w:p>
            <w:r>
              <w:rPr>
                <w:rFonts w:ascii="Calibri" w:hAnsi="Calibri"/>
                <w:sz w:val="20"/>
              </w:rPr>
            </w:r>
            <w:r>
              <w:rPr>
                <w:rFonts w:ascii="Calibri" w:hAnsi="Calibri"/>
                <w:sz w:val="20"/>
              </w:rPr>
              <w:t>1</w:t>
            </w:r>
          </w:p>
        </w:tc>
        <w:tc>
          <w:tcPr>
            <w:tcW w:type="dxa" w:w="1560"/>
            <w:shd w:fill="F2F6FA" w:val="clear"/>
          </w:tcPr>
          <w:p>
            <w:r>
              <w:rPr>
                <w:rFonts w:ascii="Calibri" w:hAnsi="Calibri"/>
                <w:sz w:val="20"/>
              </w:rPr>
            </w:r>
            <w:r>
              <w:rPr>
                <w:rFonts w:ascii="Calibri" w:hAnsi="Calibri"/>
                <w:sz w:val="20"/>
              </w:rPr>
              <w:t>11.11%</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Introduce a 'pending points' section in the rewards dashboard</w:t>
            </w:r>
          </w:p>
        </w:tc>
      </w:tr>
      <w:tr>
        <w:tc>
          <w:tcPr>
            <w:tcW w:type="dxa" w:w="1560"/>
          </w:tcPr>
          <w:p>
            <w:r>
              <w:rPr>
                <w:rFonts w:ascii="Calibri" w:hAnsi="Calibri"/>
                <w:sz w:val="20"/>
              </w:rPr>
            </w:r>
            <w:r>
              <w:rPr>
                <w:rFonts w:ascii="Calibri" w:hAnsi="Calibri"/>
                <w:sz w:val="20"/>
              </w:rPr>
              <w:t>Redemption Minimum Too High</w:t>
            </w:r>
          </w:p>
        </w:tc>
        <w:tc>
          <w:tcPr>
            <w:tcW w:type="dxa" w:w="1560"/>
          </w:tcPr>
          <w:p>
            <w:r>
              <w:rPr>
                <w:rFonts w:ascii="Calibri" w:hAnsi="Calibri"/>
                <w:sz w:val="20"/>
              </w:rPr>
            </w:r>
            <w:r>
              <w:rPr>
                <w:rFonts w:ascii="Calibri" w:hAnsi="Calibri"/>
                <w:sz w:val="20"/>
              </w:rPr>
              <w:t>1</w:t>
            </w:r>
          </w:p>
        </w:tc>
        <w:tc>
          <w:tcPr>
            <w:tcW w:type="dxa" w:w="1560"/>
          </w:tcPr>
          <w:p>
            <w:r>
              <w:rPr>
                <w:rFonts w:ascii="Calibri" w:hAnsi="Calibri"/>
                <w:sz w:val="20"/>
              </w:rPr>
            </w:r>
            <w:r>
              <w:rPr>
                <w:rFonts w:ascii="Calibri" w:hAnsi="Calibri"/>
                <w:sz w:val="20"/>
              </w:rPr>
              <w:t>11.11%</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Ensure minimum redemption thresholds are prominently displayed</w:t>
            </w:r>
          </w:p>
        </w:tc>
      </w:tr>
    </w:tbl>
    <w:p/>
    <w:p>
      <w:pPr>
        <w:spacing w:before="80" w:after="80"/>
        <w:pBdr>
          <w:bottom w:val="single" w:sz="4" w:space="1" w:color="CCCCCC"/>
        </w:pBdr>
      </w:pPr>
    </w:p>
    <w:p>
      <w:pPr>
        <w:pStyle w:val="Heading2"/>
      </w:pPr>
      <w:r>
        <w:t>If Nothing Changes</w:t>
      </w:r>
    </w:p>
    <w:p>
      <w:r>
        <w:t>Without improved visibility into loyalty point status and transfers, the 9 customers monthly calling about these issues will continue to drive avoidable contacts, eroding trust and increasing operational costs as program volume grows.</w:t>
      </w:r>
    </w:p>
    <w:p>
      <w:pPr>
        <w:spacing w:before="80" w:after="80"/>
        <w:pBdr>
          <w:bottom w:val="single" w:sz="4" w:space="1" w:color="CCCCCC"/>
        </w:pBdr>
      </w:pPr>
    </w:p>
    <w:p>
      <w:pPr>
        <w:pStyle w:val="Heading1"/>
      </w:pPr>
      <w:r>
        <w:t>Other — Deep Dive</w:t>
      </w:r>
    </w:p>
    <w:p>
      <w:r>
        <w:rPr>
          <w:b/>
        </w:rPr>
        <w:t>Priority:</w:t>
      </w:r>
      <w:r>
        <w:t xml:space="preserve"> 7.6/10 | </w:t>
      </w:r>
      <w:r>
        <w:rPr>
          <w:b/>
        </w:rPr>
        <w:t>Ease:</w:t>
      </w:r>
      <w:r>
        <w:t xml:space="preserve"> 7.0/10 | </w:t>
      </w:r>
      <w:r>
        <w:rPr>
          <w:b/>
        </w:rPr>
        <w:t>Impact:</w:t>
      </w:r>
      <w:r>
        <w:t xml:space="preserve"> 8.0/10</w:t>
      </w:r>
    </w:p>
    <w:p>
      <w:r>
        <w:rPr>
          <w:b/>
        </w:rPr>
        <w:t>Volume:</w:t>
      </w:r>
      <w:r>
        <w:t xml:space="preserve"> 7 calls | 43.75% of overall analyzed volume</w:t>
      </w:r>
    </w:p>
    <w:p>
      <w:pPr>
        <w:spacing w:before="80" w:after="80"/>
        <w:pBdr>
          <w:bottom w:val="single" w:sz="4" w:space="1" w:color="CCCCCC"/>
        </w:pBdr>
      </w:pPr>
    </w:p>
    <w:p>
      <w:pPr>
        <w:pStyle w:val="Heading2"/>
      </w:pPr>
      <w:r>
        <w:t>Other: The Story</w:t>
      </w:r>
    </w:p>
    <w:p>
      <w:r>
        <w:t>Customers are experiencing unexpected issues with points crediting, redemption minimums, and tier status, indicating a broader lack of proactive communication and self-service tools within the loyalty program's digital touchpoints. This leads to frustration and unnecessary calls.</w:t>
      </w:r>
    </w:p>
    <w:p>
      <w:pPr>
        <w:pStyle w:val="Heading4"/>
      </w:pPr>
      <w:r>
        <w:t>Core Issue</w:t>
      </w:r>
    </w:p>
    <w:p>
      <w:r>
        <w:t>The digital platform lacks essential features for customers to proactively understand their points status, redemption criteria, and loyalty tier progression, forcing them to contact support for basic information.</w:t>
      </w:r>
    </w:p>
    <w:p>
      <w:pPr>
        <w:pStyle w:val="Heading4"/>
      </w:pPr>
      <w:r>
        <w:t>Primary Driver</w:t>
      </w:r>
    </w:p>
    <w:p>
      <w:r>
        <w:t>The single biggest driver of calls within this theme is "Points Not Credited," accounting for 2 calls, as customers are unable to see or resolve missing points independently.</w:t>
      </w:r>
    </w:p>
    <w:p>
      <w:pPr>
        <w:pStyle w:val="Heading4"/>
      </w:pPr>
      <w:r>
        <w:t>Solutions</w:t>
      </w:r>
    </w:p>
    <w:p>
      <w:pPr>
        <w:pStyle w:val="ListNumber"/>
      </w:pPr>
      <w:r>
        <w:t>Implement a feature in the mobile app and web portal that allows customers to view pending points, understand why points might not have been credited, and potentially initiate a dispute. `[Digital]`</w:t>
      </w:r>
    </w:p>
    <w:p>
      <w:pPr>
        <w:pStyle w:val="ListNumber"/>
      </w:pPr>
      <w:r>
        <w:t>Clearly communicate redemption minimums upfront in the rewards section of the app and website, before the customer attempts to redeem. `[Digital]`</w:t>
      </w:r>
    </w:p>
    <w:p>
      <w:pPr>
        <w:pStyle w:val="ListNumber"/>
      </w:pPr>
      <w:r>
        <w:t>Provide in-app visibility into tier status, criteria for maintaining or upgrading tiers, and proactive notifications for impending tier changes. `[Digital]`</w:t>
      </w:r>
    </w:p>
    <w:p>
      <w:pPr>
        <w:spacing w:before="80" w:after="80"/>
        <w:pBdr>
          <w:bottom w:val="single" w:sz="4" w:space="1" w:color="CCCCCC"/>
        </w:pBdr>
      </w:pPr>
    </w:p>
    <w:p>
      <w:pPr>
        <w:pStyle w:val="Heading2"/>
      </w:pPr>
      <w:r>
        <w:t>Other: Root Cause Breakdown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003B70" w:val="clear"/>
          </w:tcPr>
          <w:p>
            <w:pPr>
              <w:jc w:val="center"/>
            </w:pPr>
            <w:r>
              <w:rPr>
                <w:b/>
                <w:color w:val="FFFFFF"/>
                <w:sz w:val="20"/>
              </w:rPr>
            </w:r>
            <w:r>
              <w:rPr>
                <w:b/>
                <w:color w:val="FFFFFF"/>
                <w:sz w:val="20"/>
              </w:rPr>
              <w:t>Driver</w:t>
            </w:r>
          </w:p>
        </w:tc>
        <w:tc>
          <w:tcPr>
            <w:tcW w:type="dxa" w:w="1560"/>
            <w:shd w:fill="003B70" w:val="clear"/>
          </w:tcPr>
          <w:p>
            <w:pPr>
              <w:jc w:val="center"/>
            </w:pPr>
            <w:r>
              <w:rPr>
                <w:b/>
                <w:color w:val="FFFFFF"/>
                <w:sz w:val="20"/>
              </w:rPr>
            </w:r>
            <w:r>
              <w:rPr>
                <w:b/>
                <w:color w:val="FFFFFF"/>
                <w:sz w:val="20"/>
              </w:rPr>
              <w:t>Call Count</w:t>
            </w:r>
          </w:p>
        </w:tc>
        <w:tc>
          <w:tcPr>
            <w:tcW w:type="dxa" w:w="1560"/>
            <w:shd w:fill="003B70" w:val="clear"/>
          </w:tcPr>
          <w:p>
            <w:pPr>
              <w:jc w:val="center"/>
            </w:pPr>
            <w:r>
              <w:rPr>
                <w:b/>
                <w:color w:val="FFFFFF"/>
                <w:sz w:val="20"/>
              </w:rPr>
            </w:r>
            <w:r>
              <w:rPr>
                <w:b/>
                <w:color w:val="FFFFFF"/>
                <w:sz w:val="20"/>
              </w:rPr>
              <w:t>% of Theme</w:t>
            </w:r>
          </w:p>
        </w:tc>
        <w:tc>
          <w:tcPr>
            <w:tcW w:type="dxa" w:w="1560"/>
            <w:shd w:fill="003B70" w:val="clear"/>
          </w:tcPr>
          <w:p>
            <w:pPr>
              <w:jc w:val="center"/>
            </w:pPr>
            <w:r>
              <w:rPr>
                <w:b/>
                <w:color w:val="FFFFFF"/>
                <w:sz w:val="20"/>
              </w:rPr>
            </w:r>
            <w:r>
              <w:rPr>
                <w:b/>
                <w:color w:val="FFFFFF"/>
                <w:sz w:val="20"/>
              </w:rPr>
              <w:t>Type</w:t>
            </w:r>
          </w:p>
        </w:tc>
        <w:tc>
          <w:tcPr>
            <w:tcW w:type="dxa" w:w="1560"/>
            <w:shd w:fill="003B70" w:val="clear"/>
          </w:tcPr>
          <w:p>
            <w:pPr>
              <w:jc w:val="center"/>
            </w:pPr>
            <w:r>
              <w:rPr>
                <w:b/>
                <w:color w:val="FFFFFF"/>
                <w:sz w:val="20"/>
              </w:rPr>
            </w:r>
            <w:r>
              <w:rPr>
                <w:b/>
                <w:color w:val="FFFFFF"/>
                <w:sz w:val="20"/>
              </w:rPr>
              <w:t>Owning Dimension</w:t>
            </w:r>
          </w:p>
        </w:tc>
        <w:tc>
          <w:tcPr>
            <w:tcW w:type="dxa" w:w="1560"/>
            <w:shd w:fill="003B70" w:val="clear"/>
          </w:tcPr>
          <w:p>
            <w:pPr>
              <w:jc w:val="center"/>
            </w:pPr>
            <w:r>
              <w:rPr>
                <w:b/>
                <w:color w:val="FFFFFF"/>
                <w:sz w:val="20"/>
              </w:rPr>
            </w:r>
            <w:r>
              <w:rPr>
                <w:b/>
                <w:color w:val="FFFFFF"/>
                <w:sz w:val="20"/>
              </w:rPr>
              <w:t>Recommended Solution</w:t>
            </w:r>
          </w:p>
        </w:tc>
      </w:tr>
      <w:tr>
        <w:tc>
          <w:tcPr>
            <w:tcW w:type="dxa" w:w="1560"/>
          </w:tcPr>
          <w:p>
            <w:r>
              <w:rPr>
                <w:rFonts w:ascii="Calibri" w:hAnsi="Calibri"/>
                <w:sz w:val="20"/>
              </w:rPr>
            </w:r>
            <w:r>
              <w:rPr>
                <w:rFonts w:ascii="Calibri" w:hAnsi="Calibri"/>
                <w:sz w:val="20"/>
              </w:rPr>
              <w:t>Points Not Credited</w:t>
            </w:r>
          </w:p>
        </w:tc>
        <w:tc>
          <w:tcPr>
            <w:tcW w:type="dxa" w:w="1560"/>
          </w:tcPr>
          <w:p>
            <w:r>
              <w:rPr>
                <w:rFonts w:ascii="Calibri" w:hAnsi="Calibri"/>
                <w:sz w:val="20"/>
              </w:rPr>
            </w:r>
            <w:r>
              <w:rPr>
                <w:rFonts w:ascii="Calibri" w:hAnsi="Calibri"/>
                <w:sz w:val="20"/>
              </w:rPr>
              <w:t>2</w:t>
            </w:r>
          </w:p>
        </w:tc>
        <w:tc>
          <w:tcPr>
            <w:tcW w:type="dxa" w:w="1560"/>
          </w:tcPr>
          <w:p>
            <w:r>
              <w:rPr>
                <w:rFonts w:ascii="Calibri" w:hAnsi="Calibri"/>
                <w:sz w:val="20"/>
              </w:rPr>
            </w:r>
            <w:r>
              <w:rPr>
                <w:rFonts w:ascii="Calibri" w:hAnsi="Calibri"/>
                <w:sz w:val="20"/>
              </w:rPr>
              <w:t>28.57%</w:t>
            </w:r>
          </w:p>
        </w:tc>
        <w:tc>
          <w:tcPr>
            <w:tcW w:type="dxa" w:w="1560"/>
          </w:tcPr>
          <w:p>
            <w:r>
              <w:rPr>
                <w:rFonts w:ascii="Calibri" w:hAnsi="Calibri"/>
                <w:sz w:val="20"/>
              </w:rPr>
            </w:r>
            <w:r>
              <w:rPr>
                <w:rFonts w:ascii="Calibri" w:hAnsi="Calibri"/>
                <w:sz w:val="20"/>
              </w:rPr>
              <w:t>Primary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Implement a feature to view pending points and initiate disputes</w:t>
            </w:r>
          </w:p>
        </w:tc>
      </w:tr>
      <w:tr>
        <w:tc>
          <w:tcPr>
            <w:tcW w:type="dxa" w:w="1560"/>
            <w:shd w:fill="F2F6FA" w:val="clear"/>
          </w:tcPr>
          <w:p>
            <w:r>
              <w:rPr>
                <w:rFonts w:ascii="Calibri" w:hAnsi="Calibri"/>
                <w:sz w:val="20"/>
              </w:rPr>
            </w:r>
            <w:r>
              <w:rPr>
                <w:rFonts w:ascii="Calibri" w:hAnsi="Calibri"/>
                <w:sz w:val="20"/>
              </w:rPr>
              <w:t>Redemption Minimum Too High</w:t>
            </w:r>
          </w:p>
        </w:tc>
        <w:tc>
          <w:tcPr>
            <w:tcW w:type="dxa" w:w="1560"/>
            <w:shd w:fill="F2F6FA" w:val="clear"/>
          </w:tcPr>
          <w:p>
            <w:r>
              <w:rPr>
                <w:rFonts w:ascii="Calibri" w:hAnsi="Calibri"/>
                <w:sz w:val="20"/>
              </w:rPr>
            </w:r>
            <w:r>
              <w:rPr>
                <w:rFonts w:ascii="Calibri" w:hAnsi="Calibri"/>
                <w:sz w:val="20"/>
              </w:rPr>
              <w:t>2</w:t>
            </w:r>
          </w:p>
        </w:tc>
        <w:tc>
          <w:tcPr>
            <w:tcW w:type="dxa" w:w="1560"/>
            <w:shd w:fill="F2F6FA" w:val="clear"/>
          </w:tcPr>
          <w:p>
            <w:r>
              <w:rPr>
                <w:rFonts w:ascii="Calibri" w:hAnsi="Calibri"/>
                <w:sz w:val="20"/>
              </w:rPr>
            </w:r>
            <w:r>
              <w:rPr>
                <w:rFonts w:ascii="Calibri" w:hAnsi="Calibri"/>
                <w:sz w:val="20"/>
              </w:rPr>
              <w:t>28.57%</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Clearly communicate redemption minimums upfront</w:t>
            </w:r>
          </w:p>
        </w:tc>
      </w:tr>
      <w:tr>
        <w:tc>
          <w:tcPr>
            <w:tcW w:type="dxa" w:w="1560"/>
          </w:tcPr>
          <w:p>
            <w:r>
              <w:rPr>
                <w:rFonts w:ascii="Calibri" w:hAnsi="Calibri"/>
                <w:sz w:val="20"/>
              </w:rPr>
            </w:r>
            <w:r>
              <w:rPr>
                <w:rFonts w:ascii="Calibri" w:hAnsi="Calibri"/>
                <w:sz w:val="20"/>
              </w:rPr>
              <w:t>Tier Downgrade Surprise</w:t>
            </w:r>
          </w:p>
        </w:tc>
        <w:tc>
          <w:tcPr>
            <w:tcW w:type="dxa" w:w="1560"/>
          </w:tcPr>
          <w:p>
            <w:r>
              <w:rPr>
                <w:rFonts w:ascii="Calibri" w:hAnsi="Calibri"/>
                <w:sz w:val="20"/>
              </w:rPr>
            </w:r>
            <w:r>
              <w:rPr>
                <w:rFonts w:ascii="Calibri" w:hAnsi="Calibri"/>
                <w:sz w:val="20"/>
              </w:rPr>
              <w:t>1</w:t>
            </w:r>
          </w:p>
        </w:tc>
        <w:tc>
          <w:tcPr>
            <w:tcW w:type="dxa" w:w="1560"/>
          </w:tcPr>
          <w:p>
            <w:r>
              <w:rPr>
                <w:rFonts w:ascii="Calibri" w:hAnsi="Calibri"/>
                <w:sz w:val="20"/>
              </w:rPr>
            </w:r>
            <w:r>
              <w:rPr>
                <w:rFonts w:ascii="Calibri" w:hAnsi="Calibri"/>
                <w:sz w:val="20"/>
              </w:rPr>
              <w:t>14.29%</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Provide in-app visibility into tier status and notifications</w:t>
            </w:r>
          </w:p>
        </w:tc>
      </w:tr>
      <w:tr>
        <w:tc>
          <w:tcPr>
            <w:tcW w:type="dxa" w:w="1560"/>
            <w:shd w:fill="F2F6FA" w:val="clear"/>
          </w:tcPr>
          <w:p>
            <w:r>
              <w:rPr>
                <w:rFonts w:ascii="Calibri" w:hAnsi="Calibri"/>
                <w:sz w:val="20"/>
              </w:rPr>
            </w:r>
            <w:r>
              <w:rPr>
                <w:rFonts w:ascii="Calibri" w:hAnsi="Calibri"/>
                <w:sz w:val="20"/>
              </w:rPr>
              <w:t>Partner Transfer Delay</w:t>
            </w:r>
          </w:p>
        </w:tc>
        <w:tc>
          <w:tcPr>
            <w:tcW w:type="dxa" w:w="1560"/>
            <w:shd w:fill="F2F6FA" w:val="clear"/>
          </w:tcPr>
          <w:p>
            <w:r>
              <w:rPr>
                <w:rFonts w:ascii="Calibri" w:hAnsi="Calibri"/>
                <w:sz w:val="20"/>
              </w:rPr>
            </w:r>
            <w:r>
              <w:rPr>
                <w:rFonts w:ascii="Calibri" w:hAnsi="Calibri"/>
                <w:sz w:val="20"/>
              </w:rPr>
              <w:t>1</w:t>
            </w:r>
          </w:p>
        </w:tc>
        <w:tc>
          <w:tcPr>
            <w:tcW w:type="dxa" w:w="1560"/>
            <w:shd w:fill="F2F6FA" w:val="clear"/>
          </w:tcPr>
          <w:p>
            <w:r>
              <w:rPr>
                <w:rFonts w:ascii="Calibri" w:hAnsi="Calibri"/>
                <w:sz w:val="20"/>
              </w:rPr>
            </w:r>
            <w:r>
              <w:rPr>
                <w:rFonts w:ascii="Calibri" w:hAnsi="Calibri"/>
                <w:sz w:val="20"/>
              </w:rPr>
              <w:t>14.29%</w:t>
            </w:r>
          </w:p>
        </w:tc>
        <w:tc>
          <w:tcPr>
            <w:tcW w:type="dxa" w:w="1560"/>
            <w:shd w:fill="F2F6FA" w:val="clear"/>
          </w:tcPr>
          <w:p>
            <w:r>
              <w:rPr>
                <w:rFonts w:ascii="Calibri" w:hAnsi="Calibri"/>
                <w:sz w:val="20"/>
              </w:rPr>
            </w:r>
            <w:r>
              <w:rPr>
                <w:rFonts w:ascii="Calibri" w:hAnsi="Calibri"/>
                <w:sz w:val="20"/>
              </w:rPr>
              <w:t>Secondary</w:t>
            </w:r>
          </w:p>
        </w:tc>
        <w:tc>
          <w:tcPr>
            <w:tcW w:type="dxa" w:w="1560"/>
            <w:shd w:fill="F2F6FA" w:val="clear"/>
          </w:tcPr>
          <w:p>
            <w:r>
              <w:rPr>
                <w:rFonts w:ascii="Calibri" w:hAnsi="Calibri"/>
                <w:sz w:val="20"/>
              </w:rPr>
            </w:r>
            <w:r>
              <w:rPr>
                <w:rFonts w:ascii="Calibri" w:hAnsi="Calibri"/>
                <w:sz w:val="20"/>
              </w:rPr>
              <w:t>Digital</w:t>
            </w:r>
          </w:p>
        </w:tc>
        <w:tc>
          <w:tcPr>
            <w:tcW w:type="dxa" w:w="1560"/>
            <w:shd w:fill="F2F6FA" w:val="clear"/>
          </w:tcPr>
          <w:p>
            <w:r>
              <w:rPr>
                <w:rFonts w:ascii="Calibri" w:hAnsi="Calibri"/>
                <w:sz w:val="20"/>
              </w:rPr>
            </w:r>
            <w:r>
              <w:rPr>
                <w:rFonts w:ascii="Calibri" w:hAnsi="Calibri"/>
                <w:sz w:val="20"/>
              </w:rPr>
              <w:t>Introduce an in-app tracker for partner points transfers</w:t>
            </w:r>
          </w:p>
        </w:tc>
      </w:tr>
      <w:tr>
        <w:tc>
          <w:tcPr>
            <w:tcW w:type="dxa" w:w="1560"/>
          </w:tcPr>
          <w:p>
            <w:r>
              <w:rPr>
                <w:rFonts w:ascii="Calibri" w:hAnsi="Calibri"/>
                <w:sz w:val="20"/>
              </w:rPr>
            </w:r>
            <w:r>
              <w:rPr>
                <w:rFonts w:ascii="Calibri" w:hAnsi="Calibri"/>
                <w:sz w:val="20"/>
              </w:rPr>
              <w:t>Promotional Points Missing</w:t>
            </w:r>
          </w:p>
        </w:tc>
        <w:tc>
          <w:tcPr>
            <w:tcW w:type="dxa" w:w="1560"/>
          </w:tcPr>
          <w:p>
            <w:r>
              <w:rPr>
                <w:rFonts w:ascii="Calibri" w:hAnsi="Calibri"/>
                <w:sz w:val="20"/>
              </w:rPr>
            </w:r>
            <w:r>
              <w:rPr>
                <w:rFonts w:ascii="Calibri" w:hAnsi="Calibri"/>
                <w:sz w:val="20"/>
              </w:rPr>
              <w:t>1</w:t>
            </w:r>
          </w:p>
        </w:tc>
        <w:tc>
          <w:tcPr>
            <w:tcW w:type="dxa" w:w="1560"/>
          </w:tcPr>
          <w:p>
            <w:r>
              <w:rPr>
                <w:rFonts w:ascii="Calibri" w:hAnsi="Calibri"/>
                <w:sz w:val="20"/>
              </w:rPr>
            </w:r>
            <w:r>
              <w:rPr>
                <w:rFonts w:ascii="Calibri" w:hAnsi="Calibri"/>
                <w:sz w:val="20"/>
              </w:rPr>
              <w:t>14.29%</w:t>
            </w:r>
          </w:p>
        </w:tc>
        <w:tc>
          <w:tcPr>
            <w:tcW w:type="dxa" w:w="1560"/>
          </w:tcPr>
          <w:p>
            <w:r>
              <w:rPr>
                <w:rFonts w:ascii="Calibri" w:hAnsi="Calibri"/>
                <w:sz w:val="20"/>
              </w:rPr>
            </w:r>
            <w:r>
              <w:rPr>
                <w:rFonts w:ascii="Calibri" w:hAnsi="Calibri"/>
                <w:sz w:val="20"/>
              </w:rPr>
              <w:t>Secondary</w:t>
            </w:r>
          </w:p>
        </w:tc>
        <w:tc>
          <w:tcPr>
            <w:tcW w:type="dxa" w:w="1560"/>
          </w:tcPr>
          <w:p>
            <w:r>
              <w:rPr>
                <w:rFonts w:ascii="Calibri" w:hAnsi="Calibri"/>
                <w:sz w:val="20"/>
              </w:rPr>
            </w:r>
            <w:r>
              <w:rPr>
                <w:rFonts w:ascii="Calibri" w:hAnsi="Calibri"/>
                <w:sz w:val="20"/>
              </w:rPr>
              <w:t>Digital</w:t>
            </w:r>
          </w:p>
        </w:tc>
        <w:tc>
          <w:tcPr>
            <w:tcW w:type="dxa" w:w="1560"/>
          </w:tcPr>
          <w:p>
            <w:r>
              <w:rPr>
                <w:rFonts w:ascii="Calibri" w:hAnsi="Calibri"/>
                <w:sz w:val="20"/>
              </w:rPr>
            </w:r>
            <w:r>
              <w:rPr>
                <w:rFonts w:ascii="Calibri" w:hAnsi="Calibri"/>
                <w:sz w:val="20"/>
              </w:rPr>
              <w:t>Create a dedicated section to track promotional offers</w:t>
            </w:r>
          </w:p>
        </w:tc>
      </w:tr>
    </w:tbl>
    <w:p/>
    <w:p>
      <w:pPr>
        <w:spacing w:before="80" w:after="80"/>
        <w:pBdr>
          <w:bottom w:val="single" w:sz="4" w:space="1" w:color="CCCCCC"/>
        </w:pBdr>
      </w:pPr>
    </w:p>
    <w:p>
      <w:pPr>
        <w:pStyle w:val="Heading2"/>
      </w:pPr>
      <w:r>
        <w:t>If Nothing Changes</w:t>
      </w:r>
    </w:p>
    <w:p>
      <w:r>
        <w:t>If points crediting remains opaque and redemption rules unclear, the 7 customers monthly calling about these issues will continue to contact support, leading to frustration and manual interventions that could be automated through improved digital tools.</w:t>
      </w:r>
    </w:p>
    <w:sectPr w:rsidR="00FC693F" w:rsidRPr="0006063C" w:rsidSect="00034616">
      <w:footerReference w:type="default" r:id="rId9"/>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Generated by AgenticAnalytics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B7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B70"/>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6BA6"/>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06BA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