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 SLIDE: executive_summary | layout: title_impact | title: "96 Calls Expose Rewards Program Friction, Driving Avoidable Contacts" --&gt;</w:t>
      </w:r>
    </w:p>
    <w:p>
      <w:pPr>
        <w:pStyle w:val="Heading1"/>
      </w:pPr>
      <w:r>
        <w:t>Rewards Program Friction</w:t>
      </w:r>
    </w:p>
    <w:p>
      <w:r>
        <w:t>96 customer calls expose a significant rewards program friction concentrated in 1 fixable area, contributing to avoidable customer contacts.</w:t>
      </w:r>
    </w:p>
    <w:p>
      <w:pPr>
        <w:spacing w:before="80" w:after="80"/>
        <w:pBdr>
          <w:bottom w:val="single" w:sz="4" w:space="1" w:color="CCCCCC"/>
        </w:pBdr>
      </w:pPr>
    </w:p>
    <w:p>
      <w:r>
        <w:t>&lt;!-- SLIDE: executive_summary | layout: callout_stat | title: "The Situation" --&gt;</w:t>
      </w:r>
    </w:p>
    <w:p>
      <w:pPr>
        <w:pStyle w:val="Heading2"/>
      </w:pPr>
      <w:r>
        <w:t>The Situation</w:t>
      </w:r>
    </w:p>
    <w:p>
      <w:r>
        <w:t>This report analyzes 96 customer calls related to the 'Rewards' program for the 'ATT' product. Our analysis identifies key friction points in the customer journey, highlighting opportunities to reduce avoidable contacts.</w:t>
      </w:r>
    </w:p>
    <w:p>
      <w:pPr>
        <w:spacing w:before="80" w:after="80"/>
        <w:pBdr>
          <w:bottom w:val="single" w:sz="4" w:space="1" w:color="CCCCCC"/>
        </w:pBdr>
      </w:pPr>
    </w:p>
    <w:p>
      <w:r>
        <w:t>&lt;!-- SLIDE: pain_point | layout: three_column | title: "Pain Point 1: Rewards Partner Transfer Delays Generate 4 Calls" --&gt;</w:t>
      </w:r>
    </w:p>
    <w:p>
      <w:pPr>
        <w:pStyle w:val="Heading2"/>
      </w:pPr>
      <w:r>
        <w:t>Pain Point 1: Rewards Partner Transfer Delays</w:t>
      </w:r>
    </w:p>
    <w:p>
      <w:r>
        <w:rPr>
          <w:b/>
        </w:rPr>
        <w:t>What's happening:</w:t>
      </w:r>
      <w:r>
        <w:t xml:space="preserve"> Customers lack visibility into the status and expected completion time of points transferring to partners, leading to confusion and calls.</w:t>
      </w:r>
    </w:p>
    <w:p>
      <w:r>
        <w:rPr>
          <w:b/>
        </w:rPr>
        <w:t>The evidence:</w:t>
      </w:r>
      <w:r>
        <w:t xml:space="preserve"> Calls specifically report uncertainty and no self-service tracking for partner transfers.</w:t>
      </w:r>
    </w:p>
    <w:p>
      <w:r>
        <w:rPr>
          <w:b/>
        </w:rPr>
        <w:t>Call volume:</w:t>
      </w:r>
      <w:r>
        <w:t xml:space="preserve"> 4 calls | 4.17% of total</w:t>
      </w:r>
    </w:p>
    <w:p>
      <w:r>
        <w:rPr>
          <w:b/>
        </w:rPr>
        <w:t>The fix:</w:t>
      </w:r>
      <w:r>
        <w:t xml:space="preserve"> Implement a real-time partner transfer status tracker in the mobile app and web, showing expected completion times.</w:t>
      </w:r>
    </w:p>
    <w:p>
      <w:pPr>
        <w:spacing w:before="80" w:after="80"/>
        <w:pBdr>
          <w:bottom w:val="single" w:sz="4" w:space="1" w:color="CCCCCC"/>
        </w:pBdr>
      </w:pPr>
    </w:p>
    <w:p>
      <w:r>
        <w:t>&lt;!-- SLIDE: pain_point | layout: three_column | title: "Pain Point 2: Missing Promotional Points Drive 3 Calls" --&gt;</w:t>
      </w:r>
    </w:p>
    <w:p>
      <w:pPr>
        <w:pStyle w:val="Heading2"/>
      </w:pPr>
      <w:r>
        <w:t>Pain Point 2: Missing Promotional Points</w:t>
      </w:r>
    </w:p>
    <w:p>
      <w:r>
        <w:rPr>
          <w:b/>
        </w:rPr>
        <w:t>What's happening:</w:t>
      </w:r>
      <w:r>
        <w:t xml:space="preserve"> Customers are not receiving promotional points as expected and lack a digital way to track their progress or understand why they weren't credited.</w:t>
      </w:r>
    </w:p>
    <w:p>
      <w:r>
        <w:rPr>
          <w:b/>
        </w:rPr>
        <w:t>The evidence:</w:t>
      </w:r>
      <w:r>
        <w:t xml:space="preserve"> Customers are calling to inquire about uncredited promotional bonuses.</w:t>
      </w:r>
    </w:p>
    <w:p>
      <w:r>
        <w:rPr>
          <w:b/>
        </w:rPr>
        <w:t>Call volume:</w:t>
      </w:r>
      <w:r>
        <w:t xml:space="preserve"> 3 calls | 3.13% of total</w:t>
      </w:r>
    </w:p>
    <w:p>
      <w:r>
        <w:rPr>
          <w:b/>
        </w:rPr>
        <w:t>The fix:</w:t>
      </w:r>
      <w:r>
        <w:t xml:space="preserve"> Develop an in-app promotional offer tracker with progress bars, clear eligibility criteria, and estimated bonus posting dates.</w:t>
      </w:r>
    </w:p>
    <w:p>
      <w:pPr>
        <w:spacing w:before="80" w:after="80"/>
        <w:pBdr>
          <w:bottom w:val="single" w:sz="4" w:space="1" w:color="CCCCCC"/>
        </w:pBdr>
      </w:pPr>
    </w:p>
    <w:p>
      <w:r>
        <w:t>&lt;!-- SLIDE: pain_point | layout: three_column | title: "Pain Point 3: Uncredited Earned Points Account for 3 Calls" --&gt;</w:t>
      </w:r>
    </w:p>
    <w:p>
      <w:pPr>
        <w:pStyle w:val="Heading2"/>
      </w:pPr>
      <w:r>
        <w:t>Pain Point 3: Uncredited Earned Points</w:t>
      </w:r>
    </w:p>
    <w:p>
      <w:r>
        <w:rPr>
          <w:b/>
        </w:rPr>
        <w:t>What's happening:</w:t>
      </w:r>
      <w:r>
        <w:t xml:space="preserve"> Earned points are not appearing in customer balances, and there is no digital mechanism to see pending points or understand posting timelines.</w:t>
      </w:r>
    </w:p>
    <w:p>
      <w:r>
        <w:rPr>
          <w:b/>
        </w:rPr>
        <w:t>The evidence:</w:t>
      </w:r>
      <w:r>
        <w:t xml:space="preserve"> Customers are contacting support due to points not reflecting in their account balance.</w:t>
      </w:r>
    </w:p>
    <w:p>
      <w:r>
        <w:rPr>
          <w:b/>
        </w:rPr>
        <w:t>Call volume:</w:t>
      </w:r>
      <w:r>
        <w:t xml:space="preserve"> 3 calls | 3.13% of total</w:t>
      </w:r>
    </w:p>
    <w:p>
      <w:r>
        <w:rPr>
          <w:b/>
        </w:rPr>
        <w:t>The fix:</w:t>
      </w:r>
      <w:r>
        <w:t xml:space="preserve"> Add a 'pending points' section to the rewards dashboard, detailing points from recent transactions and their expected posting dates.</w:t>
      </w:r>
    </w:p>
    <w:p>
      <w:pPr>
        <w:spacing w:before="80" w:after="80"/>
        <w:pBdr>
          <w:bottom w:val="single" w:sz="4" w:space="1" w:color="CCCCCC"/>
        </w:pBdr>
      </w:pPr>
    </w:p>
    <w:p>
      <w:r>
        <w:t>&lt;!-- SLIDE: quick_wins | layout: action_list | title: "Start Monday: 3 Quick Wins" --&gt;</w:t>
      </w:r>
    </w:p>
    <w:p>
      <w:pPr>
        <w:pStyle w:val="Heading2"/>
      </w:pPr>
      <w:r>
        <w:t>Start Monday: Quick Wins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Why It's Fast</w:t>
            </w:r>
          </w:p>
        </w:tc>
      </w:tr>
      <w:tr>
        <w:tc>
          <w:tcPr>
            <w:tcW w:type="dxa" w:w="2340"/>
          </w:tcPr>
          <w:p>
            <w:r>
              <w:rPr>
                <w:rFonts w:ascii="Calibri" w:hAnsi="Calibri"/>
                <w:sz w:val="20"/>
              </w:rPr>
            </w:r>
            <w:r>
              <w:rPr>
                <w:rFonts w:ascii="Calibri" w:hAnsi="Calibri"/>
                <w:sz w:val="20"/>
              </w:rPr>
              <w:t>Implement a real-time partner transfer status tracker in the mobile app and web, showing expected completion times.</w:t>
            </w:r>
          </w:p>
        </w:tc>
        <w:tc>
          <w:tcPr>
            <w:tcW w:type="dxa" w:w="2340"/>
          </w:tcPr>
          <w:p>
            <w:r>
              <w:rPr>
                <w:rFonts w:ascii="Calibri" w:hAnsi="Calibri"/>
                <w:sz w:val="20"/>
              </w:rPr>
            </w:r>
            <w:r>
              <w:rPr>
                <w:rFonts w:ascii="Calibri" w:hAnsi="Calibri"/>
                <w:sz w:val="20"/>
              </w:rPr>
              <w:t>Rewards</w:t>
            </w:r>
          </w:p>
        </w:tc>
        <w:tc>
          <w:tcPr>
            <w:tcW w:type="dxa" w:w="2340"/>
          </w:tcPr>
          <w:p>
            <w:r>
              <w:rPr>
                <w:rFonts w:ascii="Calibri" w:hAnsi="Calibri"/>
                <w:sz w:val="20"/>
              </w:rPr>
            </w:r>
            <w:r>
              <w:rPr>
                <w:rFonts w:ascii="Calibri" w:hAnsi="Calibri"/>
                <w:sz w:val="20"/>
              </w:rPr>
              <w:t>~4 calls (4.17%)</w:t>
            </w:r>
          </w:p>
        </w:tc>
        <w:tc>
          <w:tcPr>
            <w:tcW w:type="dxa" w:w="2340"/>
          </w:tcPr>
          <w:p>
            <w:r>
              <w:rPr>
                <w:rFonts w:ascii="Calibri" w:hAnsi="Calibri"/>
                <w:sz w:val="20"/>
              </w:rPr>
            </w:r>
            <w:r>
              <w:rPr>
                <w:rFonts w:ascii="Calibri" w:hAnsi="Calibri"/>
                <w:sz w:val="20"/>
              </w:rPr>
              <w:t>This is a digital enhancement leveraging existing data.</w:t>
            </w:r>
          </w:p>
        </w:tc>
      </w:tr>
      <w:tr>
        <w:tc>
          <w:tcPr>
            <w:tcW w:type="dxa" w:w="2340"/>
            <w:shd w:fill="F2F6FA" w:val="clear"/>
          </w:tcPr>
          <w:p>
            <w:r>
              <w:rPr>
                <w:rFonts w:ascii="Calibri" w:hAnsi="Calibri"/>
                <w:sz w:val="20"/>
              </w:rPr>
            </w:r>
            <w:r>
              <w:rPr>
                <w:rFonts w:ascii="Calibri" w:hAnsi="Calibri"/>
                <w:sz w:val="20"/>
              </w:rPr>
              <w:t>Develop an in-app promotional offer tracker with progress bars, clear eligibility criteria, and estimated bonus posting dates.</w:t>
            </w:r>
          </w:p>
        </w:tc>
        <w:tc>
          <w:tcPr>
            <w:tcW w:type="dxa" w:w="2340"/>
            <w:shd w:fill="F2F6FA" w:val="clear"/>
          </w:tcPr>
          <w:p>
            <w:r>
              <w:rPr>
                <w:rFonts w:ascii="Calibri" w:hAnsi="Calibri"/>
                <w:sz w:val="20"/>
              </w:rPr>
            </w:r>
            <w:r>
              <w:rPr>
                <w:rFonts w:ascii="Calibri" w:hAnsi="Calibri"/>
                <w:sz w:val="20"/>
              </w:rPr>
              <w:t>Rewards</w:t>
            </w:r>
          </w:p>
        </w:tc>
        <w:tc>
          <w:tcPr>
            <w:tcW w:type="dxa" w:w="2340"/>
            <w:shd w:fill="F2F6FA" w:val="clear"/>
          </w:tcPr>
          <w:p>
            <w:r>
              <w:rPr>
                <w:rFonts w:ascii="Calibri" w:hAnsi="Calibri"/>
                <w:sz w:val="20"/>
              </w:rPr>
            </w:r>
            <w:r>
              <w:rPr>
                <w:rFonts w:ascii="Calibri" w:hAnsi="Calibri"/>
                <w:sz w:val="20"/>
              </w:rPr>
              <w:t>~3 calls (3.13%)</w:t>
            </w:r>
          </w:p>
        </w:tc>
        <w:tc>
          <w:tcPr>
            <w:tcW w:type="dxa" w:w="2340"/>
            <w:shd w:fill="F2F6FA" w:val="clear"/>
          </w:tcPr>
          <w:p>
            <w:r>
              <w:rPr>
                <w:rFonts w:ascii="Calibri" w:hAnsi="Calibri"/>
                <w:sz w:val="20"/>
              </w:rPr>
            </w:r>
            <w:r>
              <w:rPr>
                <w:rFonts w:ascii="Calibri" w:hAnsi="Calibri"/>
                <w:sz w:val="20"/>
              </w:rPr>
              <w:t>Digital feature addition to improve self-service.</w:t>
            </w:r>
          </w:p>
        </w:tc>
      </w:tr>
      <w:tr>
        <w:tc>
          <w:tcPr>
            <w:tcW w:type="dxa" w:w="2340"/>
          </w:tcPr>
          <w:p>
            <w:r>
              <w:rPr>
                <w:rFonts w:ascii="Calibri" w:hAnsi="Calibri"/>
                <w:sz w:val="20"/>
              </w:rPr>
            </w:r>
            <w:r>
              <w:rPr>
                <w:rFonts w:ascii="Calibri" w:hAnsi="Calibri"/>
                <w:sz w:val="20"/>
              </w:rPr>
              <w:t>Add a 'pending points' section to the rewards dashboard, detailing points from recent transactions and their expected posting dates.</w:t>
            </w:r>
          </w:p>
        </w:tc>
        <w:tc>
          <w:tcPr>
            <w:tcW w:type="dxa" w:w="2340"/>
          </w:tcPr>
          <w:p>
            <w:r>
              <w:rPr>
                <w:rFonts w:ascii="Calibri" w:hAnsi="Calibri"/>
                <w:sz w:val="20"/>
              </w:rPr>
            </w:r>
            <w:r>
              <w:rPr>
                <w:rFonts w:ascii="Calibri" w:hAnsi="Calibri"/>
                <w:sz w:val="20"/>
              </w:rPr>
              <w:t>Rewards</w:t>
            </w:r>
          </w:p>
        </w:tc>
        <w:tc>
          <w:tcPr>
            <w:tcW w:type="dxa" w:w="2340"/>
          </w:tcPr>
          <w:p>
            <w:r>
              <w:rPr>
                <w:rFonts w:ascii="Calibri" w:hAnsi="Calibri"/>
                <w:sz w:val="20"/>
              </w:rPr>
            </w:r>
            <w:r>
              <w:rPr>
                <w:rFonts w:ascii="Calibri" w:hAnsi="Calibri"/>
                <w:sz w:val="20"/>
              </w:rPr>
              <w:t>~3 calls (3.13%)</w:t>
            </w:r>
          </w:p>
        </w:tc>
        <w:tc>
          <w:tcPr>
            <w:tcW w:type="dxa" w:w="2340"/>
          </w:tcPr>
          <w:p>
            <w:r>
              <w:rPr>
                <w:rFonts w:ascii="Calibri" w:hAnsi="Calibri"/>
                <w:sz w:val="20"/>
              </w:rPr>
            </w:r>
            <w:r>
              <w:rPr>
                <w:rFonts w:ascii="Calibri" w:hAnsi="Calibri"/>
                <w:sz w:val="20"/>
              </w:rPr>
              <w:t>A direct digital solution to a common customer query.</w:t>
            </w:r>
          </w:p>
        </w:tc>
      </w:tr>
    </w:tbl>
    <w:p/>
    <w:p>
      <w:pPr>
        <w:spacing w:before="80" w:after="80"/>
        <w:pBdr>
          <w:bottom w:val="single" w:sz="4" w:space="1" w:color="CCCCCC"/>
        </w:pBdr>
      </w:pPr>
    </w:p>
    <w:p>
      <w:r>
        <w:t>&lt;!-- SLIDE: matrix | layout: section_divider | title: "Where to Act First" --&gt;</w:t>
      </w:r>
    </w:p>
    <w:p>
      <w:pPr>
        <w:pStyle w:val="Heading1"/>
      </w:pPr>
      <w:r>
        <w:t>Where to Act First</w:t>
      </w:r>
    </w:p>
    <w:p>
      <w:r>
        <w:t>Not all problems are equal. Not all fixes are equal.</w:t>
      </w:r>
    </w:p>
    <w:p>
      <w:r>
        <w:t>This matrix surfaces where limited effort yields the greatest call deflection.</w:t>
      </w:r>
    </w:p>
    <w:p>
      <w:pPr>
        <w:spacing w:before="80" w:after="80"/>
        <w:pBdr>
          <w:bottom w:val="single" w:sz="4" w:space="1" w:color="CCCCCC"/>
        </w:pBdr>
      </w:pPr>
    </w:p>
    <w:p>
      <w:r>
        <w:t>&lt;!-- SLIDE: matrix | layout: table_full | title: "Impact vs. Ease: Full Prioritization Matrix" --&gt;</w:t>
      </w:r>
    </w:p>
    <w:p>
      <w:pPr>
        <w:pStyle w:val="Heading2"/>
      </w:pPr>
      <w:r>
        <w:t>Impact vs. Ease: Prioritization Matrix</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03B70" w:val="clear"/>
          </w:tcPr>
          <w:p>
            <w:pPr>
              <w:jc w:val="center"/>
            </w:pPr>
            <w:r>
              <w:rPr>
                <w:b/>
                <w:color w:val="FFFFFF"/>
                <w:sz w:val="20"/>
              </w:rPr>
            </w:r>
            <w:r>
              <w:rPr>
                <w:b/>
                <w:color w:val="FFFFFF"/>
                <w:sz w:val="20"/>
              </w:rPr>
              <w:t>Theme</w:t>
            </w:r>
          </w:p>
        </w:tc>
        <w:tc>
          <w:tcPr>
            <w:tcW w:type="dxa" w:w="1337"/>
            <w:shd w:fill="003B70" w:val="clear"/>
          </w:tcPr>
          <w:p>
            <w:pPr>
              <w:jc w:val="center"/>
            </w:pPr>
            <w:r>
              <w:rPr>
                <w:b/>
                <w:color w:val="FFFFFF"/>
                <w:sz w:val="20"/>
              </w:rPr>
            </w:r>
            <w:r>
              <w:rPr>
                <w:b/>
                <w:color w:val="FFFFFF"/>
                <w:sz w:val="20"/>
              </w:rPr>
              <w:t>Volume (calls)</w:t>
            </w:r>
          </w:p>
        </w:tc>
        <w:tc>
          <w:tcPr>
            <w:tcW w:type="dxa" w:w="1337"/>
            <w:shd w:fill="003B70" w:val="clear"/>
          </w:tcPr>
          <w:p>
            <w:pPr>
              <w:jc w:val="center"/>
            </w:pPr>
            <w:r>
              <w:rPr>
                <w:b/>
                <w:color w:val="FFFFFF"/>
                <w:sz w:val="20"/>
              </w:rPr>
            </w:r>
            <w:r>
              <w:rPr>
                <w:b/>
                <w:color w:val="FFFFFF"/>
                <w:sz w:val="20"/>
              </w:rPr>
              <w:t>Top 3 Problems</w:t>
            </w:r>
          </w:p>
        </w:tc>
        <w:tc>
          <w:tcPr>
            <w:tcW w:type="dxa" w:w="1337"/>
            <w:shd w:fill="003B70" w:val="clear"/>
          </w:tcPr>
          <w:p>
            <w:pPr>
              <w:jc w:val="center"/>
            </w:pPr>
            <w:r>
              <w:rPr>
                <w:b/>
                <w:color w:val="FFFFFF"/>
                <w:sz w:val="20"/>
              </w:rPr>
            </w:r>
            <w:r>
              <w:rPr>
                <w:b/>
                <w:color w:val="FFFFFF"/>
                <w:sz w:val="20"/>
              </w:rPr>
              <w:t>Recommended Solutions</w:t>
            </w:r>
          </w:p>
        </w:tc>
        <w:tc>
          <w:tcPr>
            <w:tcW w:type="dxa" w:w="1337"/>
            <w:shd w:fill="003B70" w:val="clear"/>
          </w:tcPr>
          <w:p>
            <w:pPr>
              <w:jc w:val="center"/>
            </w:pPr>
            <w:r>
              <w:rPr>
                <w:b/>
                <w:color w:val="FFFFFF"/>
                <w:sz w:val="20"/>
              </w:rPr>
            </w:r>
            <w:r>
              <w:rPr>
                <w:b/>
                <w:color w:val="FFFFFF"/>
                <w:sz w:val="20"/>
              </w:rPr>
              <w:t>Ease (1–10)</w:t>
            </w:r>
          </w:p>
        </w:tc>
        <w:tc>
          <w:tcPr>
            <w:tcW w:type="dxa" w:w="1337"/>
            <w:shd w:fill="003B70" w:val="clear"/>
          </w:tcPr>
          <w:p>
            <w:pPr>
              <w:jc w:val="center"/>
            </w:pPr>
            <w:r>
              <w:rPr>
                <w:b/>
                <w:color w:val="FFFFFF"/>
                <w:sz w:val="20"/>
              </w:rPr>
            </w:r>
            <w:r>
              <w:rPr>
                <w:b/>
                <w:color w:val="FFFFFF"/>
                <w:sz w:val="20"/>
              </w:rPr>
              <w:t>Impact (1–10)</w:t>
            </w:r>
          </w:p>
        </w:tc>
        <w:tc>
          <w:tcPr>
            <w:tcW w:type="dxa" w:w="1337"/>
            <w:shd w:fill="003B70" w:val="clear"/>
          </w:tcPr>
          <w:p>
            <w:pPr>
              <w:jc w:val="center"/>
            </w:pPr>
            <w:r>
              <w:rPr>
                <w:b/>
                <w:color w:val="FFFFFF"/>
                <w:sz w:val="20"/>
              </w:rPr>
            </w:r>
            <w:r>
              <w:rPr>
                <w:b/>
                <w:color w:val="FFFFFF"/>
                <w:sz w:val="20"/>
              </w:rPr>
              <w:t>Priority Score</w:t>
            </w:r>
          </w:p>
        </w:tc>
      </w:tr>
      <w:tr>
        <w:tc>
          <w:tcPr>
            <w:tcW w:type="dxa" w:w="1337"/>
          </w:tcPr>
          <w:p>
            <w:r>
              <w:rPr>
                <w:rFonts w:ascii="Calibri" w:hAnsi="Calibri"/>
                <w:sz w:val="20"/>
              </w:rPr>
            </w:r>
            <w:r>
              <w:rPr>
                <w:rFonts w:ascii="Calibri" w:hAnsi="Calibri"/>
                <w:sz w:val="20"/>
              </w:rPr>
              <w:t>Rewards</w:t>
            </w:r>
          </w:p>
        </w:tc>
        <w:tc>
          <w:tcPr>
            <w:tcW w:type="dxa" w:w="1337"/>
          </w:tcPr>
          <w:p>
            <w:r>
              <w:rPr>
                <w:rFonts w:ascii="Calibri" w:hAnsi="Calibri"/>
                <w:sz w:val="20"/>
              </w:rPr>
            </w:r>
            <w:r>
              <w:rPr>
                <w:rFonts w:ascii="Calibri" w:hAnsi="Calibri"/>
                <w:sz w:val="20"/>
              </w:rPr>
              <w:t>16</w:t>
            </w:r>
          </w:p>
        </w:tc>
        <w:tc>
          <w:tcPr>
            <w:tcW w:type="dxa" w:w="1337"/>
          </w:tcPr>
          <w:p>
            <w:r>
              <w:rPr>
                <w:rFonts w:ascii="Calibri" w:hAnsi="Calibri"/>
                <w:sz w:val="20"/>
              </w:rPr>
            </w:r>
            <w:r>
              <w:rPr>
                <w:rFonts w:ascii="Calibri" w:hAnsi="Calibri"/>
                <w:sz w:val="20"/>
              </w:rPr>
              <w:t>Partner Transfer Delay (4 calls), Promotional Points Missing (3 calls), Points Not Credited (3 calls)</w:t>
            </w:r>
          </w:p>
        </w:tc>
        <w:tc>
          <w:tcPr>
            <w:tcW w:type="dxa" w:w="1337"/>
          </w:tcPr>
          <w:p>
            <w:r>
              <w:rPr>
                <w:rFonts w:ascii="Calibri" w:hAnsi="Calibri"/>
                <w:sz w:val="20"/>
              </w:rPr>
            </w:r>
            <w:r>
              <w:rPr>
                <w:rFonts w:ascii="Calibri" w:hAnsi="Calibri"/>
                <w:sz w:val="20"/>
              </w:rPr>
              <w:t>Implement transfer tracker, Develop promo tracker, Add pending points section</w:t>
            </w:r>
          </w:p>
        </w:tc>
        <w:tc>
          <w:tcPr>
            <w:tcW w:type="dxa" w:w="1337"/>
          </w:tcPr>
          <w:p>
            <w:r>
              <w:rPr>
                <w:rFonts w:ascii="Calibri" w:hAnsi="Calibri"/>
                <w:sz w:val="20"/>
              </w:rPr>
            </w:r>
            <w:r>
              <w:rPr>
                <w:rFonts w:ascii="Calibri" w:hAnsi="Calibri"/>
                <w:sz w:val="20"/>
              </w:rPr>
              <w:t>7.0</w:t>
            </w:r>
          </w:p>
        </w:tc>
        <w:tc>
          <w:tcPr>
            <w:tcW w:type="dxa" w:w="1337"/>
          </w:tcPr>
          <w:p>
            <w:r>
              <w:rPr>
                <w:rFonts w:ascii="Calibri" w:hAnsi="Calibri"/>
                <w:sz w:val="20"/>
              </w:rPr>
            </w:r>
            <w:r>
              <w:rPr>
                <w:rFonts w:ascii="Calibri" w:hAnsi="Calibri"/>
                <w:sz w:val="20"/>
              </w:rPr>
              <w:t>8.0</w:t>
            </w:r>
          </w:p>
        </w:tc>
        <w:tc>
          <w:tcPr>
            <w:tcW w:type="dxa" w:w="1337"/>
          </w:tcPr>
          <w:p>
            <w:r>
              <w:rPr>
                <w:rFonts w:ascii="Calibri" w:hAnsi="Calibri"/>
                <w:sz w:val="20"/>
              </w:rPr>
            </w:r>
            <w:r>
              <w:rPr>
                <w:rFonts w:ascii="Calibri" w:hAnsi="Calibri"/>
                <w:sz w:val="20"/>
              </w:rPr>
              <w:t>7.6</w:t>
            </w:r>
          </w:p>
        </w:tc>
      </w:tr>
    </w:tbl>
    <w:p/>
    <w:p>
      <w:pPr>
        <w:spacing w:before="80" w:after="80"/>
        <w:pBdr>
          <w:bottom w:val="single" w:sz="4" w:space="1" w:color="CCCCCC"/>
        </w:pBdr>
      </w:pPr>
    </w:p>
    <w:p>
      <w:r>
        <w:t>&lt;!-- SLIDE: matrix_bet | layout: callout_stat | title: "The Highest-ROI Bet in This Dataset" --&gt;</w:t>
      </w:r>
    </w:p>
    <w:p>
      <w:pPr>
        <w:pStyle w:val="Heading2"/>
      </w:pPr>
      <w:r>
        <w:t>The Biggest Bet</w:t>
      </w:r>
    </w:p>
    <w:p>
      <w:r>
        <w:rPr>
          <w:b/>
        </w:rPr>
        <w:t>Rewards</w:t>
      </w:r>
      <w:r>
        <w:t xml:space="preserve"> — fixing the top 3 drivers alone deflects </w:t>
      </w:r>
      <w:r>
        <w:rPr>
          <w:b/>
        </w:rPr>
        <w:t>10 calls (10.42% of total volume)</w:t>
      </w:r>
    </w:p>
    <w:p>
      <w:r>
        <w:t>and is achievable within one quarter.</w:t>
      </w:r>
    </w:p>
    <w:p>
      <w:pPr>
        <w:spacing w:before="80" w:after="80"/>
        <w:pBdr>
          <w:bottom w:val="single" w:sz="4" w:space="1" w:color="CCCCCC"/>
        </w:pBdr>
      </w:pPr>
    </w:p>
    <w:p>
      <w:r>
        <w:t>&lt;!-- SLIDE: recommendations | layout: section_divider | title: "Recommended Actions by Team" --&gt;</w:t>
      </w:r>
    </w:p>
    <w:p>
      <w:pPr>
        <w:pStyle w:val="Heading1"/>
      </w:pPr>
      <w:r>
        <w:t>Recommended Actions by Owning Team</w:t>
      </w:r>
    </w:p>
    <w:p>
      <w:r>
        <w:t>Organized by owning team for clear accountability.</w:t>
      </w:r>
    </w:p>
    <w:p>
      <w:r>
        <w:t>Each action is sequenced by priority score — highest first.</w:t>
      </w:r>
    </w:p>
    <w:p>
      <w:pPr>
        <w:spacing w:before="80" w:after="80"/>
        <w:pBdr>
          <w:bottom w:val="single" w:sz="4" w:space="1" w:color="CCCCCC"/>
        </w:pBdr>
      </w:pPr>
    </w:p>
    <w:p>
      <w:r>
        <w:t>&lt;!-- SLIDE: recommendations_digital | layout: action_list | title: "Digital / UX Actions" --&gt;</w:t>
      </w:r>
    </w:p>
    <w:p>
      <w:pPr>
        <w:pStyle w:val="Heading2"/>
      </w:pPr>
      <w:r>
        <w:t>Digital / UX</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Priority</w:t>
            </w:r>
          </w:p>
        </w:tc>
      </w:tr>
      <w:tr>
        <w:tc>
          <w:tcPr>
            <w:tcW w:type="dxa" w:w="2340"/>
          </w:tcPr>
          <w:p>
            <w:r>
              <w:rPr>
                <w:rFonts w:ascii="Calibri" w:hAnsi="Calibri"/>
                <w:sz w:val="20"/>
              </w:rPr>
            </w:r>
            <w:r>
              <w:rPr>
                <w:rFonts w:ascii="Calibri" w:hAnsi="Calibri"/>
                <w:sz w:val="20"/>
              </w:rPr>
              <w:t>Implement an in-app tier progress tracker and send proactive digital notifications (e.g., push, email) 60-90 days before potential tier downgrades, explaining the criteria and impact.</w:t>
            </w:r>
          </w:p>
        </w:tc>
        <w:tc>
          <w:tcPr>
            <w:tcW w:type="dxa" w:w="2340"/>
          </w:tcPr>
          <w:p>
            <w:r>
              <w:rPr>
                <w:rFonts w:ascii="Calibri" w:hAnsi="Calibri"/>
                <w:sz w:val="20"/>
              </w:rPr>
            </w:r>
            <w:r>
              <w:rPr>
                <w:rFonts w:ascii="Calibri" w:hAnsi="Calibri"/>
                <w:sz w:val="20"/>
              </w:rPr>
              <w:t>Rewards</w:t>
            </w:r>
          </w:p>
        </w:tc>
        <w:tc>
          <w:tcPr>
            <w:tcW w:type="dxa" w:w="2340"/>
          </w:tcPr>
          <w:p>
            <w:r>
              <w:rPr>
                <w:rFonts w:ascii="Calibri" w:hAnsi="Calibri"/>
                <w:sz w:val="20"/>
              </w:rPr>
            </w:r>
            <w:r>
              <w:rPr>
                <w:rFonts w:ascii="Calibri" w:hAnsi="Calibri"/>
                <w:sz w:val="20"/>
              </w:rPr>
              <w:t>~1 call (1.04%)</w:t>
            </w:r>
          </w:p>
        </w:tc>
        <w:tc>
          <w:tcPr>
            <w:tcW w:type="dxa" w:w="2340"/>
          </w:tcPr>
          <w:p>
            <w:r>
              <w:rPr>
                <w:rFonts w:ascii="Calibri" w:hAnsi="Calibri"/>
                <w:sz w:val="20"/>
              </w:rPr>
            </w:r>
            <w:r>
              <w:rPr>
                <w:rFonts w:ascii="Calibri" w:hAnsi="Calibri"/>
                <w:sz w:val="20"/>
              </w:rPr>
              <w:t>8.2</w:t>
            </w:r>
          </w:p>
        </w:tc>
      </w:tr>
      <w:tr>
        <w:tc>
          <w:tcPr>
            <w:tcW w:type="dxa" w:w="2340"/>
            <w:shd w:fill="F2F6FA" w:val="clear"/>
          </w:tcPr>
          <w:p>
            <w:r>
              <w:rPr>
                <w:rFonts w:ascii="Calibri" w:hAnsi="Calibri"/>
                <w:sz w:val="20"/>
              </w:rPr>
            </w:r>
            <w:r>
              <w:rPr>
                <w:rFonts w:ascii="Calibri" w:hAnsi="Calibri"/>
                <w:sz w:val="20"/>
              </w:rPr>
              <w:t>Implement a real-time partner transfer status tracker in the mobile app and web, showing expected completion times.</w:t>
            </w:r>
          </w:p>
        </w:tc>
        <w:tc>
          <w:tcPr>
            <w:tcW w:type="dxa" w:w="2340"/>
            <w:shd w:fill="F2F6FA" w:val="clear"/>
          </w:tcPr>
          <w:p>
            <w:r>
              <w:rPr>
                <w:rFonts w:ascii="Calibri" w:hAnsi="Calibri"/>
                <w:sz w:val="20"/>
              </w:rPr>
            </w:r>
            <w:r>
              <w:rPr>
                <w:rFonts w:ascii="Calibri" w:hAnsi="Calibri"/>
                <w:sz w:val="20"/>
              </w:rPr>
              <w:t>Rewards</w:t>
            </w:r>
          </w:p>
        </w:tc>
        <w:tc>
          <w:tcPr>
            <w:tcW w:type="dxa" w:w="2340"/>
            <w:shd w:fill="F2F6FA" w:val="clear"/>
          </w:tcPr>
          <w:p>
            <w:r>
              <w:rPr>
                <w:rFonts w:ascii="Calibri" w:hAnsi="Calibri"/>
                <w:sz w:val="20"/>
              </w:rPr>
            </w:r>
            <w:r>
              <w:rPr>
                <w:rFonts w:ascii="Calibri" w:hAnsi="Calibri"/>
                <w:sz w:val="20"/>
              </w:rPr>
              <w:t>~4 calls (4.17%)</w:t>
            </w:r>
          </w:p>
        </w:tc>
        <w:tc>
          <w:tcPr>
            <w:tcW w:type="dxa" w:w="2340"/>
            <w:shd w:fill="F2F6FA" w:val="clear"/>
          </w:tcPr>
          <w:p>
            <w:r>
              <w:rPr>
                <w:rFonts w:ascii="Calibri" w:hAnsi="Calibri"/>
                <w:sz w:val="20"/>
              </w:rPr>
            </w:r>
            <w:r>
              <w:rPr>
                <w:rFonts w:ascii="Calibri" w:hAnsi="Calibri"/>
                <w:sz w:val="20"/>
              </w:rPr>
              <w:t>7.6</w:t>
            </w:r>
          </w:p>
        </w:tc>
      </w:tr>
      <w:tr>
        <w:tc>
          <w:tcPr>
            <w:tcW w:type="dxa" w:w="2340"/>
          </w:tcPr>
          <w:p>
            <w:r>
              <w:rPr>
                <w:rFonts w:ascii="Calibri" w:hAnsi="Calibri"/>
                <w:sz w:val="20"/>
              </w:rPr>
            </w:r>
            <w:r>
              <w:rPr>
                <w:rFonts w:ascii="Calibri" w:hAnsi="Calibri"/>
                <w:sz w:val="20"/>
              </w:rPr>
              <w:t>Develop an in-app promotional offer tracker with progress bars, clear eligibility criteria, and estimated bonus posting dates.</w:t>
            </w:r>
          </w:p>
        </w:tc>
        <w:tc>
          <w:tcPr>
            <w:tcW w:type="dxa" w:w="2340"/>
          </w:tcPr>
          <w:p>
            <w:r>
              <w:rPr>
                <w:rFonts w:ascii="Calibri" w:hAnsi="Calibri"/>
                <w:sz w:val="20"/>
              </w:rPr>
            </w:r>
            <w:r>
              <w:rPr>
                <w:rFonts w:ascii="Calibri" w:hAnsi="Calibri"/>
                <w:sz w:val="20"/>
              </w:rPr>
              <w:t>Rewards</w:t>
            </w:r>
          </w:p>
        </w:tc>
        <w:tc>
          <w:tcPr>
            <w:tcW w:type="dxa" w:w="2340"/>
          </w:tcPr>
          <w:p>
            <w:r>
              <w:rPr>
                <w:rFonts w:ascii="Calibri" w:hAnsi="Calibri"/>
                <w:sz w:val="20"/>
              </w:rPr>
            </w:r>
            <w:r>
              <w:rPr>
                <w:rFonts w:ascii="Calibri" w:hAnsi="Calibri"/>
                <w:sz w:val="20"/>
              </w:rPr>
              <w:t>~3 calls (3.13%)</w:t>
            </w:r>
          </w:p>
        </w:tc>
        <w:tc>
          <w:tcPr>
            <w:tcW w:type="dxa" w:w="2340"/>
          </w:tcPr>
          <w:p>
            <w:r>
              <w:rPr>
                <w:rFonts w:ascii="Calibri" w:hAnsi="Calibri"/>
                <w:sz w:val="20"/>
              </w:rPr>
            </w:r>
            <w:r>
              <w:rPr>
                <w:rFonts w:ascii="Calibri" w:hAnsi="Calibri"/>
                <w:sz w:val="20"/>
              </w:rPr>
              <w:t>7.6</w:t>
            </w:r>
          </w:p>
        </w:tc>
      </w:tr>
      <w:tr>
        <w:tc>
          <w:tcPr>
            <w:tcW w:type="dxa" w:w="2340"/>
            <w:shd w:fill="F2F6FA" w:val="clear"/>
          </w:tcPr>
          <w:p>
            <w:r>
              <w:rPr>
                <w:rFonts w:ascii="Calibri" w:hAnsi="Calibri"/>
                <w:sz w:val="20"/>
              </w:rPr>
            </w:r>
            <w:r>
              <w:rPr>
                <w:rFonts w:ascii="Calibri" w:hAnsi="Calibri"/>
                <w:sz w:val="20"/>
              </w:rPr>
              <w:t>Add a 'pending points' section to the rewards dashboard, detailing points from recent transactions and their expected posting dates.</w:t>
            </w:r>
          </w:p>
        </w:tc>
        <w:tc>
          <w:tcPr>
            <w:tcW w:type="dxa" w:w="2340"/>
            <w:shd w:fill="F2F6FA" w:val="clear"/>
          </w:tcPr>
          <w:p>
            <w:r>
              <w:rPr>
                <w:rFonts w:ascii="Calibri" w:hAnsi="Calibri"/>
                <w:sz w:val="20"/>
              </w:rPr>
            </w:r>
            <w:r>
              <w:rPr>
                <w:rFonts w:ascii="Calibri" w:hAnsi="Calibri"/>
                <w:sz w:val="20"/>
              </w:rPr>
              <w:t>Rewards</w:t>
            </w:r>
          </w:p>
        </w:tc>
        <w:tc>
          <w:tcPr>
            <w:tcW w:type="dxa" w:w="2340"/>
            <w:shd w:fill="F2F6FA" w:val="clear"/>
          </w:tcPr>
          <w:p>
            <w:r>
              <w:rPr>
                <w:rFonts w:ascii="Calibri" w:hAnsi="Calibri"/>
                <w:sz w:val="20"/>
              </w:rPr>
            </w:r>
            <w:r>
              <w:rPr>
                <w:rFonts w:ascii="Calibri" w:hAnsi="Calibri"/>
                <w:sz w:val="20"/>
              </w:rPr>
              <w:t>~3 calls (3.13%)</w:t>
            </w:r>
          </w:p>
        </w:tc>
        <w:tc>
          <w:tcPr>
            <w:tcW w:type="dxa" w:w="2340"/>
            <w:shd w:fill="F2F6FA" w:val="clear"/>
          </w:tcPr>
          <w:p>
            <w:r>
              <w:rPr>
                <w:rFonts w:ascii="Calibri" w:hAnsi="Calibri"/>
                <w:sz w:val="20"/>
              </w:rPr>
            </w:r>
            <w:r>
              <w:rPr>
                <w:rFonts w:ascii="Calibri" w:hAnsi="Calibri"/>
                <w:sz w:val="20"/>
              </w:rPr>
              <w:t>7.6</w:t>
            </w:r>
          </w:p>
        </w:tc>
      </w:tr>
      <w:tr>
        <w:tc>
          <w:tcPr>
            <w:tcW w:type="dxa" w:w="2340"/>
          </w:tcPr>
          <w:p>
            <w:r>
              <w:rPr>
                <w:rFonts w:ascii="Calibri" w:hAnsi="Calibri"/>
                <w:sz w:val="20"/>
              </w:rPr>
            </w:r>
            <w:r>
              <w:rPr>
                <w:rFonts w:ascii="Calibri" w:hAnsi="Calibri"/>
                <w:sz w:val="20"/>
              </w:rPr>
              <w:t>Prominently display minimum redemption thresholds and points-to-dollar conversion rates on the rewards dashboard and within the redemption flow.</w:t>
            </w:r>
          </w:p>
        </w:tc>
        <w:tc>
          <w:tcPr>
            <w:tcW w:type="dxa" w:w="2340"/>
          </w:tcPr>
          <w:p>
            <w:r>
              <w:rPr>
                <w:rFonts w:ascii="Calibri" w:hAnsi="Calibri"/>
                <w:sz w:val="20"/>
              </w:rPr>
            </w:r>
            <w:r>
              <w:rPr>
                <w:rFonts w:ascii="Calibri" w:hAnsi="Calibri"/>
                <w:sz w:val="20"/>
              </w:rPr>
              <w:t>Rewards</w:t>
            </w:r>
          </w:p>
        </w:tc>
        <w:tc>
          <w:tcPr>
            <w:tcW w:type="dxa" w:w="2340"/>
          </w:tcPr>
          <w:p>
            <w:r>
              <w:rPr>
                <w:rFonts w:ascii="Calibri" w:hAnsi="Calibri"/>
                <w:sz w:val="20"/>
              </w:rPr>
            </w:r>
            <w:r>
              <w:rPr>
                <w:rFonts w:ascii="Calibri" w:hAnsi="Calibri"/>
                <w:sz w:val="20"/>
              </w:rPr>
              <w:t>~3 calls (3.13%)</w:t>
            </w:r>
          </w:p>
        </w:tc>
        <w:tc>
          <w:tcPr>
            <w:tcW w:type="dxa" w:w="2340"/>
          </w:tcPr>
          <w:p>
            <w:r>
              <w:rPr>
                <w:rFonts w:ascii="Calibri" w:hAnsi="Calibri"/>
                <w:sz w:val="20"/>
              </w:rPr>
            </w:r>
            <w:r>
              <w:rPr>
                <w:rFonts w:ascii="Calibri" w:hAnsi="Calibri"/>
                <w:sz w:val="20"/>
              </w:rPr>
              <w:t>7.4</w:t>
            </w:r>
          </w:p>
        </w:tc>
      </w:tr>
      <w:tr>
        <w:tc>
          <w:tcPr>
            <w:tcW w:type="dxa" w:w="2340"/>
            <w:shd w:fill="F2F6FA" w:val="clear"/>
          </w:tcPr>
          <w:p>
            <w:r>
              <w:rPr>
                <w:rFonts w:ascii="Calibri" w:hAnsi="Calibri"/>
                <w:sz w:val="20"/>
              </w:rPr>
            </w:r>
            <w:r>
              <w:rPr>
                <w:rFonts w:ascii="Calibri" w:hAnsi="Calibri"/>
                <w:sz w:val="20"/>
              </w:rPr>
              <w:t>Enhance transaction details to show the specific earn rate applied, the category recognized, and any bonus caps for each transaction.</w:t>
            </w:r>
          </w:p>
        </w:tc>
        <w:tc>
          <w:tcPr>
            <w:tcW w:type="dxa" w:w="2340"/>
            <w:shd w:fill="F2F6FA" w:val="clear"/>
          </w:tcPr>
          <w:p>
            <w:r>
              <w:rPr>
                <w:rFonts w:ascii="Calibri" w:hAnsi="Calibri"/>
                <w:sz w:val="20"/>
              </w:rPr>
            </w:r>
            <w:r>
              <w:rPr>
                <w:rFonts w:ascii="Calibri" w:hAnsi="Calibri"/>
                <w:sz w:val="20"/>
              </w:rPr>
              <w:t>Rewards</w:t>
            </w:r>
          </w:p>
        </w:tc>
        <w:tc>
          <w:tcPr>
            <w:tcW w:type="dxa" w:w="2340"/>
            <w:shd w:fill="F2F6FA" w:val="clear"/>
          </w:tcPr>
          <w:p>
            <w:r>
              <w:rPr>
                <w:rFonts w:ascii="Calibri" w:hAnsi="Calibri"/>
                <w:sz w:val="20"/>
              </w:rPr>
            </w:r>
            <w:r>
              <w:rPr>
                <w:rFonts w:ascii="Calibri" w:hAnsi="Calibri"/>
                <w:sz w:val="20"/>
              </w:rPr>
              <w:t>~2 calls (2.08%)</w:t>
            </w:r>
          </w:p>
        </w:tc>
        <w:tc>
          <w:tcPr>
            <w:tcW w:type="dxa" w:w="2340"/>
            <w:shd w:fill="F2F6FA" w:val="clear"/>
          </w:tcPr>
          <w:p>
            <w:r>
              <w:rPr>
                <w:rFonts w:ascii="Calibri" w:hAnsi="Calibri"/>
                <w:sz w:val="20"/>
              </w:rPr>
            </w:r>
            <w:r>
              <w:rPr>
                <w:rFonts w:ascii="Calibri" w:hAnsi="Calibri"/>
                <w:sz w:val="20"/>
              </w:rPr>
              <w:t>7.0</w:t>
            </w:r>
          </w:p>
        </w:tc>
      </w:tr>
    </w:tbl>
    <w:p/>
    <w:p>
      <w:pPr>
        <w:spacing w:before="80" w:after="80"/>
        <w:pBdr>
          <w:bottom w:val="single" w:sz="4" w:space="1" w:color="CCCCCC"/>
        </w:pBdr>
      </w:pPr>
    </w:p>
    <w:p>
      <w:r>
        <w:t>&lt;!-- SLIDE: recommendations_ops | layout: action_list | title: "Operations Actions" --&gt;</w:t>
      </w:r>
    </w:p>
    <w:p>
      <w:pPr>
        <w:pStyle w:val="Heading2"/>
      </w:pPr>
      <w:r>
        <w:t>Operations</w:t>
      </w:r>
    </w:p>
    <w:p>
      <w:r>
        <w:t>No high-priority actions identified in this cycle.</w:t>
      </w:r>
    </w:p>
    <w:p>
      <w:pPr>
        <w:spacing w:before="80" w:after="80"/>
        <w:pBdr>
          <w:bottom w:val="single" w:sz="4" w:space="1" w:color="CCCCCC"/>
        </w:pBdr>
      </w:pPr>
    </w:p>
    <w:p>
      <w:r>
        <w:t>&lt;!-- SLIDE: recommendations_comms | layout: action_list | title: "Communications Actions" --&gt;</w:t>
      </w:r>
    </w:p>
    <w:p>
      <w:pPr>
        <w:pStyle w:val="Heading2"/>
      </w:pPr>
      <w:r>
        <w:t>Communications</w:t>
      </w:r>
    </w:p>
    <w:p>
      <w:r>
        <w:t>No high-priority actions identified in this cycle.</w:t>
      </w:r>
    </w:p>
    <w:p>
      <w:pPr>
        <w:spacing w:before="80" w:after="80"/>
        <w:pBdr>
          <w:bottom w:val="single" w:sz="4" w:space="1" w:color="CCCCCC"/>
        </w:pBdr>
      </w:pPr>
    </w:p>
    <w:p>
      <w:r>
        <w:t>&lt;!-- SLIDE: recommendations_policy | layout: action_list | title: "Policy / Governance Actions" --&gt;</w:t>
      </w:r>
    </w:p>
    <w:p>
      <w:pPr>
        <w:pStyle w:val="Heading2"/>
      </w:pPr>
      <w:r>
        <w:t>Policy / Governance</w:t>
      </w:r>
    </w:p>
    <w:p>
      <w:r>
        <w:t>No high-priority actions identified in this cycle.</w:t>
      </w:r>
    </w:p>
    <w:p>
      <w:pPr>
        <w:spacing w:before="80" w:after="80"/>
        <w:pBdr>
          <w:bottom w:val="single" w:sz="4" w:space="1" w:color="CCCCCC"/>
        </w:pBdr>
      </w:pPr>
    </w:p>
    <w:p>
      <w:r>
        <w:t>&lt;!-- SLIDE: theme_divider | layout: section_divider | title: "Rewards — Deep Dive" --&gt;</w:t>
      </w:r>
    </w:p>
    <w:p>
      <w:pPr>
        <w:pStyle w:val="Heading1"/>
      </w:pPr>
      <w:r>
        <w:t>Rewards — Deep Dive</w:t>
      </w:r>
    </w:p>
    <w:p>
      <w:r>
        <w:rPr>
          <w:b/>
        </w:rPr>
        <w:t>Priority:</w:t>
      </w:r>
      <w:r>
        <w:t xml:space="preserve"> 7.6/10 | </w:t>
      </w:r>
      <w:r>
        <w:rPr>
          <w:b/>
        </w:rPr>
        <w:t>Ease:</w:t>
      </w:r>
      <w:r>
        <w:t xml:space="preserve"> 7.0/10 | </w:t>
      </w:r>
      <w:r>
        <w:rPr>
          <w:b/>
        </w:rPr>
        <w:t>Impact:</w:t>
      </w:r>
      <w:r>
        <w:t xml:space="preserve"> 8.0/10</w:t>
      </w:r>
    </w:p>
    <w:p>
      <w:r>
        <w:rPr>
          <w:b/>
        </w:rPr>
        <w:t>Volume:</w:t>
      </w:r>
      <w:r>
        <w:t xml:space="preserve"> 16 calls | 16.67% of overall analyzed volume</w:t>
      </w:r>
    </w:p>
    <w:p>
      <w:pPr>
        <w:spacing w:before="80" w:after="80"/>
        <w:pBdr>
          <w:bottom w:val="single" w:sz="4" w:space="1" w:color="CCCCCC"/>
        </w:pBdr>
      </w:pPr>
    </w:p>
    <w:p>
      <w:r>
        <w:t>&lt;!-- SLIDE: theme_narrative | layout: callout_stat | title: "Rewards: The Story" --&gt;</w:t>
      </w:r>
    </w:p>
    <w:p>
      <w:pPr>
        <w:pStyle w:val="Heading2"/>
      </w:pPr>
      <w:r>
        <w:t>Rewards: The Story</w:t>
      </w:r>
    </w:p>
    <w:p>
      <w:r>
        <w:t>Customers are frequently calling about their rewards points due to a lack of transparency and self-service options. This friction leads to frustration and unnecessary contact center volume, eroding the value proposition of the rewards program.</w:t>
      </w:r>
    </w:p>
    <w:p>
      <w:pPr>
        <w:pStyle w:val="Heading4"/>
      </w:pPr>
      <w:r>
        <w:t>Core Issue</w:t>
      </w:r>
    </w:p>
    <w:p>
      <w:r>
        <w:t>Customers lack transparency and self-service options regarding their rewards points, leading to frustration and direct calls for basic information that should be easily accessible.</w:t>
      </w:r>
    </w:p>
    <w:p>
      <w:pPr>
        <w:pStyle w:val="Heading4"/>
      </w:pPr>
      <w:r>
        <w:t>Primary Driver</w:t>
      </w:r>
    </w:p>
    <w:p>
      <w:r>
        <w:t>The single biggest driver is "Partner Transfer Delay", accounting for 4 calls (25.0% of theme volume). Customers have no way to track points transferred to partners, leading to uncertainty and calls.</w:t>
      </w:r>
    </w:p>
    <w:p>
      <w:pPr>
        <w:pStyle w:val="Heading4"/>
      </w:pPr>
      <w:r>
        <w:t>Solutions</w:t>
      </w:r>
    </w:p>
    <w:p>
      <w:pPr>
        <w:pStyle w:val="ListNumber"/>
      </w:pPr>
      <w:r>
        <w:t>Implement an in-app tier progress tracker and send proactive digital notifications (e.g., push, email) 60-90 days before potential tier downgrades, explaining the criteria and impact. `[Digital]`</w:t>
      </w:r>
    </w:p>
    <w:p>
      <w:pPr>
        <w:pStyle w:val="ListNumber"/>
      </w:pPr>
      <w:r>
        <w:t>Implement a real-time partner transfer status tracker in the mobile app and web, showing expected completion times. `[Digital]`</w:t>
      </w:r>
    </w:p>
    <w:p>
      <w:pPr>
        <w:pStyle w:val="ListNumber"/>
      </w:pPr>
      <w:r>
        <w:t>Develop an in-app promotional offer tracker with progress bars, clear eligibility criteria, and estimated bonus posting dates. `[Digital]`</w:t>
      </w:r>
    </w:p>
    <w:p>
      <w:pPr>
        <w:spacing w:before="80" w:after="80"/>
        <w:pBdr>
          <w:bottom w:val="single" w:sz="4" w:space="1" w:color="CCCCCC"/>
        </w:pBdr>
      </w:pPr>
    </w:p>
    <w:p>
      <w:r>
        <w:t>&lt;!-- SLIDE: theme_drivers | layout: scorecard_drivers | title: "Rewards: Root Cause Breakdown" --&gt;</w:t>
      </w:r>
    </w:p>
    <w:p>
      <w:pPr>
        <w:pStyle w:val="Heading2"/>
      </w:pPr>
      <w:r>
        <w:t>Rewards: Root Cause Breakdown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Partner Transfer Delay</w:t>
            </w:r>
          </w:p>
        </w:tc>
        <w:tc>
          <w:tcPr>
            <w:tcW w:type="dxa" w:w="1560"/>
          </w:tcPr>
          <w:p>
            <w:r>
              <w:rPr>
                <w:rFonts w:ascii="Calibri" w:hAnsi="Calibri"/>
                <w:sz w:val="20"/>
              </w:rPr>
            </w:r>
            <w:r>
              <w:rPr>
                <w:rFonts w:ascii="Calibri" w:hAnsi="Calibri"/>
                <w:sz w:val="20"/>
              </w:rPr>
              <w:t>4</w:t>
            </w:r>
          </w:p>
        </w:tc>
        <w:tc>
          <w:tcPr>
            <w:tcW w:type="dxa" w:w="1560"/>
          </w:tcPr>
          <w:p>
            <w:r>
              <w:rPr>
                <w:rFonts w:ascii="Calibri" w:hAnsi="Calibri"/>
                <w:sz w:val="20"/>
              </w:rPr>
            </w:r>
            <w:r>
              <w:rPr>
                <w:rFonts w:ascii="Calibri" w:hAnsi="Calibri"/>
                <w:sz w:val="20"/>
              </w:rPr>
              <w:t>25.0%</w:t>
            </w:r>
          </w:p>
        </w:tc>
        <w:tc>
          <w:tcPr>
            <w:tcW w:type="dxa" w:w="1560"/>
          </w:tcPr>
          <w:p>
            <w:r>
              <w:rPr>
                <w:rFonts w:ascii="Calibri" w:hAnsi="Calibri"/>
                <w:sz w:val="20"/>
              </w:rPr>
            </w:r>
            <w:r>
              <w:rPr>
                <w:rFonts w:ascii="Calibri" w:hAnsi="Calibri"/>
                <w:sz w:val="20"/>
              </w:rPr>
              <w:t>primary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a real-time partner transfer status tracker in the mobile app and web, showing expected completion times.</w:t>
            </w:r>
          </w:p>
        </w:tc>
      </w:tr>
      <w:tr>
        <w:tc>
          <w:tcPr>
            <w:tcW w:type="dxa" w:w="1560"/>
            <w:shd w:fill="F2F6FA" w:val="clear"/>
          </w:tcPr>
          <w:p>
            <w:r>
              <w:rPr>
                <w:rFonts w:ascii="Calibri" w:hAnsi="Calibri"/>
                <w:sz w:val="20"/>
              </w:rPr>
            </w:r>
            <w:r>
              <w:rPr>
                <w:rFonts w:ascii="Calibri" w:hAnsi="Calibri"/>
                <w:sz w:val="20"/>
              </w:rPr>
              <w:t>Promotional Points Missing</w:t>
            </w:r>
          </w:p>
        </w:tc>
        <w:tc>
          <w:tcPr>
            <w:tcW w:type="dxa" w:w="1560"/>
            <w:shd w:fill="F2F6FA" w:val="clear"/>
          </w:tcPr>
          <w:p>
            <w:r>
              <w:rPr>
                <w:rFonts w:ascii="Calibri" w:hAnsi="Calibri"/>
                <w:sz w:val="20"/>
              </w:rPr>
            </w:r>
            <w:r>
              <w:rPr>
                <w:rFonts w:ascii="Calibri" w:hAnsi="Calibri"/>
                <w:sz w:val="20"/>
              </w:rPr>
              <w:t>3</w:t>
            </w:r>
          </w:p>
        </w:tc>
        <w:tc>
          <w:tcPr>
            <w:tcW w:type="dxa" w:w="1560"/>
            <w:shd w:fill="F2F6FA" w:val="clear"/>
          </w:tcPr>
          <w:p>
            <w:r>
              <w:rPr>
                <w:rFonts w:ascii="Calibri" w:hAnsi="Calibri"/>
                <w:sz w:val="20"/>
              </w:rPr>
            </w:r>
            <w:r>
              <w:rPr>
                <w:rFonts w:ascii="Calibri" w:hAnsi="Calibri"/>
                <w:sz w:val="20"/>
              </w:rPr>
              <w:t>18.75%</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Develop an in-app promotional offer tracker with progress bars, clear eligibility criteria, and estimated bonus posting dates.</w:t>
            </w:r>
          </w:p>
        </w:tc>
      </w:tr>
      <w:tr>
        <w:tc>
          <w:tcPr>
            <w:tcW w:type="dxa" w:w="1560"/>
          </w:tcPr>
          <w:p>
            <w:r>
              <w:rPr>
                <w:rFonts w:ascii="Calibri" w:hAnsi="Calibri"/>
                <w:sz w:val="20"/>
              </w:rPr>
            </w:r>
            <w:r>
              <w:rPr>
                <w:rFonts w:ascii="Calibri" w:hAnsi="Calibri"/>
                <w:sz w:val="20"/>
              </w:rPr>
              <w:t>Points Not Credited</w:t>
            </w:r>
          </w:p>
        </w:tc>
        <w:tc>
          <w:tcPr>
            <w:tcW w:type="dxa" w:w="1560"/>
          </w:tcPr>
          <w:p>
            <w:r>
              <w:rPr>
                <w:rFonts w:ascii="Calibri" w:hAnsi="Calibri"/>
                <w:sz w:val="20"/>
              </w:rPr>
            </w:r>
            <w:r>
              <w:rPr>
                <w:rFonts w:ascii="Calibri" w:hAnsi="Calibri"/>
                <w:sz w:val="20"/>
              </w:rPr>
              <w:t>3</w:t>
            </w:r>
          </w:p>
        </w:tc>
        <w:tc>
          <w:tcPr>
            <w:tcW w:type="dxa" w:w="1560"/>
          </w:tcPr>
          <w:p>
            <w:r>
              <w:rPr>
                <w:rFonts w:ascii="Calibri" w:hAnsi="Calibri"/>
                <w:sz w:val="20"/>
              </w:rPr>
            </w:r>
            <w:r>
              <w:rPr>
                <w:rFonts w:ascii="Calibri" w:hAnsi="Calibri"/>
                <w:sz w:val="20"/>
              </w:rPr>
              <w:t>18.75%</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Add a 'pending points' section to the rewards dashboard, detailing points from recent transactions and their expected posting dates.</w:t>
            </w:r>
          </w:p>
        </w:tc>
      </w:tr>
      <w:tr>
        <w:tc>
          <w:tcPr>
            <w:tcW w:type="dxa" w:w="1560"/>
            <w:shd w:fill="F2F6FA" w:val="clear"/>
          </w:tcPr>
          <w:p>
            <w:r>
              <w:rPr>
                <w:rFonts w:ascii="Calibri" w:hAnsi="Calibri"/>
                <w:sz w:val="20"/>
              </w:rPr>
            </w:r>
            <w:r>
              <w:rPr>
                <w:rFonts w:ascii="Calibri" w:hAnsi="Calibri"/>
                <w:sz w:val="20"/>
              </w:rPr>
              <w:t>Redemption Minimum Too High</w:t>
            </w:r>
          </w:p>
        </w:tc>
        <w:tc>
          <w:tcPr>
            <w:tcW w:type="dxa" w:w="1560"/>
            <w:shd w:fill="F2F6FA" w:val="clear"/>
          </w:tcPr>
          <w:p>
            <w:r>
              <w:rPr>
                <w:rFonts w:ascii="Calibri" w:hAnsi="Calibri"/>
                <w:sz w:val="20"/>
              </w:rPr>
            </w:r>
            <w:r>
              <w:rPr>
                <w:rFonts w:ascii="Calibri" w:hAnsi="Calibri"/>
                <w:sz w:val="20"/>
              </w:rPr>
              <w:t>3</w:t>
            </w:r>
          </w:p>
        </w:tc>
        <w:tc>
          <w:tcPr>
            <w:tcW w:type="dxa" w:w="1560"/>
            <w:shd w:fill="F2F6FA" w:val="clear"/>
          </w:tcPr>
          <w:p>
            <w:r>
              <w:rPr>
                <w:rFonts w:ascii="Calibri" w:hAnsi="Calibri"/>
                <w:sz w:val="20"/>
              </w:rPr>
            </w:r>
            <w:r>
              <w:rPr>
                <w:rFonts w:ascii="Calibri" w:hAnsi="Calibri"/>
                <w:sz w:val="20"/>
              </w:rPr>
              <w:t>18.75%</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Prominently display minimum redemption thresholds and points-to-dollar conversion rates on the rewards dashboard and within the redemption flow.</w:t>
            </w:r>
          </w:p>
        </w:tc>
      </w:tr>
      <w:tr>
        <w:tc>
          <w:tcPr>
            <w:tcW w:type="dxa" w:w="1560"/>
          </w:tcPr>
          <w:p>
            <w:r>
              <w:rPr>
                <w:rFonts w:ascii="Calibri" w:hAnsi="Calibri"/>
                <w:sz w:val="20"/>
              </w:rPr>
            </w:r>
            <w:r>
              <w:rPr>
                <w:rFonts w:ascii="Calibri" w:hAnsi="Calibri"/>
                <w:sz w:val="20"/>
              </w:rPr>
              <w:t>Category Bonus Not Applied</w:t>
            </w:r>
          </w:p>
        </w:tc>
        <w:tc>
          <w:tcPr>
            <w:tcW w:type="dxa" w:w="1560"/>
          </w:tcPr>
          <w:p>
            <w:r>
              <w:rPr>
                <w:rFonts w:ascii="Calibri" w:hAnsi="Calibri"/>
                <w:sz w:val="20"/>
              </w:rPr>
            </w:r>
            <w:r>
              <w:rPr>
                <w:rFonts w:ascii="Calibri" w:hAnsi="Calibri"/>
                <w:sz w:val="20"/>
              </w:rPr>
              <w:t>2</w:t>
            </w:r>
          </w:p>
        </w:tc>
        <w:tc>
          <w:tcPr>
            <w:tcW w:type="dxa" w:w="1560"/>
          </w:tcPr>
          <w:p>
            <w:r>
              <w:rPr>
                <w:rFonts w:ascii="Calibri" w:hAnsi="Calibri"/>
                <w:sz w:val="20"/>
              </w:rPr>
            </w:r>
            <w:r>
              <w:rPr>
                <w:rFonts w:ascii="Calibri" w:hAnsi="Calibri"/>
                <w:sz w:val="20"/>
              </w:rPr>
              <w:t>12.5%</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Enhance transaction details to show the specific earn rate applied, the category recognized, and any bonus caps for each transaction.</w:t>
            </w:r>
          </w:p>
        </w:tc>
      </w:tr>
      <w:tr>
        <w:tc>
          <w:tcPr>
            <w:tcW w:type="dxa" w:w="1560"/>
            <w:shd w:fill="F2F6FA" w:val="clear"/>
          </w:tcPr>
          <w:p>
            <w:r>
              <w:rPr>
                <w:rFonts w:ascii="Calibri" w:hAnsi="Calibri"/>
                <w:sz w:val="20"/>
              </w:rPr>
            </w:r>
            <w:r>
              <w:rPr>
                <w:rFonts w:ascii="Calibri" w:hAnsi="Calibri"/>
                <w:sz w:val="20"/>
              </w:rPr>
              <w:t>Tier Downgrade Surprise</w:t>
            </w:r>
          </w:p>
        </w:tc>
        <w:tc>
          <w:tcPr>
            <w:tcW w:type="dxa" w:w="1560"/>
            <w:shd w:fill="F2F6FA" w:val="clear"/>
          </w:tcPr>
          <w:p>
            <w:r>
              <w:rPr>
                <w:rFonts w:ascii="Calibri" w:hAnsi="Calibri"/>
                <w:sz w:val="20"/>
              </w:rPr>
            </w:r>
            <w:r>
              <w:rPr>
                <w:rFonts w:ascii="Calibri" w:hAnsi="Calibri"/>
                <w:sz w:val="20"/>
              </w:rPr>
              <w:t>1</w:t>
            </w:r>
          </w:p>
        </w:tc>
        <w:tc>
          <w:tcPr>
            <w:tcW w:type="dxa" w:w="1560"/>
            <w:shd w:fill="F2F6FA" w:val="clear"/>
          </w:tcPr>
          <w:p>
            <w:r>
              <w:rPr>
                <w:rFonts w:ascii="Calibri" w:hAnsi="Calibri"/>
                <w:sz w:val="20"/>
              </w:rPr>
            </w:r>
            <w:r>
              <w:rPr>
                <w:rFonts w:ascii="Calibri" w:hAnsi="Calibri"/>
                <w:sz w:val="20"/>
              </w:rPr>
              <w:t>6.25%</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Implement an in-app tier progress tracker and send proactive digital notifications (e.g., push, email) 60-90 days before potential tier downgrades, explaining the criteria and impact.</w:t>
            </w:r>
          </w:p>
        </w:tc>
      </w:tr>
    </w:tbl>
    <w:p/>
    <w:p>
      <w:pPr>
        <w:spacing w:before="80" w:after="80"/>
        <w:pBdr>
          <w:bottom w:val="single" w:sz="4" w:space="1" w:color="CCCCCC"/>
        </w:pBdr>
      </w:pPr>
    </w:p>
    <w:p>
      <w:r>
        <w:t>&lt;!-- SLIDE: theme_consequence | layout: callout_stat | title: "If Nothing Changes: Rewards" --&gt;</w:t>
      </w:r>
    </w:p>
    <w:p>
      <w:pPr>
        <w:pStyle w:val="Heading2"/>
      </w:pPr>
      <w:r>
        <w:t>If Nothing Changes</w:t>
      </w:r>
    </w:p>
    <w:p>
      <w:r>
        <w:t>Without improved digital transparency and proactive communication regarding rewards, the 16 customers calling monthly will continue to drive avoidable contacts, increasing operational costs and customer dissatisfaction.</w:t>
      </w:r>
    </w:p>
    <w:sectPr w:rsidR="00FC693F" w:rsidRPr="0006063C" w:rsidSect="00034616">
      <w:footerReference w:type="default" r:id="rId9"/>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Generated by AgenticAnalytics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B7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B70"/>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6BA6"/>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006BA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