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Rounik Roy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ISHRAE Kolkata Chapter Head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27th of Jan 2020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M. Agarwal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Manish Agarwal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IT Team Head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