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r>
      <w:r w:rsidRPr="003D4FA0">
        <w:rPr>
          <w:rFonts w:ascii="Times New Roman" w:hAnsi="Times New Roman" w:cs="Times New Roman"/>
          <w:color w:val="auto"/>
          <w:sz w:val="26"/>
          <w:szCs w:val="26"/>
        </w:rPr>
        <w:br/>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b/>
          <w:color w:val="auto"/>
          <w:sz w:val="26"/>
          <w:szCs w:val="26"/>
        </w:rPr>
        <w:t>DATA ANALYST AI  /  FINAL TEAM PROJECT</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b/>
          <w:color w:val="auto"/>
          <w:sz w:val="26"/>
          <w:szCs w:val="26"/>
        </w:rPr>
        <w:t>ATLAS INSIGHT</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b/>
          <w:color w:val="auto"/>
          <w:sz w:val="26"/>
          <w:szCs w:val="26"/>
        </w:rPr>
        <w:t>PHÂN TÍCH VÀ DỰ ĐOÁN CHỈ SỐ</w:t>
      </w:r>
      <w:r w:rsidRPr="003D4FA0">
        <w:rPr>
          <w:rFonts w:ascii="Times New Roman" w:hAnsi="Times New Roman" w:cs="Times New Roman"/>
          <w:b/>
          <w:color w:val="auto"/>
          <w:sz w:val="26"/>
          <w:szCs w:val="26"/>
        </w:rPr>
        <w:br/>
        <w:t>PHÁT TRIỂN QUỐC GIA BẰNG AI</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color w:val="auto"/>
          <w:sz w:val="26"/>
          <w:szCs w:val="26"/>
        </w:rPr>
        <w:t>BÁO CÁO ĐỒ ÁN NHÓM  ·  STAGE 1 + STAGE 2</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r>
    </w:p>
    <w:tbl>
      <w:tblPr>
        <w:tblStyle w:val="TableGrid"/>
        <w:tblW w:w="0" w:type="auto"/>
        <w:jc w:val="center"/>
        <w:tblLook w:val="04A0" w:firstRow="1" w:lastRow="0" w:firstColumn="1" w:lastColumn="0" w:noHBand="0" w:noVBand="1"/>
      </w:tblPr>
      <w:tblGrid>
        <w:gridCol w:w="4613"/>
        <w:gridCol w:w="4661"/>
      </w:tblGrid>
      <w:tr w:rsidR="003D4FA0" w:rsidRPr="003D4FA0" w:rsidTr="003D4FA0">
        <w:trPr>
          <w:jc w:val="center"/>
        </w:trPr>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Hạng mục</w:t>
            </w:r>
          </w:p>
        </w:tc>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Thông tin</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Môn học</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Data Analyst AI</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Nhóm thực hiện</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Nhóm 12 – bổ sung danh sách thành viên/MSSV</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Ngày lập báo cáo</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10/10/2026</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Nguồn dữ liệu</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Gapminder (Plotly), World Bank (chỉ tiêu SP.DYN.LE00.IN)</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Công nghệ</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Python · Pandas · Scikit-learn · SQLite · ChromaDB · Gradio</w:t>
            </w:r>
          </w:p>
        </w:tc>
      </w:tr>
    </w:tbl>
    <w:p w:rsidR="00B43A9D" w:rsidRPr="003D4FA0" w:rsidRDefault="00B43A9D">
      <w:pPr>
        <w:rPr>
          <w:rFonts w:ascii="Times New Roman" w:hAnsi="Times New Roman" w:cs="Times New Roman"/>
          <w:color w:val="auto"/>
          <w:sz w:val="26"/>
          <w:szCs w:val="26"/>
        </w:rPr>
      </w:pPr>
    </w:p>
    <w:p w:rsidR="00B43A9D" w:rsidRPr="003D4FA0" w:rsidRDefault="004F6431">
      <w:pPr>
        <w:spacing w:before="100" w:after="220"/>
        <w:rPr>
          <w:rFonts w:ascii="Times New Roman" w:hAnsi="Times New Roman" w:cs="Times New Roman"/>
          <w:color w:val="auto"/>
          <w:sz w:val="26"/>
          <w:szCs w:val="26"/>
        </w:rPr>
      </w:pPr>
      <w:r w:rsidRPr="003D4FA0">
        <w:rPr>
          <w:rFonts w:ascii="Times New Roman" w:hAnsi="Times New Roman" w:cs="Times New Roman"/>
          <w:b/>
          <w:color w:val="auto"/>
          <w:sz w:val="26"/>
          <w:szCs w:val="26"/>
        </w:rPr>
        <w:t>Dữ liệu thực lịch sử 1952–2007  ·  Các chỉ số sim_* là dữ liệu mô phỏng, không phải thống kê quốc gia.</w:t>
      </w:r>
      <w:bookmarkStart w:id="0" w:name="_GoBack"/>
      <w:bookmarkEnd w:id="0"/>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TÓM TẮT ĐIỀU HÀNH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Atlas Insight triển khai quy trình phân tích dữ liệu và học máy hai giai đoạn: chuẩn bị/tích hợp/làm sạch/EDA; giảm chiều/phân cụm/dự đoán/triển khai UI. Dữ liệu huấn luyện chính gồm 1.704 quan sát quốc gia–năm của 142 quốc gia trong giai đoạn 1952–2007. Nhánh mở rộng dùng thêm 1.400 quan sát tuổi thọ từ World Bank để kiểm chứng khả năng tích hợp hai nguồn và đối chiếu giá trị khác biệt.</w:t>
      </w:r>
    </w:p>
    <w:tbl>
      <w:tblPr>
        <w:tblStyle w:val="TableGrid"/>
        <w:tblW w:w="0" w:type="auto"/>
        <w:jc w:val="center"/>
        <w:tblLook w:val="04A0" w:firstRow="1" w:lastRow="0" w:firstColumn="1" w:lastColumn="0" w:noHBand="0" w:noVBand="1"/>
      </w:tblPr>
      <w:tblGrid>
        <w:gridCol w:w="4625"/>
        <w:gridCol w:w="4649"/>
      </w:tblGrid>
      <w:tr w:rsidR="003D4FA0" w:rsidRPr="003D4FA0" w:rsidTr="003D4FA0">
        <w:trPr>
          <w:jc w:val="center"/>
        </w:trPr>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CHỈ SỐ</w:t>
            </w:r>
          </w:p>
        </w:tc>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KẾT QUẢ ĐÃ KIỂM CHỨNG</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Bảng tích hợp theo nguồn</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3.104 dòng; 1.704 quốc gia–năm duy nhất</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Bảng sạch đa nguồn</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 ô thiếu; 6 giá trị tuổi thọ bổ sung từ Gapminder</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Dữ liệu mô phỏng đa nguồn</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690 ô thiếu đã xử lý trong nhánh tích hợp</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Dữ liệu chính dùng huấn luyện AI</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1.704 dòng; 375 ô thiếu mô phỏng đã xử lý</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PCA &amp; K-Means</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7 PCs; 91,26% phương sai; K=2; silhouette=0,288</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Regression (mô hình thắng)</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LinearRegression · RMSE 6,169 · R² 0,778</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Classification (mô hình thắng)</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LogisticRegression · Accuracy 87,07% · F1 macro 0,845</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Lưu trữ</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SQLite và ChromaDB: 1.704 vector, 7 chiều</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UI</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Gradio chạy thực tế; có ảnh chụp 4 tab</w:t>
            </w:r>
          </w:p>
        </w:tc>
      </w:tr>
    </w:tbl>
    <w:p w:rsidR="00B43A9D" w:rsidRPr="003D4FA0" w:rsidRDefault="00B43A9D">
      <w:pPr>
        <w:rPr>
          <w:rFonts w:ascii="Times New Roman" w:hAnsi="Times New Roman" w:cs="Times New Roman"/>
          <w:color w:val="auto"/>
          <w:sz w:val="26"/>
          <w:szCs w:val="26"/>
        </w:rPr>
      </w:pP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Phạm vi công bố kết quả</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Mọi con số ML trình bày trong báo cáo này được tính trên bảng Gapminder 1.704 dòng và các cột mô phỏng đã làm sạch. Không tuyên bố đã huấn luyện trên 3.104 dòng: bảng đa nguồn là bảng quan sát theo nguồn, chứa các cặp quốc gia–năm lặp giữa các nhà cung cấp, dùng làm bằng chứng concat/merge, đối chiếu và kiểm thử làm sạch.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Kết quả nhánh World Bank được xác nhận từ các lệnh kiểm tra và ảnh Terminal do nhóm cung cấp sau khi gửi bản RAR. File CSV đa nguồn mới nhất nằm trên máy nhóm; phải đưa kèm khi nộp để có thể tái lập đầy đủ các kiểm chứng này.</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lastRenderedPageBreak/>
        <w:t>Cấu trúc báo cáo</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Phần I – Thu thập &amp; tích hợp • Phần II – Storage, Missing Values &amp; EDA • Phần III – PCA/K-Means • Phần IV – Supervised Models • Phần V – Gradio UI, giá trị sử dụng • Phần VI – Hạn chế, đối chiếu rubric, tài liệu tham khảo.</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PHẦN I. STAGE 1 – THU THẬP VÀ TÍCH HỢP</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1.1. Bài toán và hai nguồn dữ liệu thực</w:t>
      </w:r>
    </w:p>
    <w:tbl>
      <w:tblPr>
        <w:tblStyle w:val="TableGrid"/>
        <w:tblW w:w="0" w:type="auto"/>
        <w:jc w:val="center"/>
        <w:tblLook w:val="04A0" w:firstRow="1" w:lastRow="0" w:firstColumn="1" w:lastColumn="0" w:noHBand="0" w:noVBand="1"/>
      </w:tblPr>
      <w:tblGrid>
        <w:gridCol w:w="3086"/>
        <w:gridCol w:w="3112"/>
        <w:gridCol w:w="3076"/>
      </w:tblGrid>
      <w:tr w:rsidR="003D4FA0" w:rsidRPr="003D4FA0" w:rsidTr="003D4FA0">
        <w:trPr>
          <w:jc w:val="center"/>
        </w:trPr>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Nguồn</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Phạm vi / cấu trúc</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Vai trò</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Gapminder (Plotly)</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1.704 dòng · 142 quốc gia · 1952–2007; country, continent, year, population, gdp_per_capita, life_expectancy, ISO</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Nguồn ML chính, GDP/dân số, tham chiếu khi so sánh</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World Bank – Life expectancy</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1.400 dòng chuẩn hóa · 140 mã quốc gia · ISO3, year, life expectancy</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Nguồn dữ liệu tuổi thọ độc lập để kiểm tra và tích hợp</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Gapminder từ plotly.express.data.gapminder() là dữ liệu lịch sử có bản gốc công khai; tệp source_gapminder_original.csv giữ dấu vết nguồn. World Bank dùng chỉ tiêu SP.DYN.LE00.IN (Life expectancy at birth, total), lấy theo JSON công khai, lưu file thô riêng và chuẩn hóa ISO3/năm. Hai bộ dữ liệu có thể khác cách cập nhật/phương pháp đo, do đó không tự động gộp hai giá trị tuổi thọ làm một.</w:t>
      </w:r>
    </w:p>
    <w:p w:rsidR="00D743C2"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Phát hiện và sửa metadata ISO: Plotly gán cùng KOR cho “Korea, Dem. Rep.” và “Korea, Rep.” trong dữ liệu ban đầu. Bảng xử lý hiệu chỉnh Triều Tiên thành PRK, không sửa ảnh chụp/file nguồn gốc. Khóa quốc gia–năm được kiểm tra duy nhất sau hiệu chỉnh.</w:t>
      </w:r>
    </w:p>
    <w:p w:rsidR="00D743C2" w:rsidRDefault="00D743C2">
      <w:pPr>
        <w:spacing w:after="200" w:line="276" w:lineRule="auto"/>
        <w:rPr>
          <w:rFonts w:ascii="Times New Roman" w:hAnsi="Times New Roman" w:cs="Times New Roman"/>
          <w:color w:val="auto"/>
          <w:sz w:val="26"/>
          <w:szCs w:val="26"/>
        </w:rPr>
      </w:pPr>
      <w:r>
        <w:rPr>
          <w:rFonts w:ascii="Times New Roman" w:hAnsi="Times New Roman" w:cs="Times New Roman"/>
          <w:color w:val="auto"/>
          <w:sz w:val="26"/>
          <w:szCs w:val="26"/>
        </w:rPr>
        <w:br w:type="page"/>
      </w:r>
    </w:p>
    <w:p w:rsidR="00B43A9D" w:rsidRPr="003D4FA0" w:rsidRDefault="00B43A9D">
      <w:pPr>
        <w:rPr>
          <w:rFonts w:ascii="Times New Roman" w:hAnsi="Times New Roman" w:cs="Times New Roman"/>
          <w:color w:val="auto"/>
          <w:sz w:val="26"/>
          <w:szCs w:val="26"/>
        </w:rPr>
      </w:pP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1.2. Data lineage: concat và merge</w:t>
      </w:r>
    </w:p>
    <w:tbl>
      <w:tblPr>
        <w:tblStyle w:val="TableGrid"/>
        <w:tblW w:w="0" w:type="auto"/>
        <w:jc w:val="center"/>
        <w:tblLook w:val="04A0" w:firstRow="1" w:lastRow="0" w:firstColumn="1" w:lastColumn="0" w:noHBand="0" w:noVBand="1"/>
      </w:tblPr>
      <w:tblGrid>
        <w:gridCol w:w="2292"/>
        <w:gridCol w:w="4208"/>
        <w:gridCol w:w="2774"/>
      </w:tblGrid>
      <w:tr w:rsidR="003D4FA0" w:rsidRPr="003D4FA0" w:rsidTr="003D4FA0">
        <w:trPr>
          <w:jc w:val="center"/>
        </w:trPr>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Bước</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Đầu ra</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Giải thích</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Chuẩn hóa</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country, continent, iso_alpha, year, life_expectancy, data_source</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Căn chỉnh tên cột, kiểu dữ liệu, phân định từng nguồn</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pd.concat</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unified_static_master_multisource.csv · 3.104 dòng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Nối dọc 1.704 Gapminder + 1.400 World Bank, khóa source+ISO+year duy nhất</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pd.merge</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multisource_with_dynamic.csv · 3.104 dòng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Left Join khóa ISO+year/record_id với ngữ cảnh kinh tế và dữ liệu mô phỏng</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Cleaning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multisource_clean.csv · 3.104 dòng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Kiểm chứng không còn NaN và không trùng khóa theo nguồn</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ML dataset</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master_clean.csv · 1.704 dòng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Một quan sát duy nhất cho mỗi country-year, không nhân đôi khi train/test</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Left Join được chọn để bảo toàn toàn bộ dòng quan sát của mỗi nguồn trong bảng đa nguồn; các biến kinh tế và chỉ số sim_* của dòng World Bank được nối từ bảng Gapminder cùng country-year (KHÔNG phải chỉ số do World Bank công bố). Mọi giá trị được giữ cột data_source và economic_data_source để truy xuất nguồn.</w:t>
      </w:r>
    </w:p>
    <w:p w:rsidR="00B43A9D" w:rsidRPr="003D4FA0" w:rsidRDefault="004F6431">
      <w:pPr>
        <w:spacing w:before="100" w:after="220"/>
        <w:rPr>
          <w:rFonts w:ascii="Times New Roman" w:hAnsi="Times New Roman" w:cs="Times New Roman"/>
          <w:color w:val="auto"/>
          <w:sz w:val="26"/>
          <w:szCs w:val="26"/>
        </w:rPr>
      </w:pPr>
      <w:r w:rsidRPr="003D4FA0">
        <w:rPr>
          <w:rFonts w:ascii="Times New Roman" w:hAnsi="Times New Roman" w:cs="Times New Roman"/>
          <w:b/>
          <w:color w:val="auto"/>
          <w:sz w:val="26"/>
          <w:szCs w:val="26"/>
        </w:rPr>
        <w:t>Phân biệt quan sát theo nguồn (3.104 dòng) và đơn vị thống kê quốc gia–năm duy nhất (1.704).</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1.3. Đối chiếu dữ liệu World Bank vs Gapminder</w:t>
      </w:r>
    </w:p>
    <w:tbl>
      <w:tblPr>
        <w:tblStyle w:val="TableGrid"/>
        <w:tblW w:w="0" w:type="auto"/>
        <w:jc w:val="center"/>
        <w:tblLook w:val="04A0" w:firstRow="1" w:lastRow="0" w:firstColumn="1" w:lastColumn="0" w:noHBand="0" w:noVBand="1"/>
      </w:tblPr>
      <w:tblGrid>
        <w:gridCol w:w="4637"/>
        <w:gridCol w:w="4637"/>
      </w:tblGrid>
      <w:tr w:rsidR="003D4FA0" w:rsidRPr="003D4FA0" w:rsidTr="003D4FA0">
        <w:trPr>
          <w:jc w:val="center"/>
        </w:trPr>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Chỉ tiêu đối chiếu</w:t>
            </w:r>
          </w:p>
        </w:tc>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Kết quả</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Bản ghi so sánh (có cả 2 giá trị)</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1.394</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Chênh lệch tuyệt đối trung bình</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1,795 năm</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Chênh lệch tuyệt đối trung vị</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0,99 năm</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Chênh lệch lớn hơn 5 năm</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113 bản ghi</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Thiếu tuổi thọ World Bank</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 bản ghi; đều là West Bank and Gaza các năm 1962–1987</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Những sai khác lớn gồm Rwanda (1992, 20,798 năm), Bosnia and Herzegovina (1992, 20,211 năm), Cambodia (1977, 19,925 năm). Đây là sai khác nguồn, chưa đủ bằng chứng khẳng định nguồn nào “đúng”. Báo cáo không suy luận nguyên nhân nếu chưa có dữ liệu phiên bản/phương pháp riêng theo quốc gia.</w:t>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t>1.4. Dữ liệu động và chuẩn hóa kết quả</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Các cột động sinh bằng numpy.random.default_rng(seed=20261010), phụ thuộc có kiểm soát vào log(GDP/người), năm và nhiễu xác suất: sim_health_index, sim_education_index, sim_trend_index (0–100), sim_policy_group. Đây là **dữ liệu mô phỏng**, chỉ dùng để minh họa quy trình tích hợp/EDA và khả năng nhập liệu UI; không dùng như bằng chứng về đầu tư thực tế của chính phủ.</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1.5. Chiến lược xử lý thiếu theo kiểu dữ liệu</w:t>
      </w:r>
    </w:p>
    <w:tbl>
      <w:tblPr>
        <w:tblStyle w:val="TableGrid"/>
        <w:tblW w:w="0" w:type="auto"/>
        <w:jc w:val="center"/>
        <w:tblLook w:val="04A0" w:firstRow="1" w:lastRow="0" w:firstColumn="1" w:lastColumn="0" w:noHBand="0" w:noVBand="1"/>
      </w:tblPr>
      <w:tblGrid>
        <w:gridCol w:w="2463"/>
        <w:gridCol w:w="2805"/>
        <w:gridCol w:w="4006"/>
      </w:tblGrid>
      <w:tr w:rsidR="003D4FA0" w:rsidRPr="003D4FA0" w:rsidTr="003D4FA0">
        <w:trPr>
          <w:jc w:val="center"/>
        </w:trPr>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Trường</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Quy tắc</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Bằng chứng</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World Bank life_expectancy (6 ô)</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Tham chiếu Gapminder cùng record_id; giữ life_expectancy_original và flag imputed</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worldbank_missing_value_audit.csv</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sim_health_index (174 ô trên bảng đa nguồn)</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Median theo châu lục, sau đó median toàn cục dự phòng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multisource_imputation_report.csv</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sim_education_index (224 ô)</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Median theo châu lục</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multisource_imputation_report.csv</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sim_trend_index (139 ô)</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ffill/bfill trong từng quốc gia, median dự phòng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multisource_imputation_report.csv</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sim_policy_group (153 ô)</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Nhãn Unknown</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multisource_imputation_report.csv</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Kết quả kiểm chứng từ Terminal: trước xử lý có 690 ô mô phỏng bị thiếu và 6 ô tuổi thọ World Bank. Sau xử lý bảng đa nguồn có 3.104 dòng, 0 ô thiếu, 0 khóa trùng dạng data_source+iso_alpha+year, 0 xung đột giá trị mô phỏng giữa hai nhà cung cấp của cùng record_id. So sánh phân phối được lưu trong multisource_distribution_impact.csv. Không coi 690 là số quan sát thiếu độc lập do 1.400 dòng World Bank dùng lại sim_* theo khóa quốc gia–năm.</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1.6. Kiểm chứng bằng Terminal</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2C42726D" wp14:editId="0C2C9026">
            <wp:extent cx="5897880" cy="135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40942).png"/>
                    <pic:cNvPicPr/>
                  </pic:nvPicPr>
                  <pic:blipFill>
                    <a:blip r:embed="rId9"/>
                    <a:stretch>
                      <a:fillRect/>
                    </a:stretch>
                  </pic:blipFill>
                  <pic:spPr>
                    <a:xfrm>
                      <a:off x="0" y="0"/>
                      <a:ext cx="5897880" cy="1350660"/>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color w:val="auto"/>
          <w:sz w:val="26"/>
          <w:szCs w:val="26"/>
        </w:rPr>
        <w:t>Hình minh chứng: VALIDATION PASS – 3.104 dòng / 1.704 khóa country-year / 0 giá trị thiếu / 0 xung đột.</w:t>
      </w:r>
    </w:p>
    <w:p w:rsidR="00B43A9D" w:rsidRPr="003D4FA0" w:rsidRDefault="004F6431">
      <w:pPr>
        <w:spacing w:before="100" w:after="220"/>
        <w:rPr>
          <w:rFonts w:ascii="Times New Roman" w:hAnsi="Times New Roman" w:cs="Times New Roman"/>
          <w:color w:val="auto"/>
          <w:sz w:val="26"/>
          <w:szCs w:val="26"/>
        </w:rPr>
      </w:pPr>
      <w:r w:rsidRPr="003D4FA0">
        <w:rPr>
          <w:rFonts w:ascii="Times New Roman" w:hAnsi="Times New Roman" w:cs="Times New Roman"/>
          <w:b/>
          <w:color w:val="auto"/>
          <w:sz w:val="26"/>
          <w:szCs w:val="26"/>
        </w:rPr>
        <w:t>Không thay thế dữ liệu train đã kiểm thử bằng bảng 3.104 dòng trước khi có bước hợp nhất và đánh giá lại mô hình.</w:t>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t>PHẦN II. DATABASE, CLEANING &amp; EDA</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2.1. Hai mô hình lưu trữ dữ liệu</w:t>
      </w:r>
    </w:p>
    <w:tbl>
      <w:tblPr>
        <w:tblStyle w:val="TableGrid"/>
        <w:tblW w:w="0" w:type="auto"/>
        <w:jc w:val="center"/>
        <w:tblLook w:val="04A0" w:firstRow="1" w:lastRow="0" w:firstColumn="1" w:lastColumn="0" w:noHBand="0" w:noVBand="1"/>
      </w:tblPr>
      <w:tblGrid>
        <w:gridCol w:w="3043"/>
        <w:gridCol w:w="3163"/>
        <w:gridCol w:w="3068"/>
      </w:tblGrid>
      <w:tr w:rsidR="003D4FA0" w:rsidRPr="003D4FA0" w:rsidTr="003D4FA0">
        <w:trPr>
          <w:jc w:val="center"/>
        </w:trPr>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Nền tảng</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Chức năng</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Xác minh</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SQLite (quan hệ)</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master_sparse, master_clean, master_with_clusters; đọc ngược bằng pandas.read_sql</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1.704 dòng sạch / khóa record_id duy nhất</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ChromaDB (vector)</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PersistentClient; collection country_year_embeddings; vector từ 7 PCA components</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ingested=true; count=1704; dimensions=7; nearest neighbor query</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ChromaDB đã được chạy thành công trên Windows sau khi đồng bộ scikit-learn 1.8.0; thông tin nạp nằm trong reports/chroma_status.json. Đây là dữ liệu embedding của tập Gapminder dùng ML, chưa đồng bộ bảng đa nguồn 3.104 dòng.</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24A2BF66" wp14:editId="12956B5F">
            <wp:extent cx="5394960" cy="1546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ge1_ChromaDB_Success.png"/>
                    <pic:cNvPicPr/>
                  </pic:nvPicPr>
                  <pic:blipFill>
                    <a:blip r:embed="rId10"/>
                    <a:stretch>
                      <a:fillRect/>
                    </a:stretch>
                  </pic:blipFill>
                  <pic:spPr>
                    <a:xfrm>
                      <a:off x="0" y="0"/>
                      <a:ext cx="5394960" cy="1546358"/>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color w:val="auto"/>
          <w:sz w:val="26"/>
          <w:szCs w:val="26"/>
        </w:rPr>
        <w:t>Hình: kết quả upsert và truy vấn tương tự ChromaDB trên máy nhóm.</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2.2. Kiểm tra thiếu trong Master AI</w:t>
      </w:r>
    </w:p>
    <w:p w:rsidR="00D743C2"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Ở nhánh ML 1.704 dòng, 375 ô thiếu nằm hoàn toàn trong 4 trường giả lập: sim_health_index=94, sim_education_index=119, sim_trend_index=77, sim_policy_group=85. Sau median/mode/ffill-bfill theo nhóm hợp lệ, 0 ô còn thiếu, không xóa quan sát. Thống kê trước/sau được xuất độc lập để kiểm tra biến dạng phân phối.</w:t>
      </w:r>
    </w:p>
    <w:p w:rsidR="00D743C2" w:rsidRDefault="00D743C2">
      <w:pPr>
        <w:spacing w:after="200" w:line="276" w:lineRule="auto"/>
        <w:rPr>
          <w:rFonts w:ascii="Times New Roman" w:hAnsi="Times New Roman" w:cs="Times New Roman"/>
          <w:color w:val="auto"/>
          <w:sz w:val="26"/>
          <w:szCs w:val="26"/>
        </w:rPr>
      </w:pPr>
      <w:r>
        <w:rPr>
          <w:rFonts w:ascii="Times New Roman" w:hAnsi="Times New Roman" w:cs="Times New Roman"/>
          <w:color w:val="auto"/>
          <w:sz w:val="26"/>
          <w:szCs w:val="26"/>
        </w:rPr>
        <w:br w:type="page"/>
      </w:r>
    </w:p>
    <w:p w:rsidR="00B43A9D" w:rsidRPr="003D4FA0" w:rsidRDefault="00B43A9D">
      <w:pPr>
        <w:rPr>
          <w:rFonts w:ascii="Times New Roman" w:hAnsi="Times New Roman" w:cs="Times New Roman"/>
          <w:color w:val="auto"/>
          <w:sz w:val="26"/>
          <w:szCs w:val="26"/>
        </w:rPr>
      </w:pPr>
    </w:p>
    <w:tbl>
      <w:tblPr>
        <w:tblStyle w:val="TableGrid"/>
        <w:tblW w:w="0" w:type="auto"/>
        <w:jc w:val="center"/>
        <w:tblLook w:val="04A0" w:firstRow="1" w:lastRow="0" w:firstColumn="1" w:lastColumn="0" w:noHBand="0" w:noVBand="1"/>
      </w:tblPr>
      <w:tblGrid>
        <w:gridCol w:w="4605"/>
        <w:gridCol w:w="4669"/>
      </w:tblGrid>
      <w:tr w:rsidR="003D4FA0" w:rsidRPr="003D4FA0" w:rsidTr="003D4FA0">
        <w:trPr>
          <w:jc w:val="center"/>
        </w:trPr>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Phương pháp EDA</w:t>
            </w:r>
          </w:p>
        </w:tc>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Chỉ tiêu/biểu đồ</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Univariate</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Mean, Median, Std, Skew, Kurtosis; IQR; histogram+KDE, boxplot, bar</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Multivariate</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Spearman correlation, numerical scatter, grouped boxplot, crosstab, stacked bar</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Thời gian</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Tuổi thọ trung bình theo năm và châu lục</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Tính minh bạch</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Insight “So What?” ngay sau từng hình; mã trong 02_storage_clean_eda.py</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2.3. 10 BIỂU ĐỒ EDA &amp; SO WHAT?</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0944E1A6" wp14:editId="32915162">
            <wp:extent cx="5440680" cy="2356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ness.png"/>
                    <pic:cNvPicPr/>
                  </pic:nvPicPr>
                  <pic:blipFill>
                    <a:blip r:embed="rId11"/>
                    <a:stretch>
                      <a:fillRect/>
                    </a:stretch>
                  </pic:blipFill>
                  <pic:spPr>
                    <a:xfrm>
                      <a:off x="0" y="0"/>
                      <a:ext cx="5440680" cy="2356658"/>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01 · Missingness trước làm sạch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375 ô bị thiếu ở nhóm sim_*, không phải dữ liệu thực. Giữ nguyên quan sát và chọn imputation theo kiểu biến.</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0BEBD94C" wp14:editId="71FBF107">
            <wp:extent cx="5440680" cy="1925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mputation_distribution.png"/>
                    <pic:cNvPicPr/>
                  </pic:nvPicPr>
                  <pic:blipFill>
                    <a:blip r:embed="rId12"/>
                    <a:stretch>
                      <a:fillRect/>
                    </a:stretch>
                  </pic:blipFill>
                  <pic:spPr>
                    <a:xfrm>
                      <a:off x="0" y="0"/>
                      <a:ext cx="5440680" cy="1925367"/>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02 · Phân phối trước và sau điền thiếu</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Median theo vùng làm phân phối co gần trung tâm; thống kê trung bình chỉ thay đổi nhẹ nhưng không chứng minh imputation không thiên lệch.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695A9120" wp14:editId="527E74EE">
            <wp:extent cx="5440680" cy="2668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fe_expectancy_hist_kde.png"/>
                    <pic:cNvPicPr/>
                  </pic:nvPicPr>
                  <pic:blipFill>
                    <a:blip r:embed="rId13"/>
                    <a:stretch>
                      <a:fillRect/>
                    </a:stretch>
                  </pic:blipFill>
                  <pic:spPr>
                    <a:xfrm>
                      <a:off x="0" y="0"/>
                      <a:ext cx="5440680" cy="2668524"/>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03 · Tuổi thọ lịch sử: histogram + KDE</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Tuổi thọ trung bình 59,47 năm trên toàn giai đoạn, không đại diện năm 2026. Year và continent cần được giữ trong mô hình.</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5858B569" wp14:editId="5E346D03">
            <wp:extent cx="5440680" cy="2670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fe_expectancy_box_iqr.png"/>
                    <pic:cNvPicPr/>
                  </pic:nvPicPr>
                  <pic:blipFill>
                    <a:blip r:embed="rId14"/>
                    <a:stretch>
                      <a:fillRect/>
                    </a:stretch>
                  </pic:blipFill>
                  <pic:spPr>
                    <a:xfrm>
                      <a:off x="0" y="0"/>
                      <a:ext cx="5440680" cy="2670113"/>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04 · Phát hiện ngoại lai IQR</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Không được tùy ý xóa quan sát ở phần đuôi phân phối; GDP và dân số dùng log1p để giảm độ lệch.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1C46ED33" wp14:editId="68068096">
            <wp:extent cx="5440680" cy="2666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tinent_bar.png"/>
                    <pic:cNvPicPr/>
                  </pic:nvPicPr>
                  <pic:blipFill>
                    <a:blip r:embed="rId15"/>
                    <a:stretch>
                      <a:fillRect/>
                    </a:stretch>
                  </pic:blipFill>
                  <pic:spPr>
                    <a:xfrm>
                      <a:off x="0" y="0"/>
                      <a:ext cx="5440680" cy="2666936"/>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05 · Phân phối tần suất theo châu lục</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Kích thước mẫu không cân đối (Oceania rất ít); phân tầng theo châu lục khi chia danh sách quốc gia.</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5C7FEA22" wp14:editId="32460CEB">
            <wp:extent cx="4754880" cy="4177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6"/>
                    <a:stretch>
                      <a:fillRect/>
                    </a:stretch>
                  </pic:blipFill>
                  <pic:spPr>
                    <a:xfrm>
                      <a:off x="0" y="0"/>
                      <a:ext cx="4754880" cy="4177030"/>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06 · Tương quan Spearman</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Spearman GDP/người và tuổi thọ = 0,8265: dự báo có tín hiệu, nhưng tương quan không xác định quan hệ nhân quả.</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446A62CC" wp14:editId="405CF444">
            <wp:extent cx="5440680" cy="29761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dp_lifeexp_scatter.png"/>
                    <pic:cNvPicPr/>
                  </pic:nvPicPr>
                  <pic:blipFill>
                    <a:blip r:embed="rId17"/>
                    <a:stretch>
                      <a:fillRect/>
                    </a:stretch>
                  </pic:blipFill>
                  <pic:spPr>
                    <a:xfrm>
                      <a:off x="0" y="0"/>
                      <a:ext cx="5440680" cy="2976181"/>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07 · Scatter GDP/người so với tuổi thọ</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Quan hệ nhìn chung đồng biến, có bão hòa; so sánh tuyến tính với cây quyết định để kiểm tra phi tuyến.</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4913AB78" wp14:editId="12A60179">
            <wp:extent cx="5440680" cy="29761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tinent_lifeexp_grouped_box.png"/>
                    <pic:cNvPicPr/>
                  </pic:nvPicPr>
                  <pic:blipFill>
                    <a:blip r:embed="rId18"/>
                    <a:stretch>
                      <a:fillRect/>
                    </a:stretch>
                  </pic:blipFill>
                  <pic:spPr>
                    <a:xfrm>
                      <a:off x="0" y="0"/>
                      <a:ext cx="5440680" cy="2976181"/>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08 · Grouped box theo châu lục</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Độ phân tán giữa các vùng khác nhau; OneHotEncoder(continent) hữu ích nhưng không thay thế khác biệt riêng từng nước.</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0593417F" wp14:editId="7D446400">
            <wp:extent cx="5440680" cy="2958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tinent_lifeexp_stacked_bar.png"/>
                    <pic:cNvPicPr/>
                  </pic:nvPicPr>
                  <pic:blipFill>
                    <a:blip r:embed="rId19"/>
                    <a:stretch>
                      <a:fillRect/>
                    </a:stretch>
                  </pic:blipFill>
                  <pic:spPr>
                    <a:xfrm>
                      <a:off x="0" y="0"/>
                      <a:ext cx="5440680" cy="2958571"/>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09 · Tỷ trọng nhãn tuổi thọ theo châu lục</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Tỷ lệ lớp ≥70 không đồng đều; cần theo dõi F1/Recall, không chỉ Accuracy.</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43BD3D0D" wp14:editId="4DDBE886">
            <wp:extent cx="5440680" cy="29761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storical_trend.png"/>
                    <pic:cNvPicPr/>
                  </pic:nvPicPr>
                  <pic:blipFill>
                    <a:blip r:embed="rId20"/>
                    <a:stretch>
                      <a:fillRect/>
                    </a:stretch>
                  </pic:blipFill>
                  <pic:spPr>
                    <a:xfrm>
                      <a:off x="0" y="0"/>
                      <a:ext cx="5440680" cy="2976181"/>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10 · Xu hướng tuổi thọ qua thời gian</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Tuổi thọ chung tăng nhưng mỗi nước xuất hiện 12 mốc: test phải tách theo quốc gia tránh rò rỉ thời gian cùng quốc gia.</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PHẦN III. STAGE 2 – KIẾN TRÚC ML</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3.1. Đặc trưng đầu vào và mục tiêu</w:t>
      </w:r>
    </w:p>
    <w:tbl>
      <w:tblPr>
        <w:tblStyle w:val="TableGrid"/>
        <w:tblW w:w="0" w:type="auto"/>
        <w:jc w:val="center"/>
        <w:tblLook w:val="04A0" w:firstRow="1" w:lastRow="0" w:firstColumn="1" w:lastColumn="0" w:noHBand="0" w:noVBand="1"/>
      </w:tblPr>
      <w:tblGrid>
        <w:gridCol w:w="4397"/>
        <w:gridCol w:w="4877"/>
      </w:tblGrid>
      <w:tr w:rsidR="003D4FA0" w:rsidRPr="003D4FA0" w:rsidTr="003D4FA0">
        <w:trPr>
          <w:jc w:val="center"/>
        </w:trPr>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Nhóm</w:t>
            </w:r>
          </w:p>
        </w:tc>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Đặc trưng / mục tiêu</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Numerical</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year, log_population, log_gdp, sim_health_index, sim_education_index, sim_trend_index</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Categorical</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continent, sim_policy_group → OneHotEncoder(handle_unknown="ignore")</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Regression target</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life_expectancy (năm)</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Classification target</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target_high_life_expectancy = 1 khi tuổi thọ ≥ 70 năm</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Clustering</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Không sử dụng life_expectancy hoặc nhãn target khi fit PCA/K-Means</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Đối với supervised learning, mọi bước StandardScaler/OneHotEncoder đều nằm trong Pipeline và chỉ fit trên tập train. Danh sách quốc gia được train_test_split(test_size=0.2, stratify=continent, random_state=42): 113 quốc gia train (1.356 dòng), 29 quốc gia test (348 dòng). Không có quốc gia trùng giữa train và test.</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3.2. PCA – chọn số thành phần</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PCA áp dụng sau StandardScaler và OneHotEncoder, chọn số thành phần nhỏ nhất đạt phương sai giải thích ≥ 90% và kiểm tra giới hạn 85%–95% theo đề. Kết quả là 7 principal components, bảo toàn 91,256% phương sai.</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08743D7E" wp14:editId="6E67B1F5">
            <wp:extent cx="5257800" cy="28840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ca_cumulative_variance.png"/>
                    <pic:cNvPicPr/>
                  </pic:nvPicPr>
                  <pic:blipFill>
                    <a:blip r:embed="rId21"/>
                    <a:stretch>
                      <a:fillRect/>
                    </a:stretch>
                  </pic:blipFill>
                  <pic:spPr>
                    <a:xfrm>
                      <a:off x="0" y="0"/>
                      <a:ext cx="5257800" cy="2884012"/>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lastRenderedPageBreak/>
        <w:t>Hình 11 · Cumulative explained variance</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7 PCs cân bằng lượng thông tin và độ phức tạp. Không diễn giải từng trục PCA như biến kinh tế–xã hội cụ thể nếu chưa khảo sát loading.</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3.3. K-MEANS &amp; SO SÁNH CÓ/ KHÔNG PCA</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K thử từ 2 đến 8, sử dụng WCSS/Elbow và Silhouette. Tổ hợp được lựa chọn có Silhouette cao nhất là K=2 trong biểu diễn PCA. Vì các điểm silhouette đều dưới 0,3, đây là phân nhóm mức độ vừa, không nên gọi là các loại quốc gia “tốt/xấu”.</w:t>
      </w:r>
    </w:p>
    <w:tbl>
      <w:tblPr>
        <w:tblStyle w:val="TableGrid"/>
        <w:tblW w:w="0" w:type="auto"/>
        <w:jc w:val="center"/>
        <w:tblLook w:val="04A0" w:firstRow="1" w:lastRow="0" w:firstColumn="1" w:lastColumn="0" w:noHBand="0" w:noVBand="1"/>
      </w:tblPr>
      <w:tblGrid>
        <w:gridCol w:w="4630"/>
        <w:gridCol w:w="4644"/>
      </w:tblGrid>
      <w:tr w:rsidR="003D4FA0" w:rsidRPr="003D4FA0" w:rsidTr="003D4FA0">
        <w:trPr>
          <w:jc w:val="center"/>
        </w:trPr>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Biểu diễn (K=2)</w:t>
            </w:r>
          </w:p>
        </w:tc>
        <w:tc>
          <w:tcPr>
            <w:tcW w:w="4759"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Silhouette</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Đặc trưng chuẩn hóa gốc</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0,2639</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Sau PCA (7 chiều)</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0,2881</w:t>
            </w:r>
          </w:p>
        </w:tc>
      </w:tr>
      <w:tr w:rsidR="003D4FA0" w:rsidRPr="003D4FA0" w:rsidTr="003D4FA0">
        <w:trPr>
          <w:jc w:val="center"/>
        </w:trPr>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Chênh lệch</w:t>
            </w:r>
          </w:p>
        </w:tc>
        <w:tc>
          <w:tcPr>
            <w:tcW w:w="4759"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+0,0242 điểm</w:t>
            </w:r>
          </w:p>
        </w:tc>
      </w:tr>
    </w:tbl>
    <w:p w:rsidR="00B43A9D" w:rsidRPr="003D4FA0" w:rsidRDefault="00B43A9D">
      <w:pPr>
        <w:rPr>
          <w:rFonts w:ascii="Times New Roman" w:hAnsi="Times New Roman" w:cs="Times New Roman"/>
          <w:color w:val="auto"/>
          <w:sz w:val="26"/>
          <w:szCs w:val="26"/>
        </w:rPr>
      </w:pP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1B230422" wp14:editId="2962570F">
            <wp:extent cx="5303520" cy="1997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kmeans_elbow_silhouette.png"/>
                    <pic:cNvPicPr/>
                  </pic:nvPicPr>
                  <pic:blipFill>
                    <a:blip r:embed="rId22"/>
                    <a:stretch>
                      <a:fillRect/>
                    </a:stretch>
                  </pic:blipFill>
                  <pic:spPr>
                    <a:xfrm>
                      <a:off x="0" y="0"/>
                      <a:ext cx="5303520" cy="1997033"/>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12 · WCSS và Silhouette theo K</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Chọn K dựa trên so sánh cả hai tiêu chí, không suy ra K tối ưu chỉ từ một đồ thị duy nhất.</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3CB29199" wp14:editId="2988686F">
            <wp:extent cx="5303520" cy="35053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means_2d_clusters.png"/>
                    <pic:cNvPicPr/>
                  </pic:nvPicPr>
                  <pic:blipFill>
                    <a:blip r:embed="rId23"/>
                    <a:stretch>
                      <a:fillRect/>
                    </a:stretch>
                  </pic:blipFill>
                  <pic:spPr>
                    <a:xfrm>
                      <a:off x="0" y="0"/>
                      <a:ext cx="5303520" cy="3505344"/>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lastRenderedPageBreak/>
        <w:t>Hình 13 · Minh họa nhãn cụm trên không gian PCA 2D</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Màu cụm là nhãn K-Means được ánh xạ về master_with_clusters.csv. Hai trục vẽ minh họa không phải toàn bộ không gian 7 chiều khi huấn luyện.</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3.4. PHÂN TÍCH HAI CỤM – BUSINESS INTERPRETATION</w:t>
      </w:r>
    </w:p>
    <w:tbl>
      <w:tblPr>
        <w:tblStyle w:val="TableGrid"/>
        <w:tblW w:w="0" w:type="auto"/>
        <w:jc w:val="center"/>
        <w:tblLook w:val="04A0" w:firstRow="1" w:lastRow="0" w:firstColumn="1" w:lastColumn="0" w:noHBand="0" w:noVBand="1"/>
      </w:tblPr>
      <w:tblGrid>
        <w:gridCol w:w="3096"/>
        <w:gridCol w:w="3089"/>
        <w:gridCol w:w="3089"/>
      </w:tblGrid>
      <w:tr w:rsidR="003D4FA0" w:rsidRPr="003D4FA0" w:rsidTr="003D4FA0">
        <w:trPr>
          <w:jc w:val="center"/>
        </w:trPr>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Chỉ tiêu</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Cụm 0</w:t>
            </w:r>
          </w:p>
        </w:tc>
        <w:tc>
          <w:tcPr>
            <w:tcW w:w="3173"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Cụm 1</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Số dòng</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931</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773</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Tuổi thọ trung bình</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50,856</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69,854</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GDP/người trung vị (USD)</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1.367,899</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9.867,085</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Health index mô phỏng trung bình</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63,540</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81,942</w:t>
            </w:r>
          </w:p>
        </w:tc>
      </w:tr>
      <w:tr w:rsidR="003D4FA0" w:rsidRPr="003D4FA0" w:rsidTr="003D4FA0">
        <w:trPr>
          <w:jc w:val="center"/>
        </w:trPr>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Tỷ lệ có tuổi thọ ≥70</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2,4%</w:t>
            </w:r>
          </w:p>
        </w:tc>
        <w:tc>
          <w:tcPr>
            <w:tcW w:w="3173"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61,1%</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Cụm phản ánh khác biệt rõ về mức tuổi thọ và GDP của dữ liệu lịch sử; K-Means không dùng nhãn tuổi thọ trực tiếp khi fit. Health index trong bảng là chỉ số mô phỏng nên không thể suy ra chất lượng thực của hệ thống y tế. Cách đặt tên nên là “cụm 0/1” hoặc “nhóm hồ sơ chỉ tiêu” thay vì phân tầng giá trị quốc gia.</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3.5. Regression – Linear vs Decision Tree</w:t>
      </w:r>
    </w:p>
    <w:tbl>
      <w:tblPr>
        <w:tblStyle w:val="TableGrid"/>
        <w:tblW w:w="0" w:type="auto"/>
        <w:jc w:val="center"/>
        <w:tblLook w:val="04A0" w:firstRow="1" w:lastRow="0" w:firstColumn="1" w:lastColumn="0" w:noHBand="0" w:noVBand="1"/>
      </w:tblPr>
      <w:tblGrid>
        <w:gridCol w:w="2641"/>
        <w:gridCol w:w="2214"/>
        <w:gridCol w:w="2219"/>
        <w:gridCol w:w="2200"/>
      </w:tblGrid>
      <w:tr w:rsidR="003D4FA0" w:rsidRPr="003D4FA0" w:rsidTr="003D4FA0">
        <w:trPr>
          <w:jc w:val="center"/>
        </w:trPr>
        <w:tc>
          <w:tcPr>
            <w:tcW w:w="2380"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Thuật toán</w:t>
            </w:r>
          </w:p>
        </w:tc>
        <w:tc>
          <w:tcPr>
            <w:tcW w:w="2380"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MSE</w:t>
            </w:r>
          </w:p>
        </w:tc>
        <w:tc>
          <w:tcPr>
            <w:tcW w:w="2380"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RMSE (năm)</w:t>
            </w:r>
          </w:p>
        </w:tc>
        <w:tc>
          <w:tcPr>
            <w:tcW w:w="2380"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R²</w:t>
            </w:r>
          </w:p>
        </w:tc>
      </w:tr>
      <w:tr w:rsidR="003D4FA0" w:rsidRPr="003D4FA0" w:rsidTr="003D4FA0">
        <w:trPr>
          <w:jc w:val="center"/>
        </w:trPr>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LinearRegression</w:t>
            </w:r>
          </w:p>
        </w:tc>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38.056</w:t>
            </w:r>
          </w:p>
        </w:tc>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6.169</w:t>
            </w:r>
          </w:p>
        </w:tc>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0.778</w:t>
            </w:r>
          </w:p>
        </w:tc>
      </w:tr>
      <w:tr w:rsidR="003D4FA0" w:rsidRPr="003D4FA0" w:rsidTr="003D4FA0">
        <w:trPr>
          <w:jc w:val="center"/>
        </w:trPr>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DecisionTreeRegressor</w:t>
            </w:r>
          </w:p>
        </w:tc>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45.291</w:t>
            </w:r>
          </w:p>
        </w:tc>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6.730</w:t>
            </w:r>
          </w:p>
        </w:tc>
        <w:tc>
          <w:tcPr>
            <w:tcW w:w="2380"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0.736</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LinearRegression tốt hơn DecisionTreeRegressor với RMSE=6,169 năm và R²=0,778. RMSE phản ánh độ lệch dự đoán không nhỏ trên bộ quốc gia chưa thấy, vì vậy đây là demo học thuật chứ không phải công cụ ước lượng tuổi thọ chính thức.</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711B3998" wp14:editId="3C7D832A">
            <wp:extent cx="5257800" cy="3582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gression_actual_vs_predicted.png"/>
                    <pic:cNvPicPr/>
                  </pic:nvPicPr>
                  <pic:blipFill>
                    <a:blip r:embed="rId24"/>
                    <a:stretch>
                      <a:fillRect/>
                    </a:stretch>
                  </pic:blipFill>
                  <pic:spPr>
                    <a:xfrm>
                      <a:off x="0" y="0"/>
                      <a:ext cx="5257800" cy="3582314"/>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14 · Giá trị thực tế và dự đoán</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Độ lệch khỏi đường y=x phơi bày sai số; cần kiểm thử thêm theo vùng/thời gian thay vì chỉ dựa vào R² chung.</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3.6. REGRESSION DIAGNOSTIC &amp; CLASSIFICATION</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361DC158" wp14:editId="2E8F13B4">
            <wp:extent cx="5212080" cy="30230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gression_residual_plot.png"/>
                    <pic:cNvPicPr/>
                  </pic:nvPicPr>
                  <pic:blipFill>
                    <a:blip r:embed="rId25"/>
                    <a:stretch>
                      <a:fillRect/>
                    </a:stretch>
                  </pic:blipFill>
                  <pic:spPr>
                    <a:xfrm>
                      <a:off x="0" y="0"/>
                      <a:ext cx="5212080" cy="3023006"/>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15 · Residual Plot</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Phần dư cho phép nhận biết cấu trúc lỗi; không tuyên bố mô hình không thiên lệch khi chưa có đánh giá sai số theo phân nhóm.</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3.7. Classification – Logistic vs Decision Tree</w:t>
      </w:r>
    </w:p>
    <w:tbl>
      <w:tblPr>
        <w:tblStyle w:val="TableGrid"/>
        <w:tblW w:w="0" w:type="auto"/>
        <w:jc w:val="center"/>
        <w:tblLook w:val="04A0" w:firstRow="1" w:lastRow="0" w:firstColumn="1" w:lastColumn="0" w:noHBand="0" w:noVBand="1"/>
      </w:tblPr>
      <w:tblGrid>
        <w:gridCol w:w="2598"/>
        <w:gridCol w:w="1720"/>
        <w:gridCol w:w="1712"/>
        <w:gridCol w:w="1622"/>
        <w:gridCol w:w="1622"/>
      </w:tblGrid>
      <w:tr w:rsidR="003D4FA0" w:rsidRPr="003D4FA0" w:rsidTr="003D4FA0">
        <w:trPr>
          <w:jc w:val="center"/>
        </w:trPr>
        <w:tc>
          <w:tcPr>
            <w:tcW w:w="1904"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Thuật toán</w:t>
            </w:r>
          </w:p>
        </w:tc>
        <w:tc>
          <w:tcPr>
            <w:tcW w:w="1904"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Accuracy</w:t>
            </w:r>
          </w:p>
        </w:tc>
        <w:tc>
          <w:tcPr>
            <w:tcW w:w="1904"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Precision macro</w:t>
            </w:r>
          </w:p>
        </w:tc>
        <w:tc>
          <w:tcPr>
            <w:tcW w:w="1904"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Recall macro</w:t>
            </w:r>
          </w:p>
        </w:tc>
        <w:tc>
          <w:tcPr>
            <w:tcW w:w="1904" w:type="dxa"/>
            <w:shd w:val="clear" w:color="auto" w:fill="auto"/>
            <w:tcMar>
              <w:top w:w="80" w:type="dxa"/>
              <w:left w:w="100" w:type="dxa"/>
              <w:bottom w:w="80" w:type="dxa"/>
              <w:right w:w="100" w:type="dxa"/>
            </w:tcMa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b/>
                <w:color w:val="auto"/>
                <w:sz w:val="26"/>
                <w:szCs w:val="26"/>
              </w:rPr>
              <w:t>F1 macro</w:t>
            </w:r>
          </w:p>
        </w:tc>
      </w:tr>
      <w:tr w:rsidR="003D4FA0" w:rsidRPr="003D4FA0" w:rsidTr="003D4FA0">
        <w:trPr>
          <w:jc w:val="center"/>
        </w:trPr>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LogisticRegression</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0.871</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0.833</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0.862</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0.845</w:t>
            </w:r>
          </w:p>
        </w:tc>
      </w:tr>
      <w:tr w:rsidR="003D4FA0" w:rsidRPr="003D4FA0" w:rsidTr="003D4FA0">
        <w:trPr>
          <w:jc w:val="center"/>
        </w:trPr>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DecisionTreeClassifier</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0.851</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0.810</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0.832</w:t>
            </w:r>
          </w:p>
        </w:tc>
        <w:tc>
          <w:tcPr>
            <w:tcW w:w="1904" w:type="dxa"/>
            <w:shd w:val="clear" w:color="auto" w:fill="auto"/>
            <w:tcMar>
              <w:top w:w="80" w:type="dxa"/>
              <w:left w:w="100" w:type="dxa"/>
              <w:bottom w:w="80" w:type="dxa"/>
              <w:right w:w="100" w:type="dxa"/>
            </w:tcMar>
            <w:vAlign w:val="center"/>
          </w:tcPr>
          <w:p w:rsidR="00B43A9D" w:rsidRPr="003D4FA0" w:rsidRDefault="004F6431">
            <w:pPr>
              <w:spacing w:after="20"/>
              <w:rPr>
                <w:rFonts w:ascii="Times New Roman" w:hAnsi="Times New Roman" w:cs="Times New Roman"/>
                <w:color w:val="auto"/>
                <w:sz w:val="26"/>
                <w:szCs w:val="26"/>
              </w:rPr>
            </w:pPr>
            <w:r w:rsidRPr="003D4FA0">
              <w:rPr>
                <w:rFonts w:ascii="Times New Roman" w:hAnsi="Times New Roman" w:cs="Times New Roman"/>
                <w:color w:val="auto"/>
                <w:sz w:val="26"/>
                <w:szCs w:val="26"/>
              </w:rPr>
              <w:t>0.820</w:t>
            </w:r>
          </w:p>
        </w:tc>
      </w:tr>
    </w:tbl>
    <w:p w:rsidR="00B43A9D" w:rsidRPr="003D4FA0" w:rsidRDefault="00B43A9D">
      <w:pPr>
        <w:rPr>
          <w:rFonts w:ascii="Times New Roman" w:hAnsi="Times New Roman" w:cs="Times New Roman"/>
          <w:color w:val="auto"/>
          <w:sz w:val="26"/>
          <w:szCs w:val="26"/>
        </w:rPr>
      </w:pP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Tỷ lệ lớp train dưới 70 năm ≈70,65%, từ 70 năm trở lên ≈29,35%; chương trình tự chọn class_weight="balanced" nếu chênh lệch trên 1,5. Mô hình được chọn là LogisticRegression theo F1 macro = 0,8453, Accuracy = 0,8707; F1 positive = 0,7826. Nhãn tuổi thọ được tạo từ target gốc nhưng target này tuyệt đối không đưa vào X.</w:t>
      </w:r>
    </w:p>
    <w:p w:rsidR="00B43A9D" w:rsidRPr="003D4FA0" w:rsidRDefault="004F6431">
      <w:pPr>
        <w:spacing w:after="40"/>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lastRenderedPageBreak/>
        <w:drawing>
          <wp:inline distT="0" distB="0" distL="0" distR="0" wp14:anchorId="41F3A5D9" wp14:editId="3B2E5E48">
            <wp:extent cx="5166360" cy="40828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nfusion_matrix.png"/>
                    <pic:cNvPicPr/>
                  </pic:nvPicPr>
                  <pic:blipFill>
                    <a:blip r:embed="rId26"/>
                    <a:stretch>
                      <a:fillRect/>
                    </a:stretch>
                  </pic:blipFill>
                  <pic:spPr>
                    <a:xfrm>
                      <a:off x="0" y="0"/>
                      <a:ext cx="5166360" cy="4082878"/>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b/>
          <w:color w:val="auto"/>
          <w:sz w:val="26"/>
          <w:szCs w:val="26"/>
        </w:rPr>
        <w:t>Hình 16 · Confusion Matrix mô hình phân loại thắng</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 xml:space="preserve">SO WHAT?  </w:t>
      </w:r>
      <w:r w:rsidRPr="003D4FA0">
        <w:rPr>
          <w:rFonts w:ascii="Times New Roman" w:hAnsi="Times New Roman" w:cs="Times New Roman"/>
          <w:color w:val="auto"/>
          <w:sz w:val="26"/>
          <w:szCs w:val="26"/>
        </w:rPr>
        <w:t>Ma trận đánh giá số lượng đoán đúng/sai cả hai lớp; cần xem Recall lớp ≥70 thay vì chỉ một con số Accuracy.</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PHẦN IV. GIAO DIỆN &amp; TRẢI NGHIỆM NGƯỜI DÙNG</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Ứng dụng Gradio tại địa chỉ cục bộ 127.0.0.1:7860 gồm 4 tab: Dự đoán AI, Trực quan hóa, Kết quả đánh giá, Nguồn dữ liệu &amp; Giới hạn. Người dùng chọn châu lục/năm, nhập dân số/GDP và các chỉ số mô phỏng để thực hiện suy luận trên mô hình đã lưu.</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7CE3D1EF" wp14:editId="4AF9BF9A">
            <wp:extent cx="5669280" cy="26898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I_Du_doan_Asia.png"/>
                    <pic:cNvPicPr/>
                  </pic:nvPicPr>
                  <pic:blipFill>
                    <a:blip r:embed="rId27"/>
                    <a:stretch>
                      <a:fillRect/>
                    </a:stretch>
                  </pic:blipFill>
                  <pic:spPr>
                    <a:xfrm>
                      <a:off x="0" y="0"/>
                      <a:ext cx="5669280" cy="2689804"/>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color w:val="auto"/>
          <w:sz w:val="26"/>
          <w:szCs w:val="26"/>
        </w:rPr>
        <w:t>Hình UI-01: tab Dự đoán AI – ví dụ Asia năm 2002, tuổi thọ dự đoán ≈67,0 năm.</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6A38417F" wp14:editId="0B359B14">
            <wp:extent cx="5669280" cy="27005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I_Truc_quan_hoa.png"/>
                    <pic:cNvPicPr/>
                  </pic:nvPicPr>
                  <pic:blipFill>
                    <a:blip r:embed="rId28"/>
                    <a:stretch>
                      <a:fillRect/>
                    </a:stretch>
                  </pic:blipFill>
                  <pic:spPr>
                    <a:xfrm>
                      <a:off x="0" y="0"/>
                      <a:ext cx="5669280" cy="2700509"/>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color w:val="auto"/>
          <w:sz w:val="26"/>
          <w:szCs w:val="26"/>
        </w:rPr>
        <w:t>Hình UI-02: tab Trực quan hóa – Scatter, historical trend, PCA variance và K-Means.</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4.2. BẰNG CHỨNG UI ĐÃ CHẠY THỰC TẾ</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228AFDFF" wp14:editId="493EEE29">
            <wp:extent cx="5623560" cy="2690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I_Ket_qua_danh_gia.png"/>
                    <pic:cNvPicPr/>
                  </pic:nvPicPr>
                  <pic:blipFill>
                    <a:blip r:embed="rId29"/>
                    <a:stretch>
                      <a:fillRect/>
                    </a:stretch>
                  </pic:blipFill>
                  <pic:spPr>
                    <a:xfrm>
                      <a:off x="0" y="0"/>
                      <a:ext cx="5623560" cy="2690302"/>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color w:val="auto"/>
          <w:sz w:val="26"/>
          <w:szCs w:val="26"/>
        </w:rPr>
        <w:t>Hình UI-03: kết quả benchmark, metric đánh giá mô hình.</w:t>
      </w:r>
    </w:p>
    <w:p w:rsidR="00B43A9D" w:rsidRPr="003D4FA0" w:rsidRDefault="004F6431">
      <w:pPr>
        <w:jc w:val="center"/>
        <w:rPr>
          <w:rFonts w:ascii="Times New Roman" w:hAnsi="Times New Roman" w:cs="Times New Roman"/>
          <w:color w:val="auto"/>
          <w:sz w:val="26"/>
          <w:szCs w:val="26"/>
        </w:rPr>
      </w:pPr>
      <w:r w:rsidRPr="003D4FA0">
        <w:rPr>
          <w:rFonts w:ascii="Times New Roman" w:hAnsi="Times New Roman" w:cs="Times New Roman"/>
          <w:noProof/>
          <w:color w:val="auto"/>
          <w:sz w:val="26"/>
          <w:szCs w:val="26"/>
          <w:lang w:eastAsia="ja-JP"/>
        </w:rPr>
        <w:drawing>
          <wp:inline distT="0" distB="0" distL="0" distR="0" wp14:anchorId="0E438286" wp14:editId="4EF30A2C">
            <wp:extent cx="5623560" cy="26922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I_Nguon_du_lieu.png"/>
                    <pic:cNvPicPr/>
                  </pic:nvPicPr>
                  <pic:blipFill>
                    <a:blip r:embed="rId30"/>
                    <a:stretch>
                      <a:fillRect/>
                    </a:stretch>
                  </pic:blipFill>
                  <pic:spPr>
                    <a:xfrm>
                      <a:off x="0" y="0"/>
                      <a:ext cx="5623560" cy="2692224"/>
                    </a:xfrm>
                    <a:prstGeom prst="rect">
                      <a:avLst/>
                    </a:prstGeom>
                  </pic:spPr>
                </pic:pic>
              </a:graphicData>
            </a:graphic>
          </wp:inline>
        </w:drawing>
      </w:r>
    </w:p>
    <w:p w:rsidR="00B43A9D" w:rsidRPr="003D4FA0" w:rsidRDefault="004F6431">
      <w:pPr>
        <w:pStyle w:val="CaptionCustom"/>
        <w:rPr>
          <w:rFonts w:ascii="Times New Roman" w:hAnsi="Times New Roman" w:cs="Times New Roman"/>
          <w:color w:val="auto"/>
          <w:sz w:val="26"/>
          <w:szCs w:val="26"/>
        </w:rPr>
      </w:pPr>
      <w:r w:rsidRPr="003D4FA0">
        <w:rPr>
          <w:rFonts w:ascii="Times New Roman" w:hAnsi="Times New Roman" w:cs="Times New Roman"/>
          <w:color w:val="auto"/>
          <w:sz w:val="26"/>
          <w:szCs w:val="26"/>
        </w:rPr>
        <w:t>Hình UI-04: nguồn dữ liệu và giới hạn nghiên cứu hiển thị trong ứng dụng.</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Ví dụ mô phỏng Europe năm 2007 với GDP/người 35.000 USD cho dự đoán tuổi thọ ≈83,9 năm, cụm K-Means=1. Không so sánh hai ca đầu vào rồi suy luận GDP là nguyên nhân duy nhất vì cả châu lục, năm và nhiều biến sim_* cũng thay đổi.</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Chẩn đoán kết quả độc lập</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Ở kịch bản Asia, hồi quy dự đoán ≈67,0 năm nhưng classifier trả xác suất nhãn ≥70 khá cao (≈79,6%). Hai mô hình độc lập được chọn theo metric khác nhau; sự không đồng thuận là vấn đề cần nêu rõ trong phần hạn chế và theo dõi khi triển khai.</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PHẦN V. KHUYẾN NGHỊ VÀ HẠN CHẾ</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5.1. Ba đề xuất dựa trên kết quả dữ liệu</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01  Tập trung vào mối liên hệ giữa GDP và tuổi thọ</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 xml:space="preserve">Spearman rho=0,8265 gợi ý GDP/người hữu ích cho dự báo. Phát triển trực quan hóa theo quốc gia–năm và chia nhóm theo châu lục, không dùng để kết luận nguyên nhân. </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02  Phân tích riêng từng nhóm K-Means</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Hai cụm có tuổi thọ trung bình 50,856 và 69,854 năm, silhouette chỉ 0,288. Sử dụng cụm để khám phá chứ không làm quy tắc chính sách hay xếp hạng quốc gia.</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b/>
          <w:color w:val="auto"/>
          <w:sz w:val="26"/>
          <w:szCs w:val="26"/>
        </w:rPr>
        <w:t>03  Ưu tiên minh bạch sai số của mô hình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RMSE 6,169 năm và F1 macro 0,845: hiển thị caveat dự báo, theo dõi sai số theo năm/châu lục, báo cáo các trường hợp hồi quy–phân loại mâu thuẫn.</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5.2. Giới hạn cần ghi công khai</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Gapminder chỉ bao phủ 1952–2007; không thể diễn giải kết quả như dự báo thực tế năm 2026.</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Các cột sim_* được sinh bằng công thức thống kê, không phải quan trắc về y tế/giáo dục/chính sách.</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Bảng đa nguồn 3.104 dòng có bản ghi trùng quốc gia–năm theo nhà cung cấp; không được nhân đôi dữ liệu khi huấn luyện.</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World Bank trong nhánh concat chỉ có tuổi thọ; dân số/GDP và chỉ số sim_* trên dòng World Bank tham chiếu từ Gapminder.</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6 giá trị thiếu World Bank được bổ sung bằng Gapminder, có provenance; 113 cặp so sánh có chênh lệch &gt;5 năm.</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Mô hình theo lịch sử, nhãn phân loại từ ngưỡng tuổi thọ; khả năng tổng quát ngoài phạm vi dữ liệu chưa được chứng minh.</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Bonus Web Crawling và LLM/Ollama: có mã nguồn minh họa nhưng chưa chứng minh đã chạy và đạt ngưỡng dữ liệu.</w:t>
      </w:r>
    </w:p>
    <w:p w:rsidR="00D743C2" w:rsidRDefault="00D743C2">
      <w:pPr>
        <w:spacing w:after="200" w:line="276" w:lineRule="auto"/>
        <w:rPr>
          <w:rFonts w:ascii="Times New Roman" w:eastAsiaTheme="majorEastAsia" w:hAnsi="Times New Roman" w:cs="Times New Roman"/>
          <w:b/>
          <w:bCs/>
          <w:color w:val="auto"/>
          <w:sz w:val="26"/>
          <w:szCs w:val="26"/>
        </w:rPr>
      </w:pPr>
      <w:r>
        <w:rPr>
          <w:rFonts w:ascii="Times New Roman" w:hAnsi="Times New Roman" w:cs="Times New Roman"/>
          <w:color w:val="auto"/>
          <w:sz w:val="26"/>
          <w:szCs w:val="26"/>
        </w:rPr>
        <w:br w:type="page"/>
      </w:r>
    </w:p>
    <w:p w:rsidR="00B43A9D" w:rsidRPr="003D4FA0" w:rsidRDefault="004F6431">
      <w:pPr>
        <w:pStyle w:val="Heading1"/>
        <w:rPr>
          <w:rFonts w:ascii="Times New Roman" w:hAnsi="Times New Roman" w:cs="Times New Roman"/>
          <w:color w:val="auto"/>
          <w:sz w:val="26"/>
          <w:szCs w:val="26"/>
        </w:rPr>
      </w:pPr>
      <w:r w:rsidRPr="003D4FA0">
        <w:rPr>
          <w:rFonts w:ascii="Times New Roman" w:hAnsi="Times New Roman" w:cs="Times New Roman"/>
          <w:color w:val="auto"/>
          <w:sz w:val="26"/>
          <w:szCs w:val="26"/>
        </w:rPr>
        <w:lastRenderedPageBreak/>
        <w:t>PHẦN VI. TÁI LẬP, NGUỒN VÀ TÀI LIỆU</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6.1. Thứ tự chạy nhánh chính</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python src/01_prepare_data.py</w:t>
      </w:r>
      <w:r w:rsidRPr="003D4FA0">
        <w:rPr>
          <w:rFonts w:ascii="Times New Roman" w:hAnsi="Times New Roman" w:cs="Times New Roman"/>
          <w:color w:val="auto"/>
          <w:sz w:val="26"/>
          <w:szCs w:val="26"/>
        </w:rPr>
        <w:br/>
        <w:t>python src/02_storage_clean_eda.py</w:t>
      </w:r>
      <w:r w:rsidRPr="003D4FA0">
        <w:rPr>
          <w:rFonts w:ascii="Times New Roman" w:hAnsi="Times New Roman" w:cs="Times New Roman"/>
          <w:color w:val="auto"/>
          <w:sz w:val="26"/>
          <w:szCs w:val="26"/>
        </w:rPr>
        <w:br/>
        <w:t>python src/03_model_stage2.py</w:t>
      </w:r>
      <w:r w:rsidRPr="003D4FA0">
        <w:rPr>
          <w:rFonts w:ascii="Times New Roman" w:hAnsi="Times New Roman" w:cs="Times New Roman"/>
          <w:color w:val="auto"/>
          <w:sz w:val="26"/>
          <w:szCs w:val="26"/>
        </w:rPr>
        <w:br/>
        <w:t>python src/04_chromadb_vector.py</w:t>
      </w:r>
      <w:r w:rsidRPr="003D4FA0">
        <w:rPr>
          <w:rFonts w:ascii="Times New Roman" w:hAnsi="Times New Roman" w:cs="Times New Roman"/>
          <w:color w:val="auto"/>
          <w:sz w:val="26"/>
          <w:szCs w:val="26"/>
        </w:rPr>
        <w:br/>
        <w:t>python tests/test_pipeline.py</w:t>
      </w:r>
      <w:r w:rsidRPr="003D4FA0">
        <w:rPr>
          <w:rFonts w:ascii="Times New Roman" w:hAnsi="Times New Roman" w:cs="Times New Roman"/>
          <w:color w:val="auto"/>
          <w:sz w:val="26"/>
          <w:szCs w:val="26"/>
        </w:rPr>
        <w:br/>
        <w:t>python ui/app.py</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6.2. Nhánh chứng minh hai nguồn độc lập</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python src/09_standardize_worldbank.py</w:t>
      </w:r>
      <w:r w:rsidRPr="003D4FA0">
        <w:rPr>
          <w:rFonts w:ascii="Times New Roman" w:hAnsi="Times New Roman" w:cs="Times New Roman"/>
          <w:color w:val="auto"/>
          <w:sz w:val="26"/>
          <w:szCs w:val="26"/>
        </w:rPr>
        <w:br/>
        <w:t>python src/10_compare_sources.py</w:t>
      </w:r>
      <w:r w:rsidRPr="003D4FA0">
        <w:rPr>
          <w:rFonts w:ascii="Times New Roman" w:hAnsi="Times New Roman" w:cs="Times New Roman"/>
          <w:color w:val="auto"/>
          <w:sz w:val="26"/>
          <w:szCs w:val="26"/>
        </w:rPr>
        <w:br/>
        <w:t>python src/11_concat_two_sources.py</w:t>
      </w:r>
      <w:r w:rsidRPr="003D4FA0">
        <w:rPr>
          <w:rFonts w:ascii="Times New Roman" w:hAnsi="Times New Roman" w:cs="Times New Roman"/>
          <w:color w:val="auto"/>
          <w:sz w:val="26"/>
          <w:szCs w:val="26"/>
        </w:rPr>
        <w:br/>
        <w:t>python src/12_merge_multisource_dynamic.py</w:t>
      </w:r>
      <w:r w:rsidRPr="003D4FA0">
        <w:rPr>
          <w:rFonts w:ascii="Times New Roman" w:hAnsi="Times New Roman" w:cs="Times New Roman"/>
          <w:color w:val="auto"/>
          <w:sz w:val="26"/>
          <w:szCs w:val="26"/>
        </w:rPr>
        <w:br/>
        <w:t>python src/13_fill_missing_lifeexp.py</w:t>
      </w:r>
      <w:r w:rsidRPr="003D4FA0">
        <w:rPr>
          <w:rFonts w:ascii="Times New Roman" w:hAnsi="Times New Roman" w:cs="Times New Roman"/>
          <w:color w:val="auto"/>
          <w:sz w:val="26"/>
          <w:szCs w:val="26"/>
        </w:rPr>
        <w:br/>
        <w:t>python src/14_clean_multisource.py</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Yêu cầu trình tự: download World Bank JSON vào data/raw, chuẩn hóa mã PRK/KOR trong file 01, giữ bản chính đã PASS trước khi chỉnh sửa. Các lệnh 09–14 và file World Bank mới nhất được nhóm chạy trên máy Windows sau thời điểm bản RAR được gửi; phải commit/upload các file đó cùng báo cáo cuối.</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6.3. Tài liệu nguồn công khai</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Plotly Gapminder CSV: https://raw.githubusercontent.com/plotly/datasets/master/gapminderDataFiveYear.csv</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Gapminder documentation: https://www.gapminder.org/data/</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World Bank indicator SP.DYN.LE00.IN: https://data.worldbank.org/indicator/SP.DYN.LE00.IN</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World Bank API: https://api.worldbank.org/v2/country/all/indicator/SP.DYN.LE00.IN?format=json&amp;per_page=20000</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Scikit-learn documentation: https://scikit-learn.org/stable/</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Gradio documentation: https://www.gradio.app/docs</w:t>
      </w:r>
    </w:p>
    <w:p w:rsidR="00B43A9D" w:rsidRPr="003D4FA0" w:rsidRDefault="004F6431">
      <w:pPr>
        <w:pStyle w:val="ListBullet"/>
        <w:rPr>
          <w:rFonts w:ascii="Times New Roman" w:hAnsi="Times New Roman" w:cs="Times New Roman"/>
          <w:color w:val="auto"/>
          <w:sz w:val="26"/>
          <w:szCs w:val="26"/>
        </w:rPr>
      </w:pPr>
      <w:r w:rsidRPr="003D4FA0">
        <w:rPr>
          <w:rFonts w:ascii="Times New Roman" w:hAnsi="Times New Roman" w:cs="Times New Roman"/>
          <w:color w:val="auto"/>
          <w:sz w:val="26"/>
          <w:szCs w:val="26"/>
        </w:rPr>
        <w:t>ChromaDB documentation: https://docs.trychroma.com/</w:t>
      </w:r>
    </w:p>
    <w:p w:rsidR="00B43A9D" w:rsidRPr="003D4FA0" w:rsidRDefault="004F6431">
      <w:pPr>
        <w:pStyle w:val="Heading2"/>
        <w:rPr>
          <w:rFonts w:ascii="Times New Roman" w:hAnsi="Times New Roman" w:cs="Times New Roman"/>
          <w:color w:val="auto"/>
          <w:sz w:val="26"/>
        </w:rPr>
      </w:pPr>
      <w:r w:rsidRPr="003D4FA0">
        <w:rPr>
          <w:rFonts w:ascii="Times New Roman" w:hAnsi="Times New Roman" w:cs="Times New Roman"/>
          <w:color w:val="auto"/>
          <w:sz w:val="26"/>
        </w:rPr>
        <w:t>6.4. Ghi chú về bằng chứng</w:t>
      </w:r>
    </w:p>
    <w:p w:rsidR="00B43A9D" w:rsidRPr="003D4FA0" w:rsidRDefault="004F6431">
      <w:pPr>
        <w:rPr>
          <w:rFonts w:ascii="Times New Roman" w:hAnsi="Times New Roman" w:cs="Times New Roman"/>
          <w:color w:val="auto"/>
          <w:sz w:val="26"/>
          <w:szCs w:val="26"/>
        </w:rPr>
      </w:pPr>
      <w:r w:rsidRPr="003D4FA0">
        <w:rPr>
          <w:rFonts w:ascii="Times New Roman" w:hAnsi="Times New Roman" w:cs="Times New Roman"/>
          <w:color w:val="auto"/>
          <w:sz w:val="26"/>
          <w:szCs w:val="26"/>
        </w:rPr>
        <w:t xml:space="preserve">Các bảng benchmark/PCA/EDA/ChromaDB và ảnh giao diện được đối chiếu với file báo cáo và screenshot có trong RAR project. Kết quả World Bank (1.400, 3.104, 6, 690) được ghi theo Terminal do nhóm cung cấp trong quá trình cập nhật project; bản </w:t>
      </w:r>
      <w:r w:rsidRPr="003D4FA0">
        <w:rPr>
          <w:rFonts w:ascii="Times New Roman" w:hAnsi="Times New Roman" w:cs="Times New Roman"/>
          <w:color w:val="auto"/>
          <w:sz w:val="26"/>
          <w:szCs w:val="26"/>
        </w:rPr>
        <w:lastRenderedPageBreak/>
        <w:t>RAR trước đó chưa có mã/CSV nhánh 09–14. Báo cáo tránh nhận định đã kiểm tra trực tiếp một tệp mà tài liệu gốc chưa gửi.</w:t>
      </w:r>
    </w:p>
    <w:p w:rsidR="00A76964" w:rsidRPr="003D4FA0" w:rsidRDefault="00A76964">
      <w:pPr>
        <w:rPr>
          <w:rFonts w:ascii="Times New Roman" w:hAnsi="Times New Roman" w:cs="Times New Roman"/>
          <w:color w:val="auto"/>
          <w:sz w:val="26"/>
          <w:szCs w:val="26"/>
        </w:rPr>
      </w:pPr>
    </w:p>
    <w:sectPr w:rsidR="00A76964" w:rsidRPr="003D4FA0" w:rsidSect="002806C3">
      <w:headerReference w:type="default" r:id="rId31"/>
      <w:footerReference w:type="default" r:id="rId32"/>
      <w:pgSz w:w="11909" w:h="16834" w:code="9"/>
      <w:pgMar w:top="1134" w:right="1134" w:bottom="1134" w:left="1701" w:header="547"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0361" w:rsidRDefault="00780361">
      <w:pPr>
        <w:spacing w:after="0" w:line="240" w:lineRule="auto"/>
        <w:rPr>
          <w:rFonts w:hint="eastAsia"/>
        </w:rPr>
      </w:pPr>
      <w:r>
        <w:separator/>
      </w:r>
    </w:p>
  </w:endnote>
  <w:endnote w:type="continuationSeparator" w:id="0">
    <w:p w:rsidR="00780361" w:rsidRDefault="007803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A9D" w:rsidRDefault="00B43A9D">
    <w:pPr>
      <w:pStyle w:val="Footer"/>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0361" w:rsidRDefault="00780361">
      <w:pPr>
        <w:spacing w:after="0" w:line="240" w:lineRule="auto"/>
        <w:rPr>
          <w:rFonts w:hint="eastAsia"/>
        </w:rPr>
      </w:pPr>
      <w:r>
        <w:separator/>
      </w:r>
    </w:p>
  </w:footnote>
  <w:footnote w:type="continuationSeparator" w:id="0">
    <w:p w:rsidR="00780361" w:rsidRDefault="00780361">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A9D" w:rsidRDefault="00B43A9D">
    <w:pPr>
      <w:pStyle w:val="Header"/>
      <w:jc w:val="righ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06C3"/>
    <w:rsid w:val="0029639D"/>
    <w:rsid w:val="00326F90"/>
    <w:rsid w:val="003D4FA0"/>
    <w:rsid w:val="004F6431"/>
    <w:rsid w:val="005B34D3"/>
    <w:rsid w:val="00780361"/>
    <w:rsid w:val="00A76964"/>
    <w:rsid w:val="00AA1D8D"/>
    <w:rsid w:val="00B43A9D"/>
    <w:rsid w:val="00B47730"/>
    <w:rsid w:val="00CB0664"/>
    <w:rsid w:val="00D743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auto"/>
    </w:pPr>
    <w:rPr>
      <w:rFonts w:ascii="DejaVu Sans" w:hAnsi="DejaVu Sans"/>
      <w:color w:val="15233D"/>
      <w:sz w:val="19"/>
    </w:rPr>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b/>
      <w:bCs/>
      <w:color w:val="0B1931"/>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B193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193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193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40"/>
    </w:pPr>
    <w:rPr>
      <w:rFonts w:ascii="DejaVu Sans" w:hAnsi="DejaVu Sans"/>
      <w:color w:val="62728A"/>
      <w:sz w:val="16"/>
    </w:rPr>
  </w:style>
  <w:style w:type="paragraph" w:styleId="BalloonText">
    <w:name w:val="Balloon Text"/>
    <w:basedOn w:val="Normal"/>
    <w:link w:val="BalloonTextChar"/>
    <w:uiPriority w:val="99"/>
    <w:semiHidden/>
    <w:unhideWhenUsed/>
    <w:rsid w:val="00A76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964"/>
    <w:rPr>
      <w:rFonts w:ascii="Tahoma" w:hAnsi="Tahoma" w:cs="Tahoma"/>
      <w:color w:val="15233D"/>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auto"/>
    </w:pPr>
    <w:rPr>
      <w:rFonts w:ascii="DejaVu Sans" w:hAnsi="DejaVu Sans"/>
      <w:color w:val="15233D"/>
      <w:sz w:val="19"/>
    </w:rPr>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b/>
      <w:bCs/>
      <w:color w:val="0B1931"/>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B193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193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193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40"/>
    </w:pPr>
    <w:rPr>
      <w:rFonts w:ascii="DejaVu Sans" w:hAnsi="DejaVu Sans"/>
      <w:color w:val="62728A"/>
      <w:sz w:val="16"/>
    </w:rPr>
  </w:style>
  <w:style w:type="paragraph" w:styleId="BalloonText">
    <w:name w:val="Balloon Text"/>
    <w:basedOn w:val="Normal"/>
    <w:link w:val="BalloonTextChar"/>
    <w:uiPriority w:val="99"/>
    <w:semiHidden/>
    <w:unhideWhenUsed/>
    <w:rsid w:val="00A76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964"/>
    <w:rPr>
      <w:rFonts w:ascii="Tahoma" w:hAnsi="Tahoma" w:cs="Tahoma"/>
      <w:color w:val="15233D"/>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979F8-D5FA-475C-998D-487937AD4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6</cp:revision>
  <dcterms:created xsi:type="dcterms:W3CDTF">2013-12-23T23:15:00Z</dcterms:created>
  <dcterms:modified xsi:type="dcterms:W3CDTF">2026-10-10T15:39:00Z</dcterms:modified>
  <cp:category/>
</cp:coreProperties>
</file>