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jc w:val="center"/>
        <w:tblLook w:val="04A0" w:firstRow="1" w:lastRow="0" w:firstColumn="1" w:lastColumn="0" w:noHBand="0" w:noVBand="1"/>
      </w:tblPr>
      <w:tblGrid>
        <w:gridCol w:w="3615"/>
        <w:gridCol w:w="5599"/>
      </w:tblGrid>
      <w:tr w:rsidR="004D5A3A" w:rsidRPr="007D1744" w14:paraId="5AF46EFC" w14:textId="77777777" w:rsidTr="00673FAE">
        <w:trPr>
          <w:jc w:val="center"/>
        </w:trPr>
        <w:tc>
          <w:tcPr>
            <w:tcW w:w="3615" w:type="dxa"/>
            <w:shd w:val="clear" w:color="auto" w:fill="auto"/>
          </w:tcPr>
          <w:p w14:paraId="07DB3EB8" w14:textId="77777777" w:rsidR="004D5A3A" w:rsidRPr="007D1744" w:rsidRDefault="00D95EC6" w:rsidP="00A852D1">
            <w:pPr>
              <w:spacing w:after="0" w:line="240" w:lineRule="auto"/>
              <w:jc w:val="center"/>
              <w:rPr>
                <w:b/>
                <w:color w:val="000000"/>
              </w:rPr>
            </w:pPr>
            <w:bookmarkStart w:id="0" w:name="_GoBack"/>
            <w:bookmarkEnd w:id="0"/>
            <w:r>
              <w:rPr>
                <w:b/>
                <w:color w:val="000000"/>
              </w:rPr>
              <w:t>NGÂN HÀNG NHÀ NƯỚC VIỆT NAM</w:t>
            </w:r>
          </w:p>
          <w:p w14:paraId="0101DEE8" w14:textId="77777777" w:rsidR="004D5A3A" w:rsidRPr="007D1744" w:rsidRDefault="00D95EC6" w:rsidP="00D95EC6">
            <w:pPr>
              <w:tabs>
                <w:tab w:val="left" w:pos="960"/>
                <w:tab w:val="center" w:pos="1718"/>
              </w:tabs>
              <w:spacing w:after="0" w:line="240" w:lineRule="auto"/>
              <w:rPr>
                <w:b/>
                <w:color w:val="000000"/>
              </w:rPr>
            </w:pPr>
            <w:r>
              <w:rPr>
                <w:b/>
                <w:color w:val="000000"/>
              </w:rPr>
              <w:tab/>
            </w:r>
            <w:r>
              <w:rPr>
                <w:b/>
                <w:color w:val="000000"/>
              </w:rPr>
              <w:tab/>
            </w:r>
            <w:r w:rsidR="00A920F8" w:rsidRPr="007D1744">
              <w:rPr>
                <w:b/>
                <w:noProof/>
                <w:color w:val="000000"/>
              </w:rPr>
              <mc:AlternateContent>
                <mc:Choice Requires="wps">
                  <w:drawing>
                    <wp:anchor distT="0" distB="0" distL="114300" distR="114300" simplePos="0" relativeHeight="251658240" behindDoc="0" locked="0" layoutInCell="1" allowOverlap="1" wp14:anchorId="7618DEBC" wp14:editId="3325BEDE">
                      <wp:simplePos x="0" y="0"/>
                      <wp:positionH relativeFrom="column">
                        <wp:posOffset>704850</wp:posOffset>
                      </wp:positionH>
                      <wp:positionV relativeFrom="paragraph">
                        <wp:posOffset>23495</wp:posOffset>
                      </wp:positionV>
                      <wp:extent cx="790575" cy="0"/>
                      <wp:effectExtent l="0" t="0" r="0" b="0"/>
                      <wp:wrapNone/>
                      <wp:docPr id="43389665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0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464D22B6"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5.5pt,1.85pt" to="117.75pt,1.8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">
                      <o:lock v:ext="edit" shapetype="f"/>
                    </v:line>
                  </w:pict>
                </mc:Fallback>
              </mc:AlternateContent>
            </w:r>
          </w:p>
          <w:p w14:paraId="3FD11763" w14:textId="77777777" w:rsidR="004D5A3A" w:rsidRPr="007D1744" w:rsidRDefault="004D5A3A" w:rsidP="00D95EC6">
            <w:pPr>
              <w:spacing w:before="240" w:after="0" w:line="240" w:lineRule="auto"/>
              <w:jc w:val="center"/>
              <w:rPr>
                <w:color w:val="000000"/>
              </w:rPr>
            </w:pPr>
          </w:p>
        </w:tc>
        <w:tc>
          <w:tcPr>
            <w:tcW w:w="5599" w:type="dxa"/>
            <w:shd w:val="clear" w:color="auto" w:fill="auto"/>
          </w:tcPr>
          <w:p w14:paraId="537B1824" w14:textId="77777777" w:rsidR="004D5A3A" w:rsidRPr="007D1744" w:rsidRDefault="004D5A3A" w:rsidP="00A852D1">
            <w:pPr>
              <w:spacing w:after="0" w:line="240" w:lineRule="auto"/>
              <w:jc w:val="center"/>
              <w:rPr>
                <w:b/>
                <w:color w:val="000000"/>
                <w:spacing w:val="-4"/>
                <w:sz w:val="26"/>
                <w:szCs w:val="26"/>
              </w:rPr>
            </w:pPr>
            <w:r w:rsidRPr="007D1744">
              <w:rPr>
                <w:b/>
                <w:color w:val="000000"/>
                <w:spacing w:val="-4"/>
                <w:sz w:val="26"/>
                <w:szCs w:val="26"/>
              </w:rPr>
              <w:t>CỘNG HÒA XÃ HỘI CHỦ NGHĨA VIỆT NAM</w:t>
            </w:r>
          </w:p>
          <w:p w14:paraId="345A06F4" w14:textId="77777777" w:rsidR="004D5A3A" w:rsidRPr="007D1744" w:rsidRDefault="004D5A3A" w:rsidP="00A852D1">
            <w:pPr>
              <w:spacing w:after="0" w:line="240" w:lineRule="auto"/>
              <w:jc w:val="center"/>
              <w:rPr>
                <w:b/>
                <w:color w:val="000000"/>
                <w:szCs w:val="28"/>
              </w:rPr>
            </w:pPr>
            <w:r w:rsidRPr="007D1744">
              <w:rPr>
                <w:b/>
                <w:color w:val="000000"/>
                <w:szCs w:val="28"/>
              </w:rPr>
              <w:t>Độc lập - Tự do - Hạnh phúc</w:t>
            </w:r>
          </w:p>
          <w:p w14:paraId="7CC98B5D" w14:textId="3D2351AD" w:rsidR="004D5A3A" w:rsidRPr="007D1744" w:rsidRDefault="00A920F8" w:rsidP="00624785">
            <w:pPr>
              <w:spacing w:before="240" w:after="0" w:line="240" w:lineRule="auto"/>
              <w:jc w:val="center"/>
              <w:rPr>
                <w:i/>
                <w:color w:val="000000"/>
              </w:rPr>
            </w:pPr>
            <w:r w:rsidRPr="007D1744">
              <w:rPr>
                <w:i/>
                <w:noProof/>
                <w:color w:val="000000"/>
              </w:rPr>
              <mc:AlternateContent>
                <mc:Choice Requires="wps">
                  <w:drawing>
                    <wp:anchor distT="0" distB="0" distL="114300" distR="114300" simplePos="0" relativeHeight="251657216" behindDoc="0" locked="0" layoutInCell="1" allowOverlap="1" wp14:anchorId="4A182C21" wp14:editId="1C61D3E5">
                      <wp:simplePos x="0" y="0"/>
                      <wp:positionH relativeFrom="column">
                        <wp:posOffset>624205</wp:posOffset>
                      </wp:positionH>
                      <wp:positionV relativeFrom="paragraph">
                        <wp:posOffset>26670</wp:posOffset>
                      </wp:positionV>
                      <wp:extent cx="2157730" cy="0"/>
                      <wp:effectExtent l="0" t="0" r="0" b="0"/>
                      <wp:wrapNone/>
                      <wp:docPr id="122446662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7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099FBFE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9.15pt,2.1pt" to="219.05pt,2.1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">
                      <o:lock v:ext="edit" shapetype="f"/>
                    </v:line>
                  </w:pict>
                </mc:Fallback>
              </mc:AlternateContent>
            </w:r>
            <w:r w:rsidR="00F75CE5">
              <w:rPr>
                <w:i/>
                <w:color w:val="000000"/>
              </w:rPr>
              <w:t xml:space="preserve">     </w:t>
            </w:r>
            <w:r w:rsidR="004D5A3A" w:rsidRPr="007D1744">
              <w:rPr>
                <w:i/>
                <w:color w:val="000000"/>
              </w:rPr>
              <w:t>Hà Nội, ngày</w:t>
            </w:r>
            <w:r w:rsidR="009F0474">
              <w:rPr>
                <w:i/>
                <w:color w:val="000000"/>
              </w:rPr>
              <w:t xml:space="preserve"> </w:t>
            </w:r>
            <w:r w:rsidR="00624785">
              <w:rPr>
                <w:i/>
                <w:color w:val="000000"/>
              </w:rPr>
              <w:t xml:space="preserve">  </w:t>
            </w:r>
            <w:r w:rsidR="004D5A3A" w:rsidRPr="007D1744">
              <w:rPr>
                <w:i/>
                <w:color w:val="000000"/>
              </w:rPr>
              <w:t xml:space="preserve"> tháng </w:t>
            </w:r>
            <w:r w:rsidR="00624785">
              <w:rPr>
                <w:i/>
                <w:color w:val="000000"/>
              </w:rPr>
              <w:t xml:space="preserve">  </w:t>
            </w:r>
            <w:r w:rsidR="00387EF3">
              <w:rPr>
                <w:i/>
                <w:color w:val="000000"/>
              </w:rPr>
              <w:t xml:space="preserve"> </w:t>
            </w:r>
            <w:r w:rsidR="004D5A3A" w:rsidRPr="007D1744">
              <w:rPr>
                <w:i/>
                <w:color w:val="000000"/>
              </w:rPr>
              <w:t>năm 202</w:t>
            </w:r>
            <w:r w:rsidR="00387EF3">
              <w:rPr>
                <w:i/>
                <w:color w:val="000000"/>
              </w:rPr>
              <w:t>5</w:t>
            </w:r>
          </w:p>
        </w:tc>
      </w:tr>
    </w:tbl>
    <w:p w14:paraId="6E52B1A8" w14:textId="7154E4B2" w:rsidR="006E2B24" w:rsidRPr="006E2B24" w:rsidRDefault="003A600A" w:rsidP="006E2B24">
      <w:pPr>
        <w:spacing w:before="240"/>
        <w:jc w:val="center"/>
        <w:rPr>
          <w:rFonts w:eastAsia="Times New Roman"/>
          <w:b/>
          <w:szCs w:val="28"/>
        </w:rPr>
      </w:pPr>
      <w:r w:rsidRPr="00893FD9">
        <w:rPr>
          <w:rFonts w:eastAsia="Times New Roman"/>
          <w:b/>
          <w:szCs w:val="28"/>
        </w:rPr>
        <w:t>BẢN ĐÁNH GIÁ THỦ TỤC</w:t>
      </w:r>
      <w:r>
        <w:rPr>
          <w:rFonts w:eastAsia="Times New Roman"/>
          <w:b/>
          <w:szCs w:val="28"/>
        </w:rPr>
        <w:t xml:space="preserve"> HÀNH CHÍNH, VIỆC PHÂN QUYỀN, PHÂN CẤP, </w:t>
      </w:r>
      <w:r w:rsidR="005136A6">
        <w:rPr>
          <w:rFonts w:eastAsia="Times New Roman"/>
          <w:b/>
          <w:szCs w:val="28"/>
        </w:rPr>
        <w:t>VIỆC ỨNG DỤNG, THÚC ĐẨY PHÁT TRIỂN KHOA HỌC, CÔNG NGHỆ, ĐỔI MỚI SÁNG TẠO VÀ CHUYỂN ĐỔI SỐ, BẢO ĐẢM BÌNH ĐẲNG GIỚI, VIỆC THỰC HIỆN CHÍNH SÁCH DÂN TỘC TRONG DỰ THẢO NGHỊ ĐỊNH QUY ĐỊNH ĐIỀU KIỆN TÀI SẢN BẢO ĐẢM CỦA KHOẢN NỢ XẤU ĐƯỢC THU GIỮ</w:t>
      </w:r>
      <w:r w:rsidRPr="00893FD9">
        <w:rPr>
          <w:rFonts w:eastAsia="Times New Roman"/>
          <w:b/>
          <w:spacing w:val="10"/>
          <w:szCs w:val="28"/>
        </w:rPr>
        <w:t xml:space="preserve"> </w:t>
      </w:r>
    </w:p>
    <w:p w14:paraId="70EA7532" w14:textId="34155F25" w:rsidR="003A600A" w:rsidRDefault="0088314F" w:rsidP="000514BD">
      <w:pPr>
        <w:spacing w:before="120" w:after="120" w:line="288" w:lineRule="auto"/>
        <w:ind w:firstLine="567"/>
        <w:jc w:val="both"/>
        <w:rPr>
          <w:szCs w:val="28"/>
        </w:rPr>
      </w:pPr>
      <w:r w:rsidRPr="0088314F">
        <w:rPr>
          <w:szCs w:val="28"/>
        </w:rPr>
        <w:t>Thực hiện quy định tại Luật Ban hành văn bản quy phạm pháp luật số 64/2025/QH15 được sửa đổi, bổ sung bởi Luật số 87/2025/QH15</w:t>
      </w:r>
      <w:r w:rsidR="006E2B24" w:rsidRPr="00893FD9">
        <w:rPr>
          <w:szCs w:val="28"/>
        </w:rPr>
        <w:t xml:space="preserve">, </w:t>
      </w:r>
      <w:r w:rsidR="001F5F2D">
        <w:rPr>
          <w:szCs w:val="28"/>
        </w:rPr>
        <w:t>Ngân hàng Nhà nước Việt Nam</w:t>
      </w:r>
      <w:r w:rsidR="003A600A">
        <w:rPr>
          <w:szCs w:val="28"/>
        </w:rPr>
        <w:t xml:space="preserve"> </w:t>
      </w:r>
      <w:r w:rsidR="009060AB">
        <w:rPr>
          <w:szCs w:val="28"/>
        </w:rPr>
        <w:t xml:space="preserve">(NHNN) </w:t>
      </w:r>
      <w:r>
        <w:rPr>
          <w:szCs w:val="28"/>
        </w:rPr>
        <w:t>thực hiện</w:t>
      </w:r>
      <w:r w:rsidR="001F5F2D">
        <w:rPr>
          <w:szCs w:val="28"/>
        </w:rPr>
        <w:t xml:space="preserve"> </w:t>
      </w:r>
      <w:r w:rsidR="006E2B24" w:rsidRPr="00893FD9">
        <w:rPr>
          <w:szCs w:val="28"/>
        </w:rPr>
        <w:t>đánh giá tác động thủ tục hành chính</w:t>
      </w:r>
      <w:r w:rsidR="003A600A">
        <w:rPr>
          <w:szCs w:val="28"/>
        </w:rPr>
        <w:t xml:space="preserve">, việc phân quyền, phân cấp, </w:t>
      </w:r>
      <w:r w:rsidR="005136A6">
        <w:rPr>
          <w:szCs w:val="28"/>
        </w:rPr>
        <w:t>việc ứng dụng, thúc đẩy phát triển khoa học, công nghệ, đổi mới sáng tạo và chuyển đổi số, bảo đảm bình đẳng giới, việc thực hiện chính sách dân tộc trong dự thảo Nghị định quy định điều kiện tài sản bảo đảm (TSBĐ) của khoản nợ xấu được thu giữ</w:t>
      </w:r>
      <w:r w:rsidR="003A600A">
        <w:rPr>
          <w:szCs w:val="28"/>
        </w:rPr>
        <w:t>. Kết quả</w:t>
      </w:r>
      <w:r w:rsidR="00DB0EFD">
        <w:rPr>
          <w:szCs w:val="28"/>
        </w:rPr>
        <w:t xml:space="preserve"> </w:t>
      </w:r>
      <w:r w:rsidR="006E2B24" w:rsidRPr="00893FD9">
        <w:rPr>
          <w:szCs w:val="28"/>
        </w:rPr>
        <w:t xml:space="preserve">như sau: </w:t>
      </w:r>
    </w:p>
    <w:p w14:paraId="17865C31" w14:textId="433905D7" w:rsidR="003A600A" w:rsidRPr="003A600A" w:rsidRDefault="003A600A" w:rsidP="000514BD">
      <w:pPr>
        <w:spacing w:before="120" w:after="120" w:line="288" w:lineRule="auto"/>
        <w:ind w:firstLine="567"/>
        <w:jc w:val="both"/>
        <w:rPr>
          <w:b/>
          <w:szCs w:val="28"/>
        </w:rPr>
      </w:pPr>
      <w:r w:rsidRPr="003A600A">
        <w:rPr>
          <w:b/>
          <w:szCs w:val="28"/>
        </w:rPr>
        <w:t>I. TỔ CHỨC THỰC HIỆN ĐÁNH GIÁ</w:t>
      </w:r>
    </w:p>
    <w:p w14:paraId="07C24761" w14:textId="3863C894" w:rsidR="003A600A" w:rsidRDefault="003A600A" w:rsidP="000514BD">
      <w:pPr>
        <w:spacing w:before="120" w:after="120" w:line="288" w:lineRule="auto"/>
        <w:ind w:firstLine="567"/>
        <w:jc w:val="both"/>
        <w:rPr>
          <w:b/>
          <w:szCs w:val="28"/>
        </w:rPr>
      </w:pPr>
      <w:r w:rsidRPr="003A600A">
        <w:rPr>
          <w:b/>
          <w:szCs w:val="28"/>
        </w:rPr>
        <w:t xml:space="preserve">1. Bối cảnh xây dựng dự </w:t>
      </w:r>
      <w:r w:rsidR="005136A6">
        <w:rPr>
          <w:b/>
          <w:szCs w:val="28"/>
        </w:rPr>
        <w:t>thảo Nghị định quy định điều kiện TSBĐ của khoản nợ xấu được thu giữ</w:t>
      </w:r>
    </w:p>
    <w:p w14:paraId="1AF05671" w14:textId="77777777" w:rsidR="0088314F" w:rsidRPr="0088314F" w:rsidRDefault="0088314F" w:rsidP="0088314F">
      <w:pPr>
        <w:spacing w:before="120" w:after="120" w:line="288" w:lineRule="auto"/>
        <w:ind w:firstLine="567"/>
        <w:jc w:val="both"/>
        <w:rPr>
          <w:szCs w:val="28"/>
        </w:rPr>
      </w:pPr>
      <w:r w:rsidRPr="0088314F">
        <w:rPr>
          <w:szCs w:val="28"/>
        </w:rPr>
        <w:t xml:space="preserve">(i) Ngày 27/6/2025, Quốc hội đã biểu quyết thông qua Luật sửa đổi, bổ sung một số điều của Luật Các tổ chức tín dụng (TCTD) số 96/2025/QH15 (Luật số 96/2025/QH15) nhằm tiếp tục luật hóa một số quy định của Nghị quyết số 42/2017/QH14 của Quốc hội về thí điểm xử lý nợ xấu của các tổ chức tín dụng để xử lý các vướng mắc, khó khăn trong công tác xử lý nợ xấu, xử lý tài sản bảo đảm của khoản nợ xấu. </w:t>
      </w:r>
    </w:p>
    <w:p w14:paraId="1E726691" w14:textId="77777777" w:rsidR="0088314F" w:rsidRDefault="0088314F" w:rsidP="0088314F">
      <w:pPr>
        <w:spacing w:before="120" w:after="120" w:line="288" w:lineRule="auto"/>
        <w:ind w:firstLine="567"/>
        <w:jc w:val="both"/>
        <w:rPr>
          <w:szCs w:val="28"/>
        </w:rPr>
      </w:pPr>
      <w:r w:rsidRPr="0088314F">
        <w:rPr>
          <w:szCs w:val="28"/>
        </w:rPr>
        <w:t xml:space="preserve">Luật số 96/2025/QH15 có hiệu lực thi hành kể từ ngày 15/10/2025. Điểm đ khoản 2 Điều 198a Luật Các tổ chức tín dụng số 32/2024/QH15 được sửa đổi, bổ sung bởi Luật số 96/2025/QH15 (Luật số 32/2024/QH15 được sửa đổi, bổ sung bởi Luật số 96/2025/QH15) quy định “Tài sản bảo đảm được thu giữ phải đáp ứng điều kiện theo quy định của Chính phủ”. </w:t>
      </w:r>
    </w:p>
    <w:p w14:paraId="2723175E" w14:textId="0B8E6C47" w:rsidR="0088314F" w:rsidRPr="0088314F" w:rsidRDefault="0088314F" w:rsidP="0088314F">
      <w:pPr>
        <w:spacing w:before="120" w:after="120" w:line="288" w:lineRule="auto"/>
        <w:ind w:firstLine="567"/>
        <w:jc w:val="both"/>
        <w:rPr>
          <w:szCs w:val="28"/>
        </w:rPr>
      </w:pPr>
      <w:r>
        <w:rPr>
          <w:szCs w:val="28"/>
        </w:rPr>
        <w:t>(i</w:t>
      </w:r>
      <w:r w:rsidRPr="0088314F">
        <w:rPr>
          <w:szCs w:val="28"/>
        </w:rPr>
        <w:t xml:space="preserve">i) Ngày 14/7/2025, Thủ tướng Chính phủ đã ban hành Quyết định số 1526/QĐ-TTg về việc ban hành Danh mục và phân công cơ quan chủ trì soạn thảo văn bản quy định chi tiết thi hành các luật, nghị quyết được Quốc hội khóa XV thông qua tại Kỳ họp thứ 9. </w:t>
      </w:r>
    </w:p>
    <w:p w14:paraId="08442E12" w14:textId="77777777" w:rsidR="0088314F" w:rsidRPr="0088314F" w:rsidRDefault="0088314F" w:rsidP="0088314F">
      <w:pPr>
        <w:spacing w:before="120" w:after="120" w:line="288" w:lineRule="auto"/>
        <w:ind w:firstLine="567"/>
        <w:jc w:val="both"/>
        <w:rPr>
          <w:szCs w:val="28"/>
        </w:rPr>
      </w:pPr>
      <w:r w:rsidRPr="0088314F">
        <w:rPr>
          <w:szCs w:val="28"/>
        </w:rPr>
        <w:lastRenderedPageBreak/>
        <w:t>Theo đó, NHNN được giao chủ trì, phối hợp với các Bộ, ngành, cơ quan có liên quan xây dựng Nghị định quy định điều kiện tài sản bảo đảm của khoản nợ xấu được thu giữ (quy định chi tiết điểm đ khoản 2 Điều 198a) theo trình tự, thủ tục rút gọn, thời gian dự kiến trình Chính phủ ban hành trước ngày 15/9/2025.</w:t>
      </w:r>
    </w:p>
    <w:p w14:paraId="0BC0820E" w14:textId="3AA80F81" w:rsidR="0088314F" w:rsidRDefault="0088314F" w:rsidP="0088314F">
      <w:pPr>
        <w:spacing w:before="120" w:after="120" w:line="288" w:lineRule="auto"/>
        <w:ind w:firstLine="567"/>
        <w:jc w:val="both"/>
        <w:rPr>
          <w:szCs w:val="28"/>
        </w:rPr>
      </w:pPr>
      <w:r w:rsidRPr="0088314F">
        <w:rPr>
          <w:szCs w:val="28"/>
        </w:rPr>
        <w:t>Như vậy, căn cứ các nội dung trên, việc NHNN xây dựng Nghị định quy định điều kiện tài sản bảo đảm của khoản nợ xấu được thu giữ là có cơ sở pháp lý và đã được Thủ tướng Chính phủ phân công thực hiện.</w:t>
      </w:r>
    </w:p>
    <w:p w14:paraId="63B5B541" w14:textId="25D5879E" w:rsidR="003A600A" w:rsidRDefault="003A600A" w:rsidP="0088314F">
      <w:pPr>
        <w:spacing w:before="120" w:after="120" w:line="288" w:lineRule="auto"/>
        <w:ind w:firstLine="567"/>
        <w:jc w:val="both"/>
        <w:rPr>
          <w:b/>
          <w:szCs w:val="28"/>
        </w:rPr>
      </w:pPr>
      <w:r w:rsidRPr="003A600A">
        <w:rPr>
          <w:b/>
          <w:szCs w:val="28"/>
        </w:rPr>
        <w:t>2. Mục đích, yêu cầu đánh giá</w:t>
      </w:r>
    </w:p>
    <w:p w14:paraId="4D6F2F47" w14:textId="40F23251" w:rsidR="00925BC1" w:rsidRPr="00925BC1" w:rsidRDefault="00925BC1" w:rsidP="000514BD">
      <w:pPr>
        <w:spacing w:before="120" w:after="120" w:line="288" w:lineRule="auto"/>
        <w:ind w:firstLine="567"/>
        <w:jc w:val="both"/>
        <w:rPr>
          <w:szCs w:val="28"/>
        </w:rPr>
      </w:pPr>
      <w:r w:rsidRPr="00925BC1">
        <w:rPr>
          <w:szCs w:val="28"/>
        </w:rPr>
        <w:t xml:space="preserve">- Mục đích đánh giá: việc đánh giá thủ tục hành chính, việc phân quyền, phân cấp, </w:t>
      </w:r>
      <w:r w:rsidR="00E742D7">
        <w:rPr>
          <w:szCs w:val="28"/>
        </w:rPr>
        <w:t>việc ứng dụng, thúc đẩy phát triển khoa học, công nghệ, đổi mới sáng tạo và chuyển đổi số, bảo đảm bình đẳng giới, việc thực hiện chính sách dân tộc trong dự thảo Nghị định quy định điều kiện tài sản bảo đảm (TSBĐ) của khoản nợ xấu được thu giữ</w:t>
      </w:r>
      <w:r w:rsidRPr="00925BC1">
        <w:rPr>
          <w:szCs w:val="28"/>
        </w:rPr>
        <w:t xml:space="preserve"> nhằm </w:t>
      </w:r>
      <w:r w:rsidR="00AB4904">
        <w:rPr>
          <w:szCs w:val="28"/>
        </w:rPr>
        <w:t>xác định</w:t>
      </w:r>
      <w:r w:rsidRPr="00925BC1">
        <w:rPr>
          <w:szCs w:val="28"/>
        </w:rPr>
        <w:t xml:space="preserve"> nội dung </w:t>
      </w:r>
      <w:r w:rsidR="00AB4904">
        <w:rPr>
          <w:szCs w:val="28"/>
        </w:rPr>
        <w:t>tại</w:t>
      </w:r>
      <w:r w:rsidRPr="00925BC1">
        <w:rPr>
          <w:szCs w:val="28"/>
        </w:rPr>
        <w:t xml:space="preserve"> dự thảo </w:t>
      </w:r>
      <w:r w:rsidR="00E742D7">
        <w:rPr>
          <w:szCs w:val="28"/>
        </w:rPr>
        <w:t>Nghị định</w:t>
      </w:r>
      <w:r w:rsidR="00AB4904">
        <w:rPr>
          <w:szCs w:val="28"/>
        </w:rPr>
        <w:t xml:space="preserve"> có đảm bảo cắt giảm hay gia tăng thủ tục hành chính, có tạo sự phân biệt đối xử về giới hay không, phù hợp với chính sách dân tộc hay không</w:t>
      </w:r>
      <w:r w:rsidR="00E742D7">
        <w:rPr>
          <w:szCs w:val="28"/>
        </w:rPr>
        <w:t>, có quy định về thúc đẩy phát triển khoa học, công nghệ, đổi mới sáng tạo và chuyển đổi số hay không</w:t>
      </w:r>
      <w:r w:rsidR="00AB4904">
        <w:rPr>
          <w:szCs w:val="28"/>
        </w:rPr>
        <w:t xml:space="preserve"> để có sự điều chỉnh kịp thời</w:t>
      </w:r>
      <w:r w:rsidRPr="00925BC1">
        <w:rPr>
          <w:szCs w:val="28"/>
        </w:rPr>
        <w:t xml:space="preserve">; đồng thời nhằm đảm bảo các quy định được ban hành đáp ứng được yêu cầu quản lý nhà nước đối với </w:t>
      </w:r>
      <w:r w:rsidR="00E742D7">
        <w:rPr>
          <w:szCs w:val="28"/>
        </w:rPr>
        <w:t xml:space="preserve">hoạt động thu giữ TSBĐ của khoản nợ xấu của bên </w:t>
      </w:r>
      <w:r w:rsidR="00850AF9">
        <w:rPr>
          <w:szCs w:val="28"/>
        </w:rPr>
        <w:t>tổ chức tín dụng, chi nhánh ngân hàng nước ngoài, tổ chức mua bán, xử lý nợ</w:t>
      </w:r>
      <w:r w:rsidRPr="00925BC1">
        <w:rPr>
          <w:szCs w:val="28"/>
        </w:rPr>
        <w:t>,</w:t>
      </w:r>
      <w:r w:rsidR="00A30BE2">
        <w:rPr>
          <w:szCs w:val="28"/>
        </w:rPr>
        <w:t xml:space="preserve"> qua đó</w:t>
      </w:r>
      <w:r w:rsidRPr="00925BC1">
        <w:rPr>
          <w:szCs w:val="28"/>
        </w:rPr>
        <w:t xml:space="preserve"> bảo đảm quyền, nghĩa vụ và lợi ích hợp pháp của cá nhân, tổ chức, dân tộc, địa phương, không phân biệt đối xử về giới, cụ thể hóa và đảm bảo quyền con người theo tinh thần của Hiến pháp. </w:t>
      </w:r>
    </w:p>
    <w:p w14:paraId="1FC58358" w14:textId="73A4004F" w:rsidR="00925BC1" w:rsidRPr="00925BC1" w:rsidRDefault="00925BC1" w:rsidP="000514BD">
      <w:pPr>
        <w:spacing w:before="120" w:after="120" w:line="288" w:lineRule="auto"/>
        <w:ind w:firstLine="567"/>
        <w:jc w:val="both"/>
        <w:rPr>
          <w:szCs w:val="28"/>
        </w:rPr>
      </w:pPr>
      <w:r w:rsidRPr="00925BC1">
        <w:rPr>
          <w:szCs w:val="28"/>
        </w:rPr>
        <w:t xml:space="preserve">- Yêu cầu đánh giá: Tuân thủ quy định của Hiến pháp, Luật Ban hành văn bản quy phạm pháp luật và các văn bản quy phạm pháp luật có liên quan; bám sát mục tiêu, yêu cầu, nội dung đánh giá theo quy định; đánh giá toàn diện, khách quan, đáp ứng được tính đặc thù của các đối tượng áp dụng, đối tượng chịu trách nhiệm thực hiện các quy định tại dự thảo </w:t>
      </w:r>
      <w:r w:rsidR="00A30BE2">
        <w:rPr>
          <w:szCs w:val="28"/>
        </w:rPr>
        <w:t>Nghị định</w:t>
      </w:r>
      <w:r w:rsidRPr="00925BC1">
        <w:rPr>
          <w:szCs w:val="28"/>
        </w:rPr>
        <w:t>.</w:t>
      </w:r>
    </w:p>
    <w:p w14:paraId="49F79591" w14:textId="1D5930FB" w:rsidR="003A600A" w:rsidRPr="003A600A" w:rsidRDefault="003A600A" w:rsidP="000514BD">
      <w:pPr>
        <w:spacing w:before="120" w:after="120" w:line="288" w:lineRule="auto"/>
        <w:ind w:firstLine="567"/>
        <w:jc w:val="both"/>
        <w:rPr>
          <w:b/>
          <w:szCs w:val="28"/>
        </w:rPr>
      </w:pPr>
      <w:r w:rsidRPr="003A600A">
        <w:rPr>
          <w:b/>
          <w:szCs w:val="28"/>
        </w:rPr>
        <w:t>II. KẾT QUẢ ĐÁNH GIÁ</w:t>
      </w:r>
    </w:p>
    <w:p w14:paraId="7E379A84" w14:textId="77777777" w:rsidR="0088314F" w:rsidRDefault="00E07B42" w:rsidP="0088314F">
      <w:pPr>
        <w:tabs>
          <w:tab w:val="left" w:pos="1320"/>
        </w:tabs>
        <w:spacing w:before="120" w:after="120" w:line="288" w:lineRule="auto"/>
        <w:ind w:firstLine="567"/>
        <w:jc w:val="both"/>
        <w:rPr>
          <w:b/>
          <w:bCs/>
          <w:szCs w:val="28"/>
        </w:rPr>
      </w:pPr>
      <w:r>
        <w:rPr>
          <w:b/>
          <w:bCs/>
          <w:szCs w:val="28"/>
        </w:rPr>
        <w:t>1.</w:t>
      </w:r>
      <w:r w:rsidR="006E2B24" w:rsidRPr="00B74FC9">
        <w:rPr>
          <w:b/>
          <w:bCs/>
          <w:szCs w:val="28"/>
        </w:rPr>
        <w:t xml:space="preserve"> </w:t>
      </w:r>
      <w:r w:rsidR="00B33FDC">
        <w:rPr>
          <w:b/>
          <w:bCs/>
          <w:szCs w:val="28"/>
        </w:rPr>
        <w:t>Đánh giá</w:t>
      </w:r>
      <w:r w:rsidR="00B33FDC" w:rsidRPr="00B33FDC">
        <w:t xml:space="preserve"> </w:t>
      </w:r>
      <w:r w:rsidR="00B33FDC" w:rsidRPr="00B33FDC">
        <w:rPr>
          <w:b/>
          <w:bCs/>
          <w:szCs w:val="28"/>
        </w:rPr>
        <w:t>tác động thủ tục hành chính</w:t>
      </w:r>
    </w:p>
    <w:p w14:paraId="73932F54" w14:textId="22D27683" w:rsidR="0088314F" w:rsidRPr="0088314F" w:rsidRDefault="0088314F" w:rsidP="0088314F">
      <w:pPr>
        <w:tabs>
          <w:tab w:val="left" w:pos="1320"/>
        </w:tabs>
        <w:spacing w:before="120" w:after="120" w:line="288" w:lineRule="auto"/>
        <w:ind w:firstLine="567"/>
        <w:jc w:val="both"/>
        <w:rPr>
          <w:b/>
          <w:bCs/>
          <w:szCs w:val="28"/>
        </w:rPr>
      </w:pPr>
      <w:r w:rsidRPr="003305BA">
        <w:rPr>
          <w:bCs/>
          <w:color w:val="000000" w:themeColor="text1"/>
          <w:szCs w:val="28"/>
        </w:rPr>
        <w:t xml:space="preserve">Dự thảo Nghị định không có nội dung </w:t>
      </w:r>
      <w:r>
        <w:rPr>
          <w:bCs/>
          <w:color w:val="000000" w:themeColor="text1"/>
          <w:szCs w:val="28"/>
        </w:rPr>
        <w:t>liên quan đến</w:t>
      </w:r>
      <w:r w:rsidRPr="003305BA">
        <w:rPr>
          <w:bCs/>
          <w:color w:val="000000" w:themeColor="text1"/>
          <w:szCs w:val="28"/>
        </w:rPr>
        <w:t xml:space="preserve"> thủ tục hành chính</w:t>
      </w:r>
      <w:r>
        <w:rPr>
          <w:bCs/>
          <w:color w:val="000000" w:themeColor="text1"/>
          <w:szCs w:val="28"/>
        </w:rPr>
        <w:t xml:space="preserve">. Dự thảo Nghị định quy định bên bảo đảm xác nhận và cam kết TSBĐ thuộc hoặc không thuộc trường hợp quy định tại khoản 1 Điều 4 dự thảo Nghị định; không quy định vai trò và trách nhiệm của cơ quan quản lý nhà nước. </w:t>
      </w:r>
    </w:p>
    <w:p w14:paraId="3E61E39B" w14:textId="77777777" w:rsidR="009060AB" w:rsidRDefault="002065B5" w:rsidP="000514BD">
      <w:pPr>
        <w:spacing w:before="120" w:after="120" w:line="288" w:lineRule="auto"/>
        <w:ind w:firstLine="567"/>
        <w:jc w:val="both"/>
        <w:rPr>
          <w:b/>
          <w:szCs w:val="28"/>
        </w:rPr>
      </w:pPr>
      <w:r w:rsidRPr="002065B5">
        <w:rPr>
          <w:b/>
          <w:szCs w:val="28"/>
        </w:rPr>
        <w:t xml:space="preserve">2. </w:t>
      </w:r>
      <w:r w:rsidR="003A600A" w:rsidRPr="002065B5">
        <w:rPr>
          <w:b/>
          <w:szCs w:val="28"/>
        </w:rPr>
        <w:t>Việc phân quyền, phân cấp</w:t>
      </w:r>
    </w:p>
    <w:p w14:paraId="1C671F03" w14:textId="24558DCF" w:rsidR="002662E2" w:rsidRDefault="002662E2" w:rsidP="000514BD">
      <w:pPr>
        <w:spacing w:before="120" w:after="120" w:line="288" w:lineRule="auto"/>
        <w:ind w:firstLine="567"/>
        <w:jc w:val="both"/>
      </w:pPr>
      <w:r>
        <w:rPr>
          <w:bCs/>
          <w:iCs/>
          <w:color w:val="000000"/>
          <w:kern w:val="28"/>
          <w:szCs w:val="28"/>
        </w:rPr>
        <w:lastRenderedPageBreak/>
        <w:t>NHNN đã thực hiệ</w:t>
      </w:r>
      <w:r w:rsidR="0088314F">
        <w:rPr>
          <w:bCs/>
          <w:iCs/>
          <w:color w:val="000000"/>
          <w:kern w:val="28"/>
          <w:szCs w:val="28"/>
        </w:rPr>
        <w:t xml:space="preserve">n rà soát, theo đó, </w:t>
      </w:r>
      <w:r>
        <w:rPr>
          <w:bCs/>
          <w:iCs/>
          <w:color w:val="000000"/>
          <w:kern w:val="28"/>
          <w:szCs w:val="28"/>
        </w:rPr>
        <w:t>dự thảo Nghị định quy định điều kiện TSBĐ của khoản nợ xấu được thu giữ và không có quy định về việc phân quyền, phân cấp</w:t>
      </w:r>
      <w:r w:rsidR="009060AB">
        <w:t>.</w:t>
      </w:r>
    </w:p>
    <w:p w14:paraId="5C8B0368" w14:textId="77777777" w:rsidR="002662E2" w:rsidRDefault="002662E2" w:rsidP="000514BD">
      <w:pPr>
        <w:spacing w:before="120" w:after="120" w:line="288" w:lineRule="auto"/>
        <w:ind w:firstLine="567"/>
        <w:jc w:val="both"/>
      </w:pPr>
      <w:r>
        <w:rPr>
          <w:b/>
        </w:rPr>
        <w:t>3</w:t>
      </w:r>
      <w:r w:rsidRPr="002662E2">
        <w:rPr>
          <w:b/>
        </w:rPr>
        <w:t xml:space="preserve">. </w:t>
      </w:r>
      <w:r w:rsidRPr="002662E2">
        <w:rPr>
          <w:b/>
          <w:szCs w:val="28"/>
        </w:rPr>
        <w:t>Việc ứng dụng, thúc đẩy phát triển khoa học, công nghệ, đổi mới sáng tạo và chuyển đổi số</w:t>
      </w:r>
    </w:p>
    <w:p w14:paraId="5C459E11" w14:textId="1E48FDA7" w:rsidR="009060AB" w:rsidRPr="009060AB" w:rsidRDefault="002662E2" w:rsidP="000514BD">
      <w:pPr>
        <w:spacing w:before="120" w:after="120" w:line="288" w:lineRule="auto"/>
        <w:ind w:firstLine="567"/>
        <w:jc w:val="both"/>
        <w:rPr>
          <w:b/>
          <w:szCs w:val="28"/>
        </w:rPr>
      </w:pPr>
      <w:r>
        <w:rPr>
          <w:bCs/>
          <w:iCs/>
          <w:color w:val="000000"/>
          <w:kern w:val="28"/>
          <w:szCs w:val="28"/>
        </w:rPr>
        <w:t>NHNN đã thực hiện rà soát, theo đó</w:t>
      </w:r>
      <w:r w:rsidR="0088314F">
        <w:rPr>
          <w:bCs/>
          <w:iCs/>
          <w:color w:val="000000"/>
          <w:kern w:val="28"/>
          <w:szCs w:val="28"/>
        </w:rPr>
        <w:t>,</w:t>
      </w:r>
      <w:r>
        <w:rPr>
          <w:bCs/>
          <w:iCs/>
          <w:color w:val="000000"/>
          <w:kern w:val="28"/>
          <w:szCs w:val="28"/>
        </w:rPr>
        <w:t xml:space="preserve"> dự thảo Nghị định quy định điều kiện TSBĐ của khoản nợ xấu được thu giữ và không có </w:t>
      </w:r>
      <w:r w:rsidR="0088314F">
        <w:rPr>
          <w:bCs/>
          <w:iCs/>
          <w:color w:val="000000"/>
          <w:kern w:val="28"/>
          <w:szCs w:val="28"/>
        </w:rPr>
        <w:t xml:space="preserve">nội dung liên quan đến </w:t>
      </w:r>
      <w:r w:rsidRPr="002662E2">
        <w:rPr>
          <w:bCs/>
          <w:iCs/>
          <w:color w:val="000000"/>
          <w:kern w:val="28"/>
          <w:szCs w:val="28"/>
        </w:rPr>
        <w:t>v</w:t>
      </w:r>
      <w:r w:rsidRPr="002662E2">
        <w:rPr>
          <w:szCs w:val="28"/>
        </w:rPr>
        <w:t>iệc ứng dụng, thúc đẩy phát triển khoa học, công nghệ, đổi mới sáng tạo và chuyển đổi số</w:t>
      </w:r>
      <w:r>
        <w:t>.</w:t>
      </w:r>
      <w:r w:rsidRPr="002662E2">
        <w:t xml:space="preserve"> </w:t>
      </w:r>
      <w:r w:rsidR="009060AB">
        <w:t xml:space="preserve"> </w:t>
      </w:r>
    </w:p>
    <w:p w14:paraId="1B65AD1B" w14:textId="7E38FD6E" w:rsidR="003A600A" w:rsidRPr="002065B5" w:rsidRDefault="002662E2" w:rsidP="000514BD">
      <w:pPr>
        <w:spacing w:before="120" w:after="120" w:line="288" w:lineRule="auto"/>
        <w:ind w:firstLine="567"/>
        <w:jc w:val="both"/>
        <w:rPr>
          <w:b/>
          <w:szCs w:val="28"/>
        </w:rPr>
      </w:pPr>
      <w:r>
        <w:rPr>
          <w:b/>
          <w:szCs w:val="28"/>
        </w:rPr>
        <w:t>4</w:t>
      </w:r>
      <w:r w:rsidR="003A600A" w:rsidRPr="002065B5">
        <w:rPr>
          <w:b/>
          <w:szCs w:val="28"/>
        </w:rPr>
        <w:t>. Việc bảo đảm bình đẳng giới</w:t>
      </w:r>
    </w:p>
    <w:p w14:paraId="15A8A0B6" w14:textId="494B6F43" w:rsidR="00B623B8" w:rsidRDefault="00B623B8" w:rsidP="000514BD">
      <w:pPr>
        <w:spacing w:before="120" w:after="120" w:line="288" w:lineRule="auto"/>
        <w:ind w:firstLine="567"/>
        <w:jc w:val="both"/>
        <w:rPr>
          <w:szCs w:val="28"/>
        </w:rPr>
      </w:pPr>
      <w:r>
        <w:rPr>
          <w:szCs w:val="28"/>
        </w:rPr>
        <w:t>- Đối tượng áp dụng: Theo đối tượng áp dụng chung của Luật Các tổ chức tín dụng.</w:t>
      </w:r>
    </w:p>
    <w:p w14:paraId="6DF84078" w14:textId="6D8FE4C6" w:rsidR="00B623B8" w:rsidRDefault="00B623B8" w:rsidP="000514BD">
      <w:pPr>
        <w:spacing w:before="120" w:after="120" w:line="288" w:lineRule="auto"/>
        <w:ind w:firstLine="567"/>
        <w:jc w:val="both"/>
        <w:rPr>
          <w:szCs w:val="28"/>
        </w:rPr>
      </w:pPr>
      <w:r>
        <w:rPr>
          <w:szCs w:val="28"/>
        </w:rPr>
        <w:t xml:space="preserve">- Nhóm đối tượng chịu trách nhiệm tổ chức thực hiện: Theo đối tượng áp dụng chung của Luật Các tổ chức tín dụng. </w:t>
      </w:r>
    </w:p>
    <w:p w14:paraId="2C754E97" w14:textId="0F6803B8" w:rsidR="002065B5" w:rsidRDefault="00B623B8" w:rsidP="000514BD">
      <w:pPr>
        <w:spacing w:before="120" w:after="120" w:line="288" w:lineRule="auto"/>
        <w:ind w:firstLine="567"/>
        <w:jc w:val="both"/>
        <w:rPr>
          <w:szCs w:val="28"/>
        </w:rPr>
      </w:pPr>
      <w:r>
        <w:rPr>
          <w:szCs w:val="28"/>
        </w:rPr>
        <w:t>Như vậy, q</w:t>
      </w:r>
      <w:r w:rsidR="002065B5" w:rsidRPr="002065B5">
        <w:rPr>
          <w:szCs w:val="28"/>
        </w:rPr>
        <w:t xml:space="preserve">ua rà soát, dự thảo </w:t>
      </w:r>
      <w:r>
        <w:rPr>
          <w:szCs w:val="28"/>
        </w:rPr>
        <w:t>Nghị định</w:t>
      </w:r>
      <w:r w:rsidR="002065B5" w:rsidRPr="002065B5">
        <w:rPr>
          <w:szCs w:val="28"/>
        </w:rPr>
        <w:t xml:space="preserve"> không ảnh hưởng đến cơ hội, điều kiện, năng lực thực hiện và thụ hưởng các quyền, lợi ích của mỗi giới</w:t>
      </w:r>
      <w:r w:rsidR="006F576D">
        <w:rPr>
          <w:szCs w:val="28"/>
        </w:rPr>
        <w:t xml:space="preserve"> theo quy định của pháp luật Việt Nam và điều ước quốc tế có liên quan mà nước Cộng hòa xã hội chủ nghĩa Việt Nam là thành viên</w:t>
      </w:r>
      <w:r w:rsidR="002065B5" w:rsidRPr="002065B5">
        <w:rPr>
          <w:szCs w:val="28"/>
        </w:rPr>
        <w:t xml:space="preserve"> do </w:t>
      </w:r>
      <w:r w:rsidR="006F576D">
        <w:rPr>
          <w:szCs w:val="28"/>
        </w:rPr>
        <w:t>quy định tại dự thảo Nghị định</w:t>
      </w:r>
      <w:r w:rsidR="002065B5" w:rsidRPr="002065B5">
        <w:rPr>
          <w:szCs w:val="28"/>
        </w:rPr>
        <w:t xml:space="preserve"> không mang tính phân biệt, được áp dụng chung, đảm bảo không có sự phân biệt về giới tính và đáp ứng nguyên tắc bình đẳng giới. </w:t>
      </w:r>
      <w:r w:rsidR="00466E6A">
        <w:rPr>
          <w:szCs w:val="28"/>
        </w:rPr>
        <w:t>Nghị định</w:t>
      </w:r>
      <w:r w:rsidR="002065B5" w:rsidRPr="002065B5">
        <w:rPr>
          <w:szCs w:val="28"/>
        </w:rPr>
        <w:t xml:space="preserve"> được ban hành sẽ không có các yếu tố ảnh hưởng đến vấn đề bình đẳng giới khi triển khai thực hiện</w:t>
      </w:r>
    </w:p>
    <w:p w14:paraId="4B6E64D5" w14:textId="43998686" w:rsidR="003A600A" w:rsidRPr="002065B5" w:rsidRDefault="002662E2" w:rsidP="000514BD">
      <w:pPr>
        <w:spacing w:before="120" w:after="120" w:line="288" w:lineRule="auto"/>
        <w:ind w:firstLine="567"/>
        <w:jc w:val="both"/>
        <w:rPr>
          <w:b/>
          <w:szCs w:val="28"/>
        </w:rPr>
      </w:pPr>
      <w:r>
        <w:rPr>
          <w:b/>
          <w:szCs w:val="28"/>
        </w:rPr>
        <w:t>5</w:t>
      </w:r>
      <w:r w:rsidR="003A600A" w:rsidRPr="002065B5">
        <w:rPr>
          <w:b/>
          <w:szCs w:val="28"/>
        </w:rPr>
        <w:t>. Việc thực hiện chính sách dân tộc</w:t>
      </w:r>
    </w:p>
    <w:p w14:paraId="22966C07" w14:textId="59677130" w:rsidR="002065B5" w:rsidRPr="002065B5" w:rsidRDefault="002065B5" w:rsidP="000514BD">
      <w:pPr>
        <w:spacing w:before="120" w:after="120" w:line="288" w:lineRule="auto"/>
        <w:ind w:firstLine="567"/>
        <w:jc w:val="both"/>
        <w:rPr>
          <w:szCs w:val="28"/>
        </w:rPr>
      </w:pPr>
      <w:r w:rsidRPr="002065B5">
        <w:rPr>
          <w:szCs w:val="28"/>
          <w:lang w:val="vi-VN"/>
        </w:rPr>
        <w:t xml:space="preserve">Nội dung quy định tại dự thảo </w:t>
      </w:r>
      <w:r w:rsidR="006F576D">
        <w:rPr>
          <w:szCs w:val="28"/>
        </w:rPr>
        <w:t>Nghị định</w:t>
      </w:r>
      <w:r w:rsidRPr="002065B5">
        <w:rPr>
          <w:szCs w:val="28"/>
          <w:lang w:val="vi-VN"/>
        </w:rPr>
        <w:t xml:space="preserve"> có tính chất áp dụng chung</w:t>
      </w:r>
      <w:r w:rsidR="006F576D">
        <w:rPr>
          <w:szCs w:val="28"/>
        </w:rPr>
        <w:t xml:space="preserve"> cho mọi đối tượng</w:t>
      </w:r>
      <w:r w:rsidR="007F5B9E">
        <w:rPr>
          <w:szCs w:val="28"/>
        </w:rPr>
        <w:t xml:space="preserve"> và</w:t>
      </w:r>
      <w:r w:rsidR="006F576D">
        <w:rPr>
          <w:szCs w:val="28"/>
        </w:rPr>
        <w:t xml:space="preserve"> thống nhất trong phạm vi cả nước. </w:t>
      </w:r>
      <w:r w:rsidR="00466E6A">
        <w:rPr>
          <w:szCs w:val="28"/>
        </w:rPr>
        <w:t>Nghị định được</w:t>
      </w:r>
      <w:r w:rsidR="00AB71E8">
        <w:rPr>
          <w:szCs w:val="28"/>
        </w:rPr>
        <w:t xml:space="preserve"> ban hành đảm bảo </w:t>
      </w:r>
      <w:r w:rsidR="00AB71E8" w:rsidRPr="00AB71E8">
        <w:rPr>
          <w:szCs w:val="28"/>
        </w:rPr>
        <w:t>nguyên tắc bình đẳng, đoàn kết, tôn trọng, giúp đỡ nhau cùng phát triển giữa các dân tộc; việc bảo đảm quyền và lợi ích hợp pháp của dân tộc; quyền bình đẳng giữa các dân tộc; giữ gìn bản sắc dân tộc, phát huy phong tục, tập quán, truyền thống, văn hóa: tốt đẹp của các dân tộc; các điều kiện bảo đảm phát triển kinh tế, xã hội vùng đồng bào dân tộc thiểu số; việc bảo tồn, phát huy giá trị văn hóa dân tộc; xây dựng khối đại đoàn kết dân tộc</w:t>
      </w:r>
      <w:r w:rsidR="00AB71E8">
        <w:rPr>
          <w:szCs w:val="28"/>
        </w:rPr>
        <w:t>;</w:t>
      </w:r>
      <w:r w:rsidR="00D779B3">
        <w:rPr>
          <w:szCs w:val="28"/>
        </w:rPr>
        <w:t xml:space="preserve"> tạo điều kiện để mọi người dân, doanh nghiệp được tiếp cận nguồn vốn tín dụng thông qua</w:t>
      </w:r>
      <w:r w:rsidR="00AB71E8">
        <w:rPr>
          <w:szCs w:val="28"/>
        </w:rPr>
        <w:t xml:space="preserve"> </w:t>
      </w:r>
      <w:r w:rsidR="00AB71E8" w:rsidRPr="00925BC1">
        <w:rPr>
          <w:szCs w:val="28"/>
        </w:rPr>
        <w:t>nâng cao hiệu lực, hiệu quả trong công tác xử lý nợ xấu</w:t>
      </w:r>
      <w:r w:rsidR="00D779B3">
        <w:rPr>
          <w:szCs w:val="28"/>
        </w:rPr>
        <w:t>.</w:t>
      </w:r>
    </w:p>
    <w:p w14:paraId="5ED03F4A" w14:textId="6E5CEE09" w:rsidR="00961904" w:rsidRPr="003A48F6" w:rsidRDefault="006E2B24" w:rsidP="000514BD">
      <w:pPr>
        <w:spacing w:before="120" w:after="120" w:line="288" w:lineRule="auto"/>
        <w:ind w:firstLine="567"/>
        <w:jc w:val="both"/>
        <w:rPr>
          <w:szCs w:val="28"/>
          <w:shd w:val="clear" w:color="auto" w:fill="FFFFFF"/>
        </w:rPr>
      </w:pPr>
      <w:r>
        <w:rPr>
          <w:rStyle w:val="Bodytext3"/>
          <w:i w:val="0"/>
          <w:iCs w:val="0"/>
          <w:sz w:val="28"/>
          <w:szCs w:val="28"/>
          <w:lang w:eastAsia="vi-VN"/>
        </w:rPr>
        <w:t xml:space="preserve">Trên đây là </w:t>
      </w:r>
      <w:r w:rsidRPr="006E2B24">
        <w:rPr>
          <w:rStyle w:val="Bodytext3"/>
          <w:i w:val="0"/>
          <w:iCs w:val="0"/>
          <w:sz w:val="28"/>
          <w:szCs w:val="28"/>
          <w:lang w:eastAsia="vi-VN"/>
        </w:rPr>
        <w:t>Bản đánh giá thủ tục hành chính</w:t>
      </w:r>
      <w:r w:rsidR="003B3A77">
        <w:rPr>
          <w:rStyle w:val="Bodytext3"/>
          <w:i w:val="0"/>
          <w:iCs w:val="0"/>
          <w:sz w:val="28"/>
          <w:szCs w:val="28"/>
          <w:lang w:eastAsia="vi-VN"/>
        </w:rPr>
        <w:t>,</w:t>
      </w:r>
      <w:r w:rsidRPr="00722CCC">
        <w:rPr>
          <w:rStyle w:val="Bodytext3"/>
          <w:i w:val="0"/>
          <w:iCs w:val="0"/>
          <w:sz w:val="28"/>
          <w:szCs w:val="28"/>
          <w:lang w:eastAsia="vi-VN"/>
        </w:rPr>
        <w:t xml:space="preserve"> </w:t>
      </w:r>
      <w:r w:rsidR="00B71F72">
        <w:rPr>
          <w:szCs w:val="28"/>
        </w:rPr>
        <w:t xml:space="preserve">phân quyền, phân cấp, việc ứng dụng, thúc đẩy phát triển khoa học, công nghệ, đổi mới sáng tạo và chuyển đổi </w:t>
      </w:r>
      <w:r w:rsidR="00B71F72">
        <w:rPr>
          <w:szCs w:val="28"/>
        </w:rPr>
        <w:lastRenderedPageBreak/>
        <w:t>số, bảo đảm bình đẳng giới, việc thực hiện chính sách dân tộc</w:t>
      </w:r>
      <w:r w:rsidR="003B3A77" w:rsidRPr="003B3A77">
        <w:rPr>
          <w:rStyle w:val="Bodytext3"/>
          <w:i w:val="0"/>
          <w:iCs w:val="0"/>
          <w:sz w:val="28"/>
          <w:szCs w:val="28"/>
          <w:lang w:eastAsia="vi-VN"/>
        </w:rPr>
        <w:t xml:space="preserve"> trong dự</w:t>
      </w:r>
      <w:r w:rsidR="003B3A77">
        <w:rPr>
          <w:rStyle w:val="Bodytext3"/>
          <w:i w:val="0"/>
          <w:iCs w:val="0"/>
          <w:sz w:val="28"/>
          <w:szCs w:val="28"/>
          <w:lang w:eastAsia="vi-VN"/>
        </w:rPr>
        <w:t xml:space="preserve"> </w:t>
      </w:r>
      <w:r w:rsidR="00AB71E8">
        <w:rPr>
          <w:rStyle w:val="Bodytext3"/>
          <w:i w:val="0"/>
          <w:iCs w:val="0"/>
          <w:sz w:val="28"/>
          <w:szCs w:val="28"/>
          <w:lang w:eastAsia="vi-VN"/>
        </w:rPr>
        <w:t xml:space="preserve">thảo Nghị định </w:t>
      </w:r>
      <w:r w:rsidR="00AB71E8">
        <w:rPr>
          <w:szCs w:val="28"/>
        </w:rPr>
        <w:t>quy định điều kiện tài sản bảo đảm (TSBĐ) của khoản nợ xấu được thu giữ</w:t>
      </w:r>
      <w:r w:rsidRPr="0081439E">
        <w:rPr>
          <w:rStyle w:val="Bodytext3"/>
          <w:i w:val="0"/>
          <w:iCs w:val="0"/>
          <w:sz w:val="28"/>
          <w:szCs w:val="28"/>
          <w:lang w:eastAsia="vi-VN"/>
        </w:rPr>
        <w:t>./.</w:t>
      </w:r>
    </w:p>
    <w:sectPr w:rsidR="00961904" w:rsidRPr="003A48F6" w:rsidSect="00DC6062">
      <w:headerReference w:type="default" r:id="rId8"/>
      <w:pgSz w:w="11909" w:h="16834" w:code="9"/>
      <w:pgMar w:top="1134" w:right="1134" w:bottom="1134" w:left="1701" w:header="567" w:footer="56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03C63" w14:textId="77777777" w:rsidR="00632789" w:rsidRDefault="00632789">
      <w:r>
        <w:separator/>
      </w:r>
    </w:p>
  </w:endnote>
  <w:endnote w:type="continuationSeparator" w:id="0">
    <w:p w14:paraId="40B165D4" w14:textId="77777777" w:rsidR="00632789" w:rsidRDefault="0063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937C9" w14:textId="77777777" w:rsidR="00632789" w:rsidRDefault="00632789">
      <w:r>
        <w:separator/>
      </w:r>
    </w:p>
  </w:footnote>
  <w:footnote w:type="continuationSeparator" w:id="0">
    <w:p w14:paraId="6977D37E" w14:textId="77777777" w:rsidR="00632789" w:rsidRDefault="00632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9513" w14:textId="77777777" w:rsidR="009B49FD" w:rsidRDefault="009B49FD" w:rsidP="00A852D1">
    <w:pPr>
      <w:pStyle w:val="Header"/>
      <w:jc w:val="center"/>
    </w:pPr>
    <w:r>
      <w:fldChar w:fldCharType="begin"/>
    </w:r>
    <w:r>
      <w:instrText xml:space="preserve"> PAGE   \* MERGEFORMAT </w:instrText>
    </w:r>
    <w:r>
      <w:fldChar w:fldCharType="separate"/>
    </w:r>
    <w:r w:rsidR="0041765D">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C7374"/>
    <w:multiLevelType w:val="hybridMultilevel"/>
    <w:tmpl w:val="3CF04290"/>
    <w:lvl w:ilvl="0" w:tplc="2C6CB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004091"/>
    <w:multiLevelType w:val="hybridMultilevel"/>
    <w:tmpl w:val="BBCAABA0"/>
    <w:lvl w:ilvl="0" w:tplc="49E675C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78437BD5"/>
    <w:multiLevelType w:val="hybridMultilevel"/>
    <w:tmpl w:val="3AA65610"/>
    <w:lvl w:ilvl="0" w:tplc="CCE89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3A"/>
    <w:rsid w:val="0000342A"/>
    <w:rsid w:val="00003617"/>
    <w:rsid w:val="00013F28"/>
    <w:rsid w:val="000179D7"/>
    <w:rsid w:val="00020AB1"/>
    <w:rsid w:val="00021849"/>
    <w:rsid w:val="00023D0D"/>
    <w:rsid w:val="00032980"/>
    <w:rsid w:val="00043ED6"/>
    <w:rsid w:val="00046F90"/>
    <w:rsid w:val="00047072"/>
    <w:rsid w:val="000514BD"/>
    <w:rsid w:val="00061AB3"/>
    <w:rsid w:val="000726DD"/>
    <w:rsid w:val="00073194"/>
    <w:rsid w:val="000736BD"/>
    <w:rsid w:val="0007516B"/>
    <w:rsid w:val="00076548"/>
    <w:rsid w:val="00083A10"/>
    <w:rsid w:val="000853E5"/>
    <w:rsid w:val="00093C31"/>
    <w:rsid w:val="0009566A"/>
    <w:rsid w:val="000A01F4"/>
    <w:rsid w:val="000B5142"/>
    <w:rsid w:val="000B5269"/>
    <w:rsid w:val="000B5314"/>
    <w:rsid w:val="000D293D"/>
    <w:rsid w:val="000D4F99"/>
    <w:rsid w:val="000D5A17"/>
    <w:rsid w:val="000E608A"/>
    <w:rsid w:val="000F5692"/>
    <w:rsid w:val="000F59E6"/>
    <w:rsid w:val="000F75E4"/>
    <w:rsid w:val="000F7A1E"/>
    <w:rsid w:val="000F7E60"/>
    <w:rsid w:val="00100D68"/>
    <w:rsid w:val="001156C5"/>
    <w:rsid w:val="00115C78"/>
    <w:rsid w:val="00116AA9"/>
    <w:rsid w:val="00121A2C"/>
    <w:rsid w:val="001220DE"/>
    <w:rsid w:val="00122F02"/>
    <w:rsid w:val="00126442"/>
    <w:rsid w:val="00135051"/>
    <w:rsid w:val="00137D73"/>
    <w:rsid w:val="001429A2"/>
    <w:rsid w:val="00147F59"/>
    <w:rsid w:val="0015305B"/>
    <w:rsid w:val="00154CF2"/>
    <w:rsid w:val="00160D85"/>
    <w:rsid w:val="001627B2"/>
    <w:rsid w:val="00166B19"/>
    <w:rsid w:val="00167B76"/>
    <w:rsid w:val="0017088F"/>
    <w:rsid w:val="0018042D"/>
    <w:rsid w:val="00186E6B"/>
    <w:rsid w:val="00187CA4"/>
    <w:rsid w:val="00194EEF"/>
    <w:rsid w:val="001A13F9"/>
    <w:rsid w:val="001A43A5"/>
    <w:rsid w:val="001B0327"/>
    <w:rsid w:val="001B546C"/>
    <w:rsid w:val="001B79B8"/>
    <w:rsid w:val="001D7F78"/>
    <w:rsid w:val="001E3F9E"/>
    <w:rsid w:val="001E5E93"/>
    <w:rsid w:val="001E5EE2"/>
    <w:rsid w:val="001E6421"/>
    <w:rsid w:val="001F351C"/>
    <w:rsid w:val="001F5F2D"/>
    <w:rsid w:val="001F5F3B"/>
    <w:rsid w:val="001F74C9"/>
    <w:rsid w:val="00203D47"/>
    <w:rsid w:val="002065B5"/>
    <w:rsid w:val="0021464B"/>
    <w:rsid w:val="002172F6"/>
    <w:rsid w:val="00225A52"/>
    <w:rsid w:val="002278D5"/>
    <w:rsid w:val="00230F8C"/>
    <w:rsid w:val="00233921"/>
    <w:rsid w:val="002440DB"/>
    <w:rsid w:val="00244E4C"/>
    <w:rsid w:val="0025076C"/>
    <w:rsid w:val="002570D0"/>
    <w:rsid w:val="0025779B"/>
    <w:rsid w:val="00261DB6"/>
    <w:rsid w:val="00264071"/>
    <w:rsid w:val="002662E2"/>
    <w:rsid w:val="00266B2A"/>
    <w:rsid w:val="00277B4D"/>
    <w:rsid w:val="00283430"/>
    <w:rsid w:val="00290783"/>
    <w:rsid w:val="00297823"/>
    <w:rsid w:val="002A191E"/>
    <w:rsid w:val="002B1845"/>
    <w:rsid w:val="002B6B08"/>
    <w:rsid w:val="002C4CB6"/>
    <w:rsid w:val="002C77AA"/>
    <w:rsid w:val="002D641B"/>
    <w:rsid w:val="002E04EF"/>
    <w:rsid w:val="002E2EA9"/>
    <w:rsid w:val="002E38FA"/>
    <w:rsid w:val="002F7E37"/>
    <w:rsid w:val="00304BF6"/>
    <w:rsid w:val="00305A51"/>
    <w:rsid w:val="00320178"/>
    <w:rsid w:val="00324E0C"/>
    <w:rsid w:val="0032542A"/>
    <w:rsid w:val="003276E3"/>
    <w:rsid w:val="003345A3"/>
    <w:rsid w:val="00334B2E"/>
    <w:rsid w:val="00334DFB"/>
    <w:rsid w:val="00337AD7"/>
    <w:rsid w:val="0035539B"/>
    <w:rsid w:val="00355AF7"/>
    <w:rsid w:val="00357B1B"/>
    <w:rsid w:val="00360959"/>
    <w:rsid w:val="0036452D"/>
    <w:rsid w:val="00370624"/>
    <w:rsid w:val="00374834"/>
    <w:rsid w:val="0037718A"/>
    <w:rsid w:val="0038177B"/>
    <w:rsid w:val="0038760E"/>
    <w:rsid w:val="00387EF3"/>
    <w:rsid w:val="0039200B"/>
    <w:rsid w:val="00393204"/>
    <w:rsid w:val="00394DAD"/>
    <w:rsid w:val="003A48F6"/>
    <w:rsid w:val="003A600A"/>
    <w:rsid w:val="003B1307"/>
    <w:rsid w:val="003B3A77"/>
    <w:rsid w:val="003C265F"/>
    <w:rsid w:val="003D2B4B"/>
    <w:rsid w:val="003E279F"/>
    <w:rsid w:val="003E736C"/>
    <w:rsid w:val="003F05D4"/>
    <w:rsid w:val="003F09EC"/>
    <w:rsid w:val="003F626F"/>
    <w:rsid w:val="00401764"/>
    <w:rsid w:val="00403C82"/>
    <w:rsid w:val="004170AF"/>
    <w:rsid w:val="0041765D"/>
    <w:rsid w:val="00425629"/>
    <w:rsid w:val="00437E0C"/>
    <w:rsid w:val="00441A46"/>
    <w:rsid w:val="00441EC5"/>
    <w:rsid w:val="00444B41"/>
    <w:rsid w:val="00455D71"/>
    <w:rsid w:val="004611B6"/>
    <w:rsid w:val="00466E6A"/>
    <w:rsid w:val="00481B97"/>
    <w:rsid w:val="00483C9B"/>
    <w:rsid w:val="00487536"/>
    <w:rsid w:val="00490289"/>
    <w:rsid w:val="0049698A"/>
    <w:rsid w:val="004A16E8"/>
    <w:rsid w:val="004A421C"/>
    <w:rsid w:val="004A7DE5"/>
    <w:rsid w:val="004B249C"/>
    <w:rsid w:val="004C0D11"/>
    <w:rsid w:val="004D058C"/>
    <w:rsid w:val="004D5A3A"/>
    <w:rsid w:val="004E2288"/>
    <w:rsid w:val="004F00B4"/>
    <w:rsid w:val="004F25D3"/>
    <w:rsid w:val="004F5D9F"/>
    <w:rsid w:val="005003ED"/>
    <w:rsid w:val="00501E71"/>
    <w:rsid w:val="005028C8"/>
    <w:rsid w:val="00510344"/>
    <w:rsid w:val="00513046"/>
    <w:rsid w:val="005136A6"/>
    <w:rsid w:val="00520C75"/>
    <w:rsid w:val="00520F37"/>
    <w:rsid w:val="00520F91"/>
    <w:rsid w:val="00521671"/>
    <w:rsid w:val="00532A9B"/>
    <w:rsid w:val="005339A0"/>
    <w:rsid w:val="00535D68"/>
    <w:rsid w:val="00535DE5"/>
    <w:rsid w:val="00535F21"/>
    <w:rsid w:val="00536E5D"/>
    <w:rsid w:val="005448E1"/>
    <w:rsid w:val="00544FC9"/>
    <w:rsid w:val="00546819"/>
    <w:rsid w:val="00546A59"/>
    <w:rsid w:val="00561608"/>
    <w:rsid w:val="005625C8"/>
    <w:rsid w:val="005675B7"/>
    <w:rsid w:val="00567C2D"/>
    <w:rsid w:val="00570D53"/>
    <w:rsid w:val="005734DC"/>
    <w:rsid w:val="005758EE"/>
    <w:rsid w:val="00575B33"/>
    <w:rsid w:val="00575EBC"/>
    <w:rsid w:val="00582C76"/>
    <w:rsid w:val="0058722C"/>
    <w:rsid w:val="00591DB9"/>
    <w:rsid w:val="00594390"/>
    <w:rsid w:val="005A1FCD"/>
    <w:rsid w:val="005A2D89"/>
    <w:rsid w:val="005A37C8"/>
    <w:rsid w:val="005B29FE"/>
    <w:rsid w:val="005B53AE"/>
    <w:rsid w:val="005C0E8F"/>
    <w:rsid w:val="005C68C7"/>
    <w:rsid w:val="005C7A07"/>
    <w:rsid w:val="005D3756"/>
    <w:rsid w:val="005D546D"/>
    <w:rsid w:val="005E32A1"/>
    <w:rsid w:val="005F43A2"/>
    <w:rsid w:val="005F508F"/>
    <w:rsid w:val="005F7B9E"/>
    <w:rsid w:val="0061627F"/>
    <w:rsid w:val="0062473C"/>
    <w:rsid w:val="00624785"/>
    <w:rsid w:val="0063208C"/>
    <w:rsid w:val="00632789"/>
    <w:rsid w:val="00634A49"/>
    <w:rsid w:val="00642893"/>
    <w:rsid w:val="00650163"/>
    <w:rsid w:val="00653DDD"/>
    <w:rsid w:val="006554B3"/>
    <w:rsid w:val="00670947"/>
    <w:rsid w:val="00671FFA"/>
    <w:rsid w:val="00673FAE"/>
    <w:rsid w:val="006763F9"/>
    <w:rsid w:val="006868A1"/>
    <w:rsid w:val="00691806"/>
    <w:rsid w:val="00694A16"/>
    <w:rsid w:val="00695E66"/>
    <w:rsid w:val="006A2F42"/>
    <w:rsid w:val="006A7228"/>
    <w:rsid w:val="006A766A"/>
    <w:rsid w:val="006A7B14"/>
    <w:rsid w:val="006B2227"/>
    <w:rsid w:val="006C2297"/>
    <w:rsid w:val="006C2462"/>
    <w:rsid w:val="006C2A2F"/>
    <w:rsid w:val="006C6D2E"/>
    <w:rsid w:val="006C6D61"/>
    <w:rsid w:val="006D1193"/>
    <w:rsid w:val="006D38F6"/>
    <w:rsid w:val="006D765D"/>
    <w:rsid w:val="006E1495"/>
    <w:rsid w:val="006E28FA"/>
    <w:rsid w:val="006E2B24"/>
    <w:rsid w:val="006E4832"/>
    <w:rsid w:val="006F07B1"/>
    <w:rsid w:val="006F2B55"/>
    <w:rsid w:val="006F2DEA"/>
    <w:rsid w:val="006F46BE"/>
    <w:rsid w:val="006F576D"/>
    <w:rsid w:val="006F6CF4"/>
    <w:rsid w:val="00702CF3"/>
    <w:rsid w:val="00705C2F"/>
    <w:rsid w:val="00706107"/>
    <w:rsid w:val="00714636"/>
    <w:rsid w:val="00722CCC"/>
    <w:rsid w:val="00740A29"/>
    <w:rsid w:val="00744992"/>
    <w:rsid w:val="007521DC"/>
    <w:rsid w:val="00753AA5"/>
    <w:rsid w:val="0075656D"/>
    <w:rsid w:val="00761812"/>
    <w:rsid w:val="00766DDF"/>
    <w:rsid w:val="007714FE"/>
    <w:rsid w:val="007723C2"/>
    <w:rsid w:val="00777C8D"/>
    <w:rsid w:val="00781200"/>
    <w:rsid w:val="00782CFC"/>
    <w:rsid w:val="007849FF"/>
    <w:rsid w:val="00792F23"/>
    <w:rsid w:val="00794164"/>
    <w:rsid w:val="00795408"/>
    <w:rsid w:val="0079614C"/>
    <w:rsid w:val="00797FB4"/>
    <w:rsid w:val="007A26B0"/>
    <w:rsid w:val="007A715C"/>
    <w:rsid w:val="007B7710"/>
    <w:rsid w:val="007C7123"/>
    <w:rsid w:val="007C7C54"/>
    <w:rsid w:val="007D1744"/>
    <w:rsid w:val="007D28C7"/>
    <w:rsid w:val="007D2B3C"/>
    <w:rsid w:val="007E10B5"/>
    <w:rsid w:val="007E1601"/>
    <w:rsid w:val="007E34D3"/>
    <w:rsid w:val="007E36D5"/>
    <w:rsid w:val="007E6403"/>
    <w:rsid w:val="007E6B94"/>
    <w:rsid w:val="007F0CCA"/>
    <w:rsid w:val="007F37E4"/>
    <w:rsid w:val="007F3C83"/>
    <w:rsid w:val="007F5B9E"/>
    <w:rsid w:val="0080413E"/>
    <w:rsid w:val="00807007"/>
    <w:rsid w:val="00807C23"/>
    <w:rsid w:val="00810287"/>
    <w:rsid w:val="0081439E"/>
    <w:rsid w:val="00817261"/>
    <w:rsid w:val="00826313"/>
    <w:rsid w:val="008350B3"/>
    <w:rsid w:val="008424AA"/>
    <w:rsid w:val="008500BF"/>
    <w:rsid w:val="00850AF9"/>
    <w:rsid w:val="008528E3"/>
    <w:rsid w:val="00853908"/>
    <w:rsid w:val="00854E7E"/>
    <w:rsid w:val="00856127"/>
    <w:rsid w:val="00857CF0"/>
    <w:rsid w:val="00871A3D"/>
    <w:rsid w:val="008732A6"/>
    <w:rsid w:val="0088314F"/>
    <w:rsid w:val="00885690"/>
    <w:rsid w:val="0088654D"/>
    <w:rsid w:val="008923EA"/>
    <w:rsid w:val="00895F14"/>
    <w:rsid w:val="008A05AD"/>
    <w:rsid w:val="008B22E3"/>
    <w:rsid w:val="008B34F7"/>
    <w:rsid w:val="008B5992"/>
    <w:rsid w:val="008C5F51"/>
    <w:rsid w:val="008C7B82"/>
    <w:rsid w:val="008E2A04"/>
    <w:rsid w:val="008E500E"/>
    <w:rsid w:val="008F2A3F"/>
    <w:rsid w:val="008F5601"/>
    <w:rsid w:val="008F5A88"/>
    <w:rsid w:val="00900687"/>
    <w:rsid w:val="00900D7F"/>
    <w:rsid w:val="009060AB"/>
    <w:rsid w:val="00910BD3"/>
    <w:rsid w:val="00917426"/>
    <w:rsid w:val="009176FE"/>
    <w:rsid w:val="00925BC1"/>
    <w:rsid w:val="00930884"/>
    <w:rsid w:val="0093420C"/>
    <w:rsid w:val="009344A7"/>
    <w:rsid w:val="0094383A"/>
    <w:rsid w:val="00943B5A"/>
    <w:rsid w:val="009449D3"/>
    <w:rsid w:val="00946190"/>
    <w:rsid w:val="00947CEA"/>
    <w:rsid w:val="00961904"/>
    <w:rsid w:val="00962C00"/>
    <w:rsid w:val="00964D75"/>
    <w:rsid w:val="00977575"/>
    <w:rsid w:val="00986302"/>
    <w:rsid w:val="009916D7"/>
    <w:rsid w:val="009A5A95"/>
    <w:rsid w:val="009A5F25"/>
    <w:rsid w:val="009B1713"/>
    <w:rsid w:val="009B28EF"/>
    <w:rsid w:val="009B49FD"/>
    <w:rsid w:val="009B5EE5"/>
    <w:rsid w:val="009B7024"/>
    <w:rsid w:val="009B7D30"/>
    <w:rsid w:val="009C3503"/>
    <w:rsid w:val="009D1E5F"/>
    <w:rsid w:val="009E535A"/>
    <w:rsid w:val="009E5869"/>
    <w:rsid w:val="009F0474"/>
    <w:rsid w:val="009F153C"/>
    <w:rsid w:val="009F1C34"/>
    <w:rsid w:val="009F2348"/>
    <w:rsid w:val="009F642E"/>
    <w:rsid w:val="009F6BC5"/>
    <w:rsid w:val="00A05F0D"/>
    <w:rsid w:val="00A07677"/>
    <w:rsid w:val="00A110BC"/>
    <w:rsid w:val="00A1646B"/>
    <w:rsid w:val="00A21AEC"/>
    <w:rsid w:val="00A26FCC"/>
    <w:rsid w:val="00A30BE2"/>
    <w:rsid w:val="00A31EC2"/>
    <w:rsid w:val="00A33DE0"/>
    <w:rsid w:val="00A3690A"/>
    <w:rsid w:val="00A44869"/>
    <w:rsid w:val="00A45DE0"/>
    <w:rsid w:val="00A51BAA"/>
    <w:rsid w:val="00A52453"/>
    <w:rsid w:val="00A52A64"/>
    <w:rsid w:val="00A559D9"/>
    <w:rsid w:val="00A55C52"/>
    <w:rsid w:val="00A6215F"/>
    <w:rsid w:val="00A65423"/>
    <w:rsid w:val="00A7479B"/>
    <w:rsid w:val="00A852D1"/>
    <w:rsid w:val="00A90EB3"/>
    <w:rsid w:val="00A920F8"/>
    <w:rsid w:val="00A92C23"/>
    <w:rsid w:val="00AA1978"/>
    <w:rsid w:val="00AA332F"/>
    <w:rsid w:val="00AB4904"/>
    <w:rsid w:val="00AB71E8"/>
    <w:rsid w:val="00AE7E63"/>
    <w:rsid w:val="00AF1D64"/>
    <w:rsid w:val="00AF20A9"/>
    <w:rsid w:val="00AF4A7D"/>
    <w:rsid w:val="00B03AB6"/>
    <w:rsid w:val="00B0598B"/>
    <w:rsid w:val="00B153DC"/>
    <w:rsid w:val="00B16356"/>
    <w:rsid w:val="00B20DF0"/>
    <w:rsid w:val="00B27902"/>
    <w:rsid w:val="00B33FDC"/>
    <w:rsid w:val="00B36865"/>
    <w:rsid w:val="00B60062"/>
    <w:rsid w:val="00B623B8"/>
    <w:rsid w:val="00B66BAE"/>
    <w:rsid w:val="00B67272"/>
    <w:rsid w:val="00B67EF8"/>
    <w:rsid w:val="00B71F72"/>
    <w:rsid w:val="00B742CB"/>
    <w:rsid w:val="00B74FC9"/>
    <w:rsid w:val="00B8082E"/>
    <w:rsid w:val="00B86A85"/>
    <w:rsid w:val="00B92840"/>
    <w:rsid w:val="00B97E62"/>
    <w:rsid w:val="00BB0B46"/>
    <w:rsid w:val="00BB5994"/>
    <w:rsid w:val="00BB707C"/>
    <w:rsid w:val="00BC1005"/>
    <w:rsid w:val="00BC2C06"/>
    <w:rsid w:val="00BC4D9C"/>
    <w:rsid w:val="00BC6E5C"/>
    <w:rsid w:val="00BD40C4"/>
    <w:rsid w:val="00BD72D3"/>
    <w:rsid w:val="00BE1B90"/>
    <w:rsid w:val="00BF12EE"/>
    <w:rsid w:val="00BF2396"/>
    <w:rsid w:val="00C03299"/>
    <w:rsid w:val="00C147EA"/>
    <w:rsid w:val="00C14D90"/>
    <w:rsid w:val="00C1653C"/>
    <w:rsid w:val="00C219BF"/>
    <w:rsid w:val="00C22FF1"/>
    <w:rsid w:val="00C23731"/>
    <w:rsid w:val="00C23915"/>
    <w:rsid w:val="00C23D28"/>
    <w:rsid w:val="00C27B2D"/>
    <w:rsid w:val="00C31058"/>
    <w:rsid w:val="00C31DFE"/>
    <w:rsid w:val="00C34E3E"/>
    <w:rsid w:val="00C424BA"/>
    <w:rsid w:val="00C4281A"/>
    <w:rsid w:val="00C43491"/>
    <w:rsid w:val="00C44AC7"/>
    <w:rsid w:val="00C478C4"/>
    <w:rsid w:val="00C47B94"/>
    <w:rsid w:val="00C5703A"/>
    <w:rsid w:val="00C60289"/>
    <w:rsid w:val="00C60801"/>
    <w:rsid w:val="00C6229A"/>
    <w:rsid w:val="00C63ADB"/>
    <w:rsid w:val="00C723AF"/>
    <w:rsid w:val="00C80121"/>
    <w:rsid w:val="00C85DE3"/>
    <w:rsid w:val="00C87495"/>
    <w:rsid w:val="00C90B0B"/>
    <w:rsid w:val="00C9187E"/>
    <w:rsid w:val="00C91B88"/>
    <w:rsid w:val="00CA3AEA"/>
    <w:rsid w:val="00CA6CF0"/>
    <w:rsid w:val="00CB263B"/>
    <w:rsid w:val="00CB45B7"/>
    <w:rsid w:val="00CB7DBC"/>
    <w:rsid w:val="00CC2654"/>
    <w:rsid w:val="00CC686D"/>
    <w:rsid w:val="00CD21B1"/>
    <w:rsid w:val="00CD453B"/>
    <w:rsid w:val="00CE7E83"/>
    <w:rsid w:val="00CF2609"/>
    <w:rsid w:val="00CF37FE"/>
    <w:rsid w:val="00CF3805"/>
    <w:rsid w:val="00CF43F5"/>
    <w:rsid w:val="00D03538"/>
    <w:rsid w:val="00D16F60"/>
    <w:rsid w:val="00D227ED"/>
    <w:rsid w:val="00D24432"/>
    <w:rsid w:val="00D27F16"/>
    <w:rsid w:val="00D31E3B"/>
    <w:rsid w:val="00D31E5D"/>
    <w:rsid w:val="00D33C5D"/>
    <w:rsid w:val="00D34C94"/>
    <w:rsid w:val="00D34C98"/>
    <w:rsid w:val="00D35418"/>
    <w:rsid w:val="00D434E1"/>
    <w:rsid w:val="00D45915"/>
    <w:rsid w:val="00D57852"/>
    <w:rsid w:val="00D600B8"/>
    <w:rsid w:val="00D67CC6"/>
    <w:rsid w:val="00D7497F"/>
    <w:rsid w:val="00D74AEB"/>
    <w:rsid w:val="00D750D2"/>
    <w:rsid w:val="00D7595B"/>
    <w:rsid w:val="00D779B3"/>
    <w:rsid w:val="00D81AE0"/>
    <w:rsid w:val="00D85955"/>
    <w:rsid w:val="00D86CCE"/>
    <w:rsid w:val="00D95EC6"/>
    <w:rsid w:val="00DA05E1"/>
    <w:rsid w:val="00DA108B"/>
    <w:rsid w:val="00DA7CBA"/>
    <w:rsid w:val="00DB0EFD"/>
    <w:rsid w:val="00DB4834"/>
    <w:rsid w:val="00DB4938"/>
    <w:rsid w:val="00DB714F"/>
    <w:rsid w:val="00DC0075"/>
    <w:rsid w:val="00DC1D6C"/>
    <w:rsid w:val="00DC45C0"/>
    <w:rsid w:val="00DC6062"/>
    <w:rsid w:val="00DC701A"/>
    <w:rsid w:val="00DD0216"/>
    <w:rsid w:val="00DD27F1"/>
    <w:rsid w:val="00DD5656"/>
    <w:rsid w:val="00DE002A"/>
    <w:rsid w:val="00DE07DF"/>
    <w:rsid w:val="00DE1154"/>
    <w:rsid w:val="00DE6255"/>
    <w:rsid w:val="00DE7B51"/>
    <w:rsid w:val="00DF278E"/>
    <w:rsid w:val="00DF6429"/>
    <w:rsid w:val="00E01A90"/>
    <w:rsid w:val="00E02E6C"/>
    <w:rsid w:val="00E0625E"/>
    <w:rsid w:val="00E07B42"/>
    <w:rsid w:val="00E10A4D"/>
    <w:rsid w:val="00E10E7E"/>
    <w:rsid w:val="00E15B46"/>
    <w:rsid w:val="00E216A1"/>
    <w:rsid w:val="00E32055"/>
    <w:rsid w:val="00E37500"/>
    <w:rsid w:val="00E40D9C"/>
    <w:rsid w:val="00E43C7E"/>
    <w:rsid w:val="00E4707C"/>
    <w:rsid w:val="00E4759C"/>
    <w:rsid w:val="00E5673C"/>
    <w:rsid w:val="00E56C3D"/>
    <w:rsid w:val="00E60830"/>
    <w:rsid w:val="00E62491"/>
    <w:rsid w:val="00E64E64"/>
    <w:rsid w:val="00E64F77"/>
    <w:rsid w:val="00E66370"/>
    <w:rsid w:val="00E742D7"/>
    <w:rsid w:val="00E81884"/>
    <w:rsid w:val="00E839A4"/>
    <w:rsid w:val="00E855C9"/>
    <w:rsid w:val="00E91DF6"/>
    <w:rsid w:val="00E9445C"/>
    <w:rsid w:val="00E95D90"/>
    <w:rsid w:val="00E95FDF"/>
    <w:rsid w:val="00E96304"/>
    <w:rsid w:val="00EA2ACE"/>
    <w:rsid w:val="00EB4A31"/>
    <w:rsid w:val="00EB78C1"/>
    <w:rsid w:val="00EB7A3D"/>
    <w:rsid w:val="00EC18F6"/>
    <w:rsid w:val="00EC1F73"/>
    <w:rsid w:val="00EC3545"/>
    <w:rsid w:val="00EC3C69"/>
    <w:rsid w:val="00EC7328"/>
    <w:rsid w:val="00ED6C8B"/>
    <w:rsid w:val="00EE5E9C"/>
    <w:rsid w:val="00EE7AAA"/>
    <w:rsid w:val="00EF19EE"/>
    <w:rsid w:val="00EF399D"/>
    <w:rsid w:val="00EF7BB1"/>
    <w:rsid w:val="00F00C6E"/>
    <w:rsid w:val="00F06690"/>
    <w:rsid w:val="00F06B10"/>
    <w:rsid w:val="00F102ED"/>
    <w:rsid w:val="00F1106B"/>
    <w:rsid w:val="00F1397F"/>
    <w:rsid w:val="00F21667"/>
    <w:rsid w:val="00F21CD0"/>
    <w:rsid w:val="00F22C66"/>
    <w:rsid w:val="00F23D35"/>
    <w:rsid w:val="00F25B3F"/>
    <w:rsid w:val="00F27906"/>
    <w:rsid w:val="00F3074B"/>
    <w:rsid w:val="00F33C7A"/>
    <w:rsid w:val="00F4456B"/>
    <w:rsid w:val="00F5590D"/>
    <w:rsid w:val="00F564CE"/>
    <w:rsid w:val="00F73238"/>
    <w:rsid w:val="00F74D5A"/>
    <w:rsid w:val="00F74DC8"/>
    <w:rsid w:val="00F756F2"/>
    <w:rsid w:val="00F75CE5"/>
    <w:rsid w:val="00F82B25"/>
    <w:rsid w:val="00F84029"/>
    <w:rsid w:val="00F844A3"/>
    <w:rsid w:val="00F85934"/>
    <w:rsid w:val="00F906A7"/>
    <w:rsid w:val="00F90967"/>
    <w:rsid w:val="00F95B81"/>
    <w:rsid w:val="00F97E6B"/>
    <w:rsid w:val="00FA018A"/>
    <w:rsid w:val="00FA06D3"/>
    <w:rsid w:val="00FA3497"/>
    <w:rsid w:val="00FA3FF2"/>
    <w:rsid w:val="00FA5232"/>
    <w:rsid w:val="00FA561E"/>
    <w:rsid w:val="00FB2E32"/>
    <w:rsid w:val="00FC637B"/>
    <w:rsid w:val="00FC75FA"/>
    <w:rsid w:val="00FD17DB"/>
    <w:rsid w:val="00FE6CF1"/>
    <w:rsid w:val="00FE7F6E"/>
    <w:rsid w:val="00FF4DC4"/>
    <w:rsid w:val="00FF6D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EF6D2"/>
  <w15:chartTrackingRefBased/>
  <w15:docId w15:val="{A6AC2659-5AB6-3C42-B434-BA105919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B24"/>
    <w:pPr>
      <w:spacing w:after="200" w:line="276" w:lineRule="auto"/>
    </w:pPr>
    <w:rPr>
      <w:rFonts w:eastAsia="Calibri"/>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locked/>
    <w:rsid w:val="004D5A3A"/>
    <w:rPr>
      <w:spacing w:val="10"/>
      <w:sz w:val="25"/>
      <w:szCs w:val="25"/>
      <w:shd w:val="clear" w:color="auto" w:fill="FFFFFF"/>
      <w:lang w:bidi="ar-SA"/>
    </w:rPr>
  </w:style>
  <w:style w:type="character" w:customStyle="1" w:styleId="Bodytext135pt">
    <w:name w:val="Body text + 13.5 pt"/>
    <w:aliases w:val="Spacing 0 pt6"/>
    <w:rsid w:val="004D5A3A"/>
    <w:rPr>
      <w:rFonts w:cs="Times New Roman"/>
      <w:spacing w:val="0"/>
      <w:sz w:val="27"/>
      <w:szCs w:val="27"/>
      <w:shd w:val="clear" w:color="auto" w:fill="FFFFFF"/>
    </w:rPr>
  </w:style>
  <w:style w:type="paragraph" w:styleId="BodyText">
    <w:name w:val="Body Text"/>
    <w:basedOn w:val="Normal"/>
    <w:link w:val="BodyTextChar"/>
    <w:rsid w:val="004D5A3A"/>
    <w:pPr>
      <w:widowControl w:val="0"/>
      <w:shd w:val="clear" w:color="auto" w:fill="FFFFFF"/>
      <w:spacing w:before="60" w:after="360" w:line="240" w:lineRule="atLeast"/>
      <w:jc w:val="center"/>
    </w:pPr>
    <w:rPr>
      <w:rFonts w:eastAsia="Times New Roman"/>
      <w:spacing w:val="10"/>
      <w:sz w:val="25"/>
      <w:szCs w:val="25"/>
      <w:shd w:val="clear" w:color="auto" w:fill="FFFFFF"/>
      <w:lang w:val="vi-VN" w:eastAsia="vi-VN"/>
    </w:rPr>
  </w:style>
  <w:style w:type="character" w:customStyle="1" w:styleId="Bodytext3">
    <w:name w:val="Body text (3)_"/>
    <w:link w:val="Bodytext30"/>
    <w:locked/>
    <w:rsid w:val="004D5A3A"/>
    <w:rPr>
      <w:i/>
      <w:iCs/>
      <w:sz w:val="25"/>
      <w:szCs w:val="25"/>
      <w:shd w:val="clear" w:color="auto" w:fill="FFFFFF"/>
      <w:lang w:bidi="ar-SA"/>
    </w:rPr>
  </w:style>
  <w:style w:type="character" w:customStyle="1" w:styleId="Bodytext3NotItalic">
    <w:name w:val="Body text (3) + Not Italic"/>
    <w:aliases w:val="Spacing 0 pt"/>
    <w:rsid w:val="004D5A3A"/>
    <w:rPr>
      <w:rFonts w:cs="Times New Roman"/>
      <w:i w:val="0"/>
      <w:iCs w:val="0"/>
      <w:spacing w:val="10"/>
      <w:sz w:val="25"/>
      <w:szCs w:val="25"/>
      <w:shd w:val="clear" w:color="auto" w:fill="FFFFFF"/>
    </w:rPr>
  </w:style>
  <w:style w:type="paragraph" w:customStyle="1" w:styleId="Bodytext30">
    <w:name w:val="Body text (3)"/>
    <w:basedOn w:val="Normal"/>
    <w:link w:val="Bodytext3"/>
    <w:rsid w:val="004D5A3A"/>
    <w:pPr>
      <w:widowControl w:val="0"/>
      <w:shd w:val="clear" w:color="auto" w:fill="FFFFFF"/>
      <w:spacing w:before="360" w:after="60" w:line="240" w:lineRule="atLeast"/>
      <w:ind w:firstLine="620"/>
      <w:jc w:val="both"/>
    </w:pPr>
    <w:rPr>
      <w:rFonts w:eastAsia="Times New Roman"/>
      <w:i/>
      <w:iCs/>
      <w:sz w:val="25"/>
      <w:szCs w:val="25"/>
      <w:shd w:val="clear" w:color="auto" w:fill="FFFFFF"/>
      <w:lang w:val="vi-VN" w:eastAsia="vi-VN"/>
    </w:rPr>
  </w:style>
  <w:style w:type="paragraph" w:styleId="Header">
    <w:name w:val="header"/>
    <w:basedOn w:val="Normal"/>
    <w:link w:val="HeaderChar"/>
    <w:unhideWhenUsed/>
    <w:rsid w:val="004D5A3A"/>
    <w:pPr>
      <w:tabs>
        <w:tab w:val="center" w:pos="4680"/>
        <w:tab w:val="right" w:pos="9360"/>
      </w:tabs>
      <w:spacing w:after="0" w:line="240" w:lineRule="auto"/>
    </w:pPr>
  </w:style>
  <w:style w:type="character" w:customStyle="1" w:styleId="HeaderChar">
    <w:name w:val="Header Char"/>
    <w:link w:val="Header"/>
    <w:rsid w:val="004D5A3A"/>
    <w:rPr>
      <w:rFonts w:eastAsia="Calibri"/>
      <w:sz w:val="28"/>
      <w:szCs w:val="22"/>
      <w:lang w:val="en-US" w:eastAsia="en-US" w:bidi="ar-SA"/>
    </w:rPr>
  </w:style>
  <w:style w:type="paragraph" w:customStyle="1" w:styleId="n-dieund-p">
    <w:name w:val="n-dieund-p"/>
    <w:basedOn w:val="Normal"/>
    <w:rsid w:val="004D5A3A"/>
    <w:pPr>
      <w:spacing w:after="0" w:line="240" w:lineRule="auto"/>
      <w:jc w:val="both"/>
    </w:pPr>
    <w:rPr>
      <w:rFonts w:eastAsia="Times New Roman"/>
      <w:sz w:val="20"/>
      <w:szCs w:val="20"/>
    </w:rPr>
  </w:style>
  <w:style w:type="character" w:customStyle="1" w:styleId="normal-h1">
    <w:name w:val="normal-h1"/>
    <w:rsid w:val="004D5A3A"/>
    <w:rPr>
      <w:rFonts w:ascii="Times New Roman" w:hAnsi="Times New Roman"/>
      <w:sz w:val="28"/>
    </w:rPr>
  </w:style>
  <w:style w:type="character" w:styleId="Emphasis">
    <w:name w:val="Emphasis"/>
    <w:qFormat/>
    <w:rsid w:val="004D5A3A"/>
    <w:rPr>
      <w:i/>
      <w:iCs/>
    </w:rPr>
  </w:style>
  <w:style w:type="paragraph" w:styleId="FootnoteText">
    <w:name w:val="footnote text"/>
    <w:aliases w:val="Char Char Char Char Char Char,Char Char Char Char Char,Footnote Text Char Char Char Char Char,Footnote Text Char Char Char Char Char Char Ch Char,Footnote Text Char Char Char Char Char Char Ch Char Char Char,single space,fn,FOOTNOTE"/>
    <w:basedOn w:val="Normal"/>
    <w:link w:val="FootnoteTextChar"/>
    <w:uiPriority w:val="99"/>
    <w:unhideWhenUsed/>
    <w:qFormat/>
    <w:rsid w:val="004D5A3A"/>
    <w:pPr>
      <w:spacing w:after="0" w:line="240" w:lineRule="auto"/>
    </w:pPr>
    <w:rPr>
      <w:sz w:val="20"/>
      <w:szCs w:val="20"/>
    </w:rPr>
  </w:style>
  <w:style w:type="character" w:customStyle="1" w:styleId="FootnoteTextChar">
    <w:name w:val="Footnote Text Char"/>
    <w:aliases w:val="Char Char Char Char Char Char Char,Char Char Char Char Char Char1,Footnote Text Char Char Char Char Char Char,Footnote Text Char Char Char Char Char Char Ch Char Char,Footnote Text Char Char Char Char Char Char Ch Char Char Char Char"/>
    <w:link w:val="FootnoteText"/>
    <w:uiPriority w:val="99"/>
    <w:qFormat/>
    <w:rsid w:val="004D5A3A"/>
    <w:rPr>
      <w:rFonts w:eastAsia="Calibri"/>
      <w:lang w:val="en-US" w:eastAsia="en-US" w:bidi="ar-SA"/>
    </w:rPr>
  </w:style>
  <w:style w:type="character" w:styleId="FootnoteReference">
    <w:name w:val="footnote reference"/>
    <w:uiPriority w:val="99"/>
    <w:semiHidden/>
    <w:unhideWhenUsed/>
    <w:rsid w:val="004D5A3A"/>
    <w:rPr>
      <w:vertAlign w:val="superscript"/>
    </w:rPr>
  </w:style>
  <w:style w:type="paragraph" w:customStyle="1" w:styleId="a">
    <w:basedOn w:val="Normal"/>
    <w:semiHidden/>
    <w:rsid w:val="006B2227"/>
    <w:pPr>
      <w:spacing w:after="160" w:line="240" w:lineRule="exact"/>
    </w:pPr>
    <w:rPr>
      <w:rFonts w:ascii="Arial" w:eastAsia="Times New Roman" w:hAnsi="Arial"/>
      <w:sz w:val="22"/>
    </w:rPr>
  </w:style>
  <w:style w:type="paragraph" w:customStyle="1" w:styleId="Char">
    <w:name w:val="Char"/>
    <w:basedOn w:val="Normal"/>
    <w:semiHidden/>
    <w:rsid w:val="00DD27F1"/>
    <w:pPr>
      <w:spacing w:after="160" w:line="240" w:lineRule="exact"/>
    </w:pPr>
    <w:rPr>
      <w:rFonts w:ascii="Arial" w:eastAsia="Times New Roman" w:hAnsi="Arial"/>
      <w:sz w:val="22"/>
    </w:rPr>
  </w:style>
  <w:style w:type="paragraph" w:styleId="Footer">
    <w:name w:val="footer"/>
    <w:basedOn w:val="Normal"/>
    <w:rsid w:val="009E5869"/>
    <w:pPr>
      <w:tabs>
        <w:tab w:val="center" w:pos="4320"/>
        <w:tab w:val="right" w:pos="8640"/>
      </w:tabs>
    </w:pPr>
  </w:style>
  <w:style w:type="paragraph" w:styleId="BalloonText">
    <w:name w:val="Balloon Text"/>
    <w:basedOn w:val="Normal"/>
    <w:link w:val="BalloonTextChar"/>
    <w:rsid w:val="009F642E"/>
    <w:pPr>
      <w:spacing w:after="0" w:line="240" w:lineRule="auto"/>
    </w:pPr>
    <w:rPr>
      <w:rFonts w:ascii="Tahoma" w:hAnsi="Tahoma" w:cs="Tahoma"/>
      <w:sz w:val="16"/>
      <w:szCs w:val="16"/>
    </w:rPr>
  </w:style>
  <w:style w:type="character" w:customStyle="1" w:styleId="BalloonTextChar">
    <w:name w:val="Balloon Text Char"/>
    <w:link w:val="BalloonText"/>
    <w:rsid w:val="009F642E"/>
    <w:rPr>
      <w:rFonts w:ascii="Tahoma" w:eastAsia="Calibri" w:hAnsi="Tahoma" w:cs="Tahoma"/>
      <w:sz w:val="16"/>
      <w:szCs w:val="16"/>
    </w:rPr>
  </w:style>
  <w:style w:type="paragraph" w:styleId="NormalWeb">
    <w:name w:val="Normal (Web)"/>
    <w:basedOn w:val="Normal"/>
    <w:link w:val="NormalWebChar"/>
    <w:uiPriority w:val="99"/>
    <w:rsid w:val="00D95EC6"/>
    <w:pPr>
      <w:spacing w:before="100" w:beforeAutospacing="1" w:after="100" w:afterAutospacing="1" w:line="240" w:lineRule="auto"/>
    </w:pPr>
    <w:rPr>
      <w:rFonts w:eastAsia="Times New Roman"/>
      <w:sz w:val="24"/>
      <w:szCs w:val="24"/>
    </w:rPr>
  </w:style>
  <w:style w:type="character" w:customStyle="1" w:styleId="NormalWebChar">
    <w:name w:val="Normal (Web) Char"/>
    <w:link w:val="NormalWeb"/>
    <w:uiPriority w:val="99"/>
    <w:locked/>
    <w:rsid w:val="00D95EC6"/>
    <w:rPr>
      <w:sz w:val="24"/>
      <w:szCs w:val="24"/>
    </w:rPr>
  </w:style>
  <w:style w:type="paragraph" w:customStyle="1" w:styleId="iu">
    <w:name w:val="Điều"/>
    <w:basedOn w:val="Normal"/>
    <w:link w:val="iuChar"/>
    <w:qFormat/>
    <w:rsid w:val="00722CCC"/>
    <w:pPr>
      <w:spacing w:before="120" w:after="120" w:line="360" w:lineRule="exact"/>
      <w:ind w:firstLine="562"/>
      <w:jc w:val="both"/>
      <w:outlineLvl w:val="1"/>
    </w:pPr>
    <w:rPr>
      <w:b/>
      <w:szCs w:val="24"/>
      <w:lang w:val="nl-NL"/>
    </w:rPr>
  </w:style>
  <w:style w:type="character" w:customStyle="1" w:styleId="iuChar">
    <w:name w:val="Điều Char"/>
    <w:link w:val="iu"/>
    <w:rsid w:val="00722CCC"/>
    <w:rPr>
      <w:rFonts w:eastAsia="Calibri"/>
      <w:b/>
      <w:sz w:val="28"/>
      <w:szCs w:val="24"/>
      <w:lang w:val="nl-NL"/>
    </w:rPr>
  </w:style>
  <w:style w:type="paragraph" w:styleId="ListParagraph">
    <w:name w:val="List Paragraph"/>
    <w:basedOn w:val="Normal"/>
    <w:uiPriority w:val="34"/>
    <w:qFormat/>
    <w:rsid w:val="006E2B24"/>
    <w:pPr>
      <w:ind w:left="720"/>
      <w:contextualSpacing/>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0453">
      <w:bodyDiv w:val="1"/>
      <w:marLeft w:val="0"/>
      <w:marRight w:val="0"/>
      <w:marTop w:val="0"/>
      <w:marBottom w:val="0"/>
      <w:divBdr>
        <w:top w:val="none" w:sz="0" w:space="0" w:color="auto"/>
        <w:left w:val="none" w:sz="0" w:space="0" w:color="auto"/>
        <w:bottom w:val="none" w:sz="0" w:space="0" w:color="auto"/>
        <w:right w:val="none" w:sz="0" w:space="0" w:color="auto"/>
      </w:divBdr>
    </w:div>
    <w:div w:id="273370703">
      <w:bodyDiv w:val="1"/>
      <w:marLeft w:val="0"/>
      <w:marRight w:val="0"/>
      <w:marTop w:val="0"/>
      <w:marBottom w:val="0"/>
      <w:divBdr>
        <w:top w:val="none" w:sz="0" w:space="0" w:color="auto"/>
        <w:left w:val="none" w:sz="0" w:space="0" w:color="auto"/>
        <w:bottom w:val="none" w:sz="0" w:space="0" w:color="auto"/>
        <w:right w:val="none" w:sz="0" w:space="0" w:color="auto"/>
      </w:divBdr>
    </w:div>
    <w:div w:id="338822401">
      <w:bodyDiv w:val="1"/>
      <w:marLeft w:val="0"/>
      <w:marRight w:val="0"/>
      <w:marTop w:val="0"/>
      <w:marBottom w:val="0"/>
      <w:divBdr>
        <w:top w:val="none" w:sz="0" w:space="0" w:color="auto"/>
        <w:left w:val="none" w:sz="0" w:space="0" w:color="auto"/>
        <w:bottom w:val="none" w:sz="0" w:space="0" w:color="auto"/>
        <w:right w:val="none" w:sz="0" w:space="0" w:color="auto"/>
      </w:divBdr>
    </w:div>
    <w:div w:id="457379122">
      <w:bodyDiv w:val="1"/>
      <w:marLeft w:val="0"/>
      <w:marRight w:val="0"/>
      <w:marTop w:val="0"/>
      <w:marBottom w:val="0"/>
      <w:divBdr>
        <w:top w:val="none" w:sz="0" w:space="0" w:color="auto"/>
        <w:left w:val="none" w:sz="0" w:space="0" w:color="auto"/>
        <w:bottom w:val="none" w:sz="0" w:space="0" w:color="auto"/>
        <w:right w:val="none" w:sz="0" w:space="0" w:color="auto"/>
      </w:divBdr>
    </w:div>
    <w:div w:id="624771840">
      <w:bodyDiv w:val="1"/>
      <w:marLeft w:val="0"/>
      <w:marRight w:val="0"/>
      <w:marTop w:val="0"/>
      <w:marBottom w:val="0"/>
      <w:divBdr>
        <w:top w:val="none" w:sz="0" w:space="0" w:color="auto"/>
        <w:left w:val="none" w:sz="0" w:space="0" w:color="auto"/>
        <w:bottom w:val="none" w:sz="0" w:space="0" w:color="auto"/>
        <w:right w:val="none" w:sz="0" w:space="0" w:color="auto"/>
      </w:divBdr>
    </w:div>
    <w:div w:id="680275397">
      <w:bodyDiv w:val="1"/>
      <w:marLeft w:val="0"/>
      <w:marRight w:val="0"/>
      <w:marTop w:val="0"/>
      <w:marBottom w:val="0"/>
      <w:divBdr>
        <w:top w:val="none" w:sz="0" w:space="0" w:color="auto"/>
        <w:left w:val="none" w:sz="0" w:space="0" w:color="auto"/>
        <w:bottom w:val="none" w:sz="0" w:space="0" w:color="auto"/>
        <w:right w:val="none" w:sz="0" w:space="0" w:color="auto"/>
      </w:divBdr>
    </w:div>
    <w:div w:id="814494767">
      <w:bodyDiv w:val="1"/>
      <w:marLeft w:val="0"/>
      <w:marRight w:val="0"/>
      <w:marTop w:val="0"/>
      <w:marBottom w:val="0"/>
      <w:divBdr>
        <w:top w:val="none" w:sz="0" w:space="0" w:color="auto"/>
        <w:left w:val="none" w:sz="0" w:space="0" w:color="auto"/>
        <w:bottom w:val="none" w:sz="0" w:space="0" w:color="auto"/>
        <w:right w:val="none" w:sz="0" w:space="0" w:color="auto"/>
      </w:divBdr>
    </w:div>
    <w:div w:id="962659915">
      <w:bodyDiv w:val="1"/>
      <w:marLeft w:val="0"/>
      <w:marRight w:val="0"/>
      <w:marTop w:val="0"/>
      <w:marBottom w:val="0"/>
      <w:divBdr>
        <w:top w:val="none" w:sz="0" w:space="0" w:color="auto"/>
        <w:left w:val="none" w:sz="0" w:space="0" w:color="auto"/>
        <w:bottom w:val="none" w:sz="0" w:space="0" w:color="auto"/>
        <w:right w:val="none" w:sz="0" w:space="0" w:color="auto"/>
      </w:divBdr>
    </w:div>
    <w:div w:id="1109743348">
      <w:bodyDiv w:val="1"/>
      <w:marLeft w:val="0"/>
      <w:marRight w:val="0"/>
      <w:marTop w:val="0"/>
      <w:marBottom w:val="0"/>
      <w:divBdr>
        <w:top w:val="none" w:sz="0" w:space="0" w:color="auto"/>
        <w:left w:val="none" w:sz="0" w:space="0" w:color="auto"/>
        <w:bottom w:val="none" w:sz="0" w:space="0" w:color="auto"/>
        <w:right w:val="none" w:sz="0" w:space="0" w:color="auto"/>
      </w:divBdr>
    </w:div>
    <w:div w:id="1240867956">
      <w:bodyDiv w:val="1"/>
      <w:marLeft w:val="0"/>
      <w:marRight w:val="0"/>
      <w:marTop w:val="0"/>
      <w:marBottom w:val="0"/>
      <w:divBdr>
        <w:top w:val="none" w:sz="0" w:space="0" w:color="auto"/>
        <w:left w:val="none" w:sz="0" w:space="0" w:color="auto"/>
        <w:bottom w:val="none" w:sz="0" w:space="0" w:color="auto"/>
        <w:right w:val="none" w:sz="0" w:space="0" w:color="auto"/>
      </w:divBdr>
    </w:div>
    <w:div w:id="1255825249">
      <w:bodyDiv w:val="1"/>
      <w:marLeft w:val="0"/>
      <w:marRight w:val="0"/>
      <w:marTop w:val="0"/>
      <w:marBottom w:val="0"/>
      <w:divBdr>
        <w:top w:val="none" w:sz="0" w:space="0" w:color="auto"/>
        <w:left w:val="none" w:sz="0" w:space="0" w:color="auto"/>
        <w:bottom w:val="none" w:sz="0" w:space="0" w:color="auto"/>
        <w:right w:val="none" w:sz="0" w:space="0" w:color="auto"/>
      </w:divBdr>
    </w:div>
    <w:div w:id="1343892186">
      <w:bodyDiv w:val="1"/>
      <w:marLeft w:val="0"/>
      <w:marRight w:val="0"/>
      <w:marTop w:val="0"/>
      <w:marBottom w:val="0"/>
      <w:divBdr>
        <w:top w:val="none" w:sz="0" w:space="0" w:color="auto"/>
        <w:left w:val="none" w:sz="0" w:space="0" w:color="auto"/>
        <w:bottom w:val="none" w:sz="0" w:space="0" w:color="auto"/>
        <w:right w:val="none" w:sz="0" w:space="0" w:color="auto"/>
      </w:divBdr>
    </w:div>
    <w:div w:id="1770009224">
      <w:bodyDiv w:val="1"/>
      <w:marLeft w:val="0"/>
      <w:marRight w:val="0"/>
      <w:marTop w:val="0"/>
      <w:marBottom w:val="0"/>
      <w:divBdr>
        <w:top w:val="none" w:sz="0" w:space="0" w:color="auto"/>
        <w:left w:val="none" w:sz="0" w:space="0" w:color="auto"/>
        <w:bottom w:val="none" w:sz="0" w:space="0" w:color="auto"/>
        <w:right w:val="none" w:sz="0" w:space="0" w:color="auto"/>
      </w:divBdr>
    </w:div>
    <w:div w:id="1815173034">
      <w:bodyDiv w:val="1"/>
      <w:marLeft w:val="0"/>
      <w:marRight w:val="0"/>
      <w:marTop w:val="0"/>
      <w:marBottom w:val="0"/>
      <w:divBdr>
        <w:top w:val="none" w:sz="0" w:space="0" w:color="auto"/>
        <w:left w:val="none" w:sz="0" w:space="0" w:color="auto"/>
        <w:bottom w:val="none" w:sz="0" w:space="0" w:color="auto"/>
        <w:right w:val="none" w:sz="0" w:space="0" w:color="auto"/>
      </w:divBdr>
    </w:div>
    <w:div w:id="2050493760">
      <w:bodyDiv w:val="1"/>
      <w:marLeft w:val="0"/>
      <w:marRight w:val="0"/>
      <w:marTop w:val="0"/>
      <w:marBottom w:val="0"/>
      <w:divBdr>
        <w:top w:val="none" w:sz="0" w:space="0" w:color="auto"/>
        <w:left w:val="none" w:sz="0" w:space="0" w:color="auto"/>
        <w:bottom w:val="none" w:sz="0" w:space="0" w:color="auto"/>
        <w:right w:val="none" w:sz="0" w:space="0" w:color="auto"/>
      </w:divBdr>
    </w:div>
    <w:div w:id="21118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954A1-AE7A-4D32-8175-ADEAA3D3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BỘ CÔNG AN</vt:lpstr>
    </vt:vector>
  </TitlesOfParts>
  <Company>&lt;arabianhorse&gt;</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dc:title>
  <dc:subject/>
  <dc:creator>Dell</dc:creator>
  <cp:keywords/>
  <cp:lastModifiedBy>Le Thi Thu Thuy (TBNH)</cp:lastModifiedBy>
  <cp:revision>2</cp:revision>
  <cp:lastPrinted>2025-05-09T14:34:00Z</cp:lastPrinted>
  <dcterms:created xsi:type="dcterms:W3CDTF">2025-08-18T10:03:00Z</dcterms:created>
  <dcterms:modified xsi:type="dcterms:W3CDTF">2025-08-18T10:03:00Z</dcterms:modified>
</cp:coreProperties>
</file>