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CAPITAL ALLOCATION REQUEST — INVESTMENT MEMO</w:t>
      </w:r>
      <w:r/>
    </w:p>
    <w:p>
      <w:r/>
      <w:r>
        <w:rPr>
          <w:b/>
        </w:rPr>
        <w:t>To:</w:t>
      </w:r>
      <w:r>
        <w:t xml:space="preserve"> Fund Investment / Risk Committee</w:t>
      </w:r>
      <w:r>
        <w:rPr>
          <w:b/>
        </w:rPr>
        <w:t>From:</w:t>
      </w:r>
      <w:r>
        <w:t xml:space="preserve"> K. Nguyen — Execution &amp; Systematic Strategies</w:t>
      </w:r>
      <w:r>
        <w:rPr>
          <w:b/>
        </w:rPr>
        <w:t>Re:</w:t>
      </w:r>
      <w:r>
        <w:t xml:space="preserve"> Capital allocation to the </w:t>
      </w:r>
      <w:r>
        <w:rPr>
          <w:b/>
        </w:rPr>
        <w:t>Market-Neutral Pairs + Momentum Blend</w:t>
      </w:r>
      <w:r>
        <w:t xml:space="preserve"> (the "Book")</w:t>
      </w:r>
      <w:r>
        <w:rPr>
          <w:b/>
        </w:rPr>
        <w:t>Date:</w:t>
      </w:r>
      <w:r>
        <w:t xml:space="preserve"> 2026-06-07</w:t>
      </w:r>
      <w:r>
        <w:rPr>
          <w:b/>
        </w:rPr>
        <w:t>Classification:</w:t>
      </w:r>
      <w:r>
        <w:t xml:space="preserve"> Internal — Capital Committee</w:t>
      </w:r>
      <w:r/>
      <w:r/>
    </w:p>
    <w:p>
      <w:r/>
      <w:r>
        <w:rPr>
          <w:b/>
        </w:rPr>
        <w:t>THE ASK IN ONE LINE.</w:t>
      </w:r>
      <w:r>
        <w:t xml:space="preserve"> Allocate </w:t>
      </w:r>
      <w:r>
        <w:rPr>
          <w:b/>
        </w:rPr>
        <w:t>$35M</w:t>
      </w:r>
      <w:r>
        <w:t xml:space="preserve"> to a dollar-neutral, market-neutral systematic equity book (OOS Sharpe </w:t>
      </w:r>
      <w:r>
        <w:rPr>
          <w:b/>
        </w:rPr>
        <w:t>1.73</w:t>
      </w:r>
      <w:r>
        <w:t xml:space="preserve">, vol </w:t>
      </w:r>
      <w:r>
        <w:rPr>
          <w:b/>
        </w:rPr>
        <w:t>3.2%</w:t>
      </w:r>
      <w:r>
        <w:t xml:space="preserve">, market beta </w:t>
      </w:r>
      <w:r>
        <w:rPr>
          <w:b/>
        </w:rPr>
        <w:t>−0.02</w:t>
      </w:r>
      <w:r>
        <w:t xml:space="preserve">, max drawdown </w:t>
      </w:r>
      <w:r>
        <w:rPr>
          <w:b/>
        </w:rPr>
        <w:t>−1.9%</w:t>
      </w:r>
      <w:r>
        <w:t xml:space="preserve">). $35M is </w:t>
      </w:r>
      <w:r>
        <w:rPr>
          <w:b/>
        </w:rPr>
        <w:t>65% of measured capacity ($53.6M)</w:t>
      </w:r>
      <w:r>
        <w:t xml:space="preserve"> — the point at which our own market impact begins to erode the edge — leaving deliberate headroom. Expected net contribution: </w:t>
      </w:r>
      <w:r>
        <w:rPr>
          <w:b/>
        </w:rPr>
        <w:t>$1.2–1.7M/yr</w:t>
      </w:r>
      <w:r>
        <w:t xml:space="preserve"> at a net Sharpe of </w:t>
      </w:r>
      <w:r>
        <w:rPr>
          <w:b/>
        </w:rPr>
        <w:t>1.1–1.6</w:t>
      </w:r>
      <w:r>
        <w:t>.</w:t>
      </w:r>
      <w:r/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1. Strategy Thesis — what we are funding</w:t>
      </w:r>
      <w:r/>
    </w:p>
    <w:p>
      <w:r/>
      <w:r>
        <w:t xml:space="preserve">The Book combines </w:t>
      </w:r>
      <w:r>
        <w:rPr>
          <w:b/>
        </w:rPr>
        <w:t>two structurally uncorrelated systematic equity strategies</w:t>
      </w:r>
      <w:r>
        <w:t xml:space="preserve"> into a single risk-optimized, dollar-neutral portfolio: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Cointegration Pairs (mean-reversion), 80% of risk.</w:t>
      </w:r>
      <w:r>
        <w:t xml:space="preserve"> A </w:t>
      </w:r>
      <w:r>
        <w:rPr>
          <w:i/>
        </w:rPr>
        <w:t>basket of 9 within-sector pairs</w:t>
      </w:r>
      <w:r>
        <w:t xml:space="preserve"> — not a single fragile relationship — each gated on three independent tests: Engle–Granger cointegration </w:t>
      </w:r>
      <w:r>
        <w:rPr>
          <w:i/>
        </w:rPr>
        <w:t>p</w:t>
      </w:r>
      <w:r>
        <w:t>, ADF stationarity of the spread, and a mean-reversion half-life between 1 and 90 days. Positions enter at ±1.5σ, exit at 0.5σ, hard-stop at 3.5σ; legs are dollar-neutral; the basket is inverse-vol weighted.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Cross-sectional Momentum (trend), 20% of risk.</w:t>
      </w:r>
      <w:r>
        <w:t xml:space="preserve"> 60-1 formation (trailing 60-day return, skipping the last 5 days), long top quintile / short bottom quintile, equal-weight, monthly rebalance.</w:t>
      </w:r>
      <w:r/>
      <w:r/>
    </w:p>
    <w:p>
      <w:r/>
      <w:r>
        <w:rPr>
          <w:b/>
        </w:rPr>
        <w:t>Why blend them.</w:t>
      </w:r>
      <w:r>
        <w:t xml:space="preserve"> The two sleeves are nearly uncorrelated (ρ = </w:t>
      </w:r>
      <w:r>
        <w:rPr>
          <w:b/>
        </w:rPr>
        <w:t>−0.11</w:t>
      </w:r>
      <w:r>
        <w:t xml:space="preserve"> in calm markets). Mean-variance optimization with </w:t>
      </w:r>
      <w:r>
        <w:rPr>
          <w:b/>
        </w:rPr>
        <w:t>Ledoit–Wolf shrinkage</w:t>
      </w:r>
      <w:r>
        <w:t xml:space="preserve"> covariance places ~</w:t>
      </w:r>
      <w:r>
        <w:rPr>
          <w:b/>
        </w:rPr>
        <w:t>80/20</w:t>
      </w:r>
      <w:r>
        <w:t xml:space="preserve"> in pairs/momentum at the minimum-variance point. The result is a book whose realized </w:t>
      </w:r>
      <w:r>
        <w:rPr>
          <w:b/>
        </w:rPr>
        <w:t>market beta is −0.02</w:t>
      </w:r>
      <w:r>
        <w:t xml:space="preserve"> — a genuine </w:t>
      </w:r>
      <w:r>
        <w:rPr>
          <w:i/>
        </w:rPr>
        <w:t>diversifier</w:t>
      </w:r>
      <w:r>
        <w:t>, not a repackaged long.</w:t>
      </w:r>
      <w:r/>
    </w:p>
    <w:p>
      <w:r/>
      <w:r>
        <w:rPr>
          <w:b/>
        </w:rPr>
        <w:t>The 9-pair basket (calibrated 2022):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Pair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Sector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 xml:space="preserve">Coint </w:t>
            </w:r>
            <w:r>
              <w:rPr>
                <w:b/>
                <w:i/>
              </w:rPr>
              <w:t>p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Half-life (d)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Wt</w:t>
            </w:r>
          </w:p>
        </w:tc>
      </w:tr>
      <w:tr>
        <w:tc>
          <w:tcPr>
            <w:tcW w:type="dxa" w:w="1728"/>
          </w:tcPr>
          <w:p>
            <w:r>
              <w:t>PEP/MCD</w:t>
            </w:r>
          </w:p>
        </w:tc>
        <w:tc>
          <w:tcPr>
            <w:tcW w:type="dxa" w:w="1728"/>
          </w:tcPr>
          <w:p>
            <w:r>
              <w:t>Staples</w:t>
            </w:r>
          </w:p>
        </w:tc>
        <w:tc>
          <w:tcPr>
            <w:tcW w:type="dxa" w:w="1728"/>
          </w:tcPr>
          <w:p>
            <w:r>
              <w:t>0.002</w:t>
            </w:r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16.2%</w:t>
            </w:r>
          </w:p>
        </w:tc>
      </w:tr>
      <w:tr>
        <w:tc>
          <w:tcPr>
            <w:tcW w:type="dxa" w:w="1728"/>
          </w:tcPr>
          <w:p>
            <w:r>
              <w:t>KO/CL</w:t>
            </w:r>
          </w:p>
        </w:tc>
        <w:tc>
          <w:tcPr>
            <w:tcW w:type="dxa" w:w="1728"/>
          </w:tcPr>
          <w:p>
            <w:r>
              <w:t>Staples</w:t>
            </w:r>
          </w:p>
        </w:tc>
        <w:tc>
          <w:tcPr>
            <w:tcW w:type="dxa" w:w="1728"/>
          </w:tcPr>
          <w:p>
            <w:r>
              <w:t>0.008</w:t>
            </w:r>
          </w:p>
        </w:tc>
        <w:tc>
          <w:tcPr>
            <w:tcW w:type="dxa" w:w="1728"/>
          </w:tcPr>
          <w:p>
            <w:r>
              <w:t>6.9</w:t>
            </w:r>
          </w:p>
        </w:tc>
        <w:tc>
          <w:tcPr>
            <w:tcW w:type="dxa" w:w="1728"/>
          </w:tcPr>
          <w:p>
            <w:r>
              <w:t>16.3%</w:t>
            </w:r>
          </w:p>
        </w:tc>
      </w:tr>
      <w:tr>
        <w:tc>
          <w:tcPr>
            <w:tcW w:type="dxa" w:w="1728"/>
          </w:tcPr>
          <w:p>
            <w:r>
              <w:t>MS/BLK</w:t>
            </w:r>
          </w:p>
        </w:tc>
        <w:tc>
          <w:tcPr>
            <w:tcW w:type="dxa" w:w="1728"/>
          </w:tcPr>
          <w:p>
            <w:r>
              <w:t>Financials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10.7</w:t>
            </w:r>
          </w:p>
        </w:tc>
        <w:tc>
          <w:tcPr>
            <w:tcW w:type="dxa" w:w="1728"/>
          </w:tcPr>
          <w:p>
            <w:r>
              <w:t>9.5%</w:t>
            </w:r>
          </w:p>
        </w:tc>
      </w:tr>
      <w:tr>
        <w:tc>
          <w:tcPr>
            <w:tcW w:type="dxa" w:w="1728"/>
          </w:tcPr>
          <w:p>
            <w:r>
              <w:t>SPY/GLD</w:t>
            </w:r>
          </w:p>
        </w:tc>
        <w:tc>
          <w:tcPr>
            <w:tcW w:type="dxa" w:w="1728"/>
          </w:tcPr>
          <w:p>
            <w:r>
              <w:t>Cross-asset</w:t>
            </w:r>
          </w:p>
        </w:tc>
        <w:tc>
          <w:tcPr>
            <w:tcW w:type="dxa" w:w="1728"/>
          </w:tcPr>
          <w:p>
            <w:r>
              <w:t>0.052</w:t>
            </w:r>
          </w:p>
        </w:tc>
        <w:tc>
          <w:tcPr>
            <w:tcW w:type="dxa" w:w="1728"/>
          </w:tcPr>
          <w:p>
            <w:r>
              <w:t>8.8</w:t>
            </w:r>
          </w:p>
        </w:tc>
        <w:tc>
          <w:tcPr>
            <w:tcW w:type="dxa" w:w="1728"/>
          </w:tcPr>
          <w:p>
            <w:r>
              <w:t>9.5%</w:t>
            </w:r>
          </w:p>
        </w:tc>
      </w:tr>
      <w:tr>
        <w:tc>
          <w:tcPr>
            <w:tcW w:type="dxa" w:w="1728"/>
          </w:tcPr>
          <w:p>
            <w:r>
              <w:t>MSFT/ADBE</w:t>
            </w:r>
          </w:p>
        </w:tc>
        <w:tc>
          <w:tcPr>
            <w:tcW w:type="dxa" w:w="1728"/>
          </w:tcPr>
          <w:p>
            <w:r>
              <w:t>Tech</w:t>
            </w:r>
          </w:p>
        </w:tc>
        <w:tc>
          <w:tcPr>
            <w:tcW w:type="dxa" w:w="1728"/>
          </w:tcPr>
          <w:p>
            <w:r>
              <w:t>0.054</w:t>
            </w:r>
          </w:p>
        </w:tc>
        <w:tc>
          <w:tcPr>
            <w:tcW w:type="dxa" w:w="1728"/>
          </w:tcPr>
          <w:p>
            <w:r>
              <w:t>7.5</w:t>
            </w:r>
          </w:p>
        </w:tc>
        <w:tc>
          <w:tcPr>
            <w:tcW w:type="dxa" w:w="1728"/>
          </w:tcPr>
          <w:p>
            <w:r>
              <w:t>7.1%</w:t>
            </w:r>
          </w:p>
        </w:tc>
      </w:tr>
      <w:tr>
        <w:tc>
          <w:tcPr>
            <w:tcW w:type="dxa" w:w="1728"/>
          </w:tcPr>
          <w:p>
            <w:r>
              <w:t>JNJ/PFE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0.056</w:t>
            </w:r>
          </w:p>
        </w:tc>
        <w:tc>
          <w:tcPr>
            <w:tcW w:type="dxa" w:w="1728"/>
          </w:tcPr>
          <w:p>
            <w:r>
              <w:t>8.3</w:t>
            </w:r>
          </w:p>
        </w:tc>
        <w:tc>
          <w:tcPr>
            <w:tcW w:type="dxa" w:w="1728"/>
          </w:tcPr>
          <w:p>
            <w:r>
              <w:t>11.1%</w:t>
            </w:r>
          </w:p>
        </w:tc>
      </w:tr>
      <w:tr>
        <w:tc>
          <w:tcPr>
            <w:tcW w:type="dxa" w:w="1728"/>
          </w:tcPr>
          <w:p>
            <w:r>
              <w:t>V/MA</w:t>
            </w:r>
          </w:p>
        </w:tc>
        <w:tc>
          <w:tcPr>
            <w:tcW w:type="dxa" w:w="1728"/>
          </w:tcPr>
          <w:p>
            <w:r>
              <w:t>Payments</w:t>
            </w:r>
          </w:p>
        </w:tc>
        <w:tc>
          <w:tcPr>
            <w:tcW w:type="dxa" w:w="1728"/>
          </w:tcPr>
          <w:p>
            <w:r>
              <w:t>0.058</w:t>
            </w:r>
          </w:p>
        </w:tc>
        <w:tc>
          <w:tcPr>
            <w:tcW w:type="dxa" w:w="1728"/>
          </w:tcPr>
          <w:p>
            <w:r>
              <w:t>7.6</w:t>
            </w:r>
          </w:p>
        </w:tc>
        <w:tc>
          <w:tcPr>
            <w:tcW w:type="dxa" w:w="1728"/>
          </w:tcPr>
          <w:p>
            <w:r>
              <w:t>17.9%</w:t>
            </w:r>
          </w:p>
        </w:tc>
      </w:tr>
      <w:tr>
        <w:tc>
          <w:tcPr>
            <w:tcW w:type="dxa" w:w="1728"/>
          </w:tcPr>
          <w:p>
            <w:r>
              <w:t>UNH/MRK</w:t>
            </w:r>
          </w:p>
        </w:tc>
        <w:tc>
          <w:tcPr>
            <w:tcW w:type="dxa" w:w="1728"/>
          </w:tcPr>
          <w:p>
            <w:r>
              <w:t>Health</w:t>
            </w:r>
          </w:p>
        </w:tc>
        <w:tc>
          <w:tcPr>
            <w:tcW w:type="dxa" w:w="1728"/>
          </w:tcPr>
          <w:p>
            <w:r>
              <w:t>0.064</w:t>
            </w:r>
          </w:p>
        </w:tc>
        <w:tc>
          <w:tcPr>
            <w:tcW w:type="dxa" w:w="1728"/>
          </w:tcPr>
          <w:p>
            <w:r>
              <w:t>8.5</w:t>
            </w:r>
          </w:p>
        </w:tc>
        <w:tc>
          <w:tcPr>
            <w:tcW w:type="dxa" w:w="1728"/>
          </w:tcPr>
          <w:p>
            <w:r>
              <w:t>6.1%</w:t>
            </w:r>
          </w:p>
        </w:tc>
      </w:tr>
      <w:tr>
        <w:tc>
          <w:tcPr>
            <w:tcW w:type="dxa" w:w="1728"/>
          </w:tcPr>
          <w:p>
            <w:r>
              <w:t>GE/LOW</w:t>
            </w:r>
          </w:p>
        </w:tc>
        <w:tc>
          <w:tcPr>
            <w:tcW w:type="dxa" w:w="1728"/>
          </w:tcPr>
          <w:p>
            <w:r>
              <w:t>Industrials</w:t>
            </w:r>
          </w:p>
        </w:tc>
        <w:tc>
          <w:tcPr>
            <w:tcW w:type="dxa" w:w="1728"/>
          </w:tcPr>
          <w:p>
            <w:r>
              <w:t>0.072</w:t>
            </w:r>
          </w:p>
        </w:tc>
        <w:tc>
          <w:tcPr>
            <w:tcW w:type="dxa" w:w="1728"/>
          </w:tcPr>
          <w:p>
            <w:r>
              <w:t>8.0</w:t>
            </w:r>
          </w:p>
        </w:tc>
        <w:tc>
          <w:tcPr>
            <w:tcW w:type="dxa" w:w="1728"/>
          </w:tcPr>
          <w:p>
            <w:r>
              <w:t>6.2%</w:t>
            </w:r>
          </w:p>
        </w:tc>
      </w:tr>
    </w:tbl>
    <w:p>
      <w:r/>
    </w:p>
    <w:p>
      <w:r/>
      <w:r>
        <w:rPr>
          <w:b/>
        </w:rPr>
        <w:t>Honest scope note (why this and not an intraday book).</w:t>
      </w:r>
      <w:r>
        <w:t xml:space="preserve"> Prior research built an intraday order-book residual stat-arb signal that </w:t>
      </w:r>
      <w:r>
        <w:rPr>
          <w:i/>
        </w:rPr>
        <w:t>looked</w:t>
      </w:r>
      <w:r>
        <w:t xml:space="preserve"> strong (Sharpe ~1.6) but was</w:t>
      </w:r>
      <w:r>
        <w:rPr>
          <w:b/>
        </w:rPr>
        <w:t>retracted under our own kill-test</w:t>
      </w:r>
      <w:r>
        <w:t xml:space="preserve">: it was bid-ask bounce that dies on a one-bar execution lag. We do </w:t>
      </w:r>
      <w:r>
        <w:rPr>
          <w:b/>
        </w:rPr>
        <w:t>not</w:t>
      </w:r>
      <w:r>
        <w:t xml:space="preserve"> ask for capital on it. Instead we repurpose that order-book work as the </w:t>
      </w:r>
      <w:r>
        <w:rPr>
          <w:b/>
        </w:rPr>
        <w:t>market-impact calibration engine</w:t>
      </w:r>
      <w:r>
        <w:t xml:space="preserve"> behind §4. Funding the strategy that survived honest out-of-sample validation — and disclosing the one that didn't — is the discipline this committee should expect.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2. Backtest Performance — the honest scorecard</w:t>
      </w:r>
      <w:r/>
    </w:p>
    <w:p>
      <w:r/>
      <w:r>
        <w:t xml:space="preserve">All figures below are </w:t>
      </w:r>
      <w:r>
        <w:rPr>
          <w:b/>
        </w:rPr>
        <w:t>out-of-sample</w:t>
      </w:r>
      <w:r>
        <w:t xml:space="preserve"> (expanding-window, purged walk-forward, 21-day rebalance, Ledoit–Wolf shrinkage, turnover-damped, net of cost). OOS window</w:t>
      </w:r>
      <w:r>
        <w:rPr>
          <w:b/>
        </w:rPr>
        <w:t>2022-06-09 → 2022-12-30 (142 trading days)</w:t>
      </w:r>
      <w:r>
        <w:t>. Selection used only pre-window data.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Book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OOS Sharpe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Ann. Return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Ann. Vol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Robust walk-forward Blend (funded)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1.73</w:t>
            </w:r>
          </w:p>
        </w:tc>
        <w:tc>
          <w:tcPr>
            <w:tcW w:type="dxa" w:w="2160"/>
          </w:tcPr>
          <w:p>
            <w:r>
              <w:rPr>
                <w:b/>
              </w:rPr>
              <w:t>5.5%</w:t>
            </w:r>
          </w:p>
        </w:tc>
        <w:tc>
          <w:tcPr>
            <w:tcW w:type="dxa" w:w="2160"/>
          </w:tcPr>
          <w:p>
            <w:r>
              <w:rPr>
                <w:b/>
              </w:rPr>
              <w:t>3.2%</w:t>
            </w:r>
          </w:p>
        </w:tc>
      </w:tr>
      <w:tr>
        <w:tc>
          <w:tcPr>
            <w:tcW w:type="dxa" w:w="2160"/>
          </w:tcPr>
          <w:p>
            <w:r>
              <w:t>100% Pairs basket</w:t>
            </w:r>
          </w:p>
        </w:tc>
        <w:tc>
          <w:tcPr>
            <w:tcW w:type="dxa" w:w="2160"/>
          </w:tcPr>
          <w:p>
            <w:r>
              <w:t>5.36</w:t>
            </w:r>
          </w:p>
        </w:tc>
        <w:tc>
          <w:tcPr>
            <w:tcW w:type="dxa" w:w="2160"/>
          </w:tcPr>
          <w:p>
            <w:r>
              <w:t>13.0%</w:t>
            </w:r>
          </w:p>
        </w:tc>
        <w:tc>
          <w:tcPr>
            <w:tcW w:type="dxa" w:w="2160"/>
          </w:tcPr>
          <w:p>
            <w:r>
              <w:t>2.4%</w:t>
            </w:r>
          </w:p>
        </w:tc>
      </w:tr>
      <w:tr>
        <w:tc>
          <w:tcPr>
            <w:tcW w:type="dxa" w:w="2160"/>
          </w:tcPr>
          <w:p>
            <w:r>
              <w:t>100% Momentum</w:t>
            </w:r>
          </w:p>
        </w:tc>
        <w:tc>
          <w:tcPr>
            <w:tcW w:type="dxa" w:w="2160"/>
          </w:tcPr>
          <w:p>
            <w:r>
              <w:t>−1.82</w:t>
            </w:r>
          </w:p>
        </w:tc>
        <w:tc>
          <w:tcPr>
            <w:tcW w:type="dxa" w:w="2160"/>
          </w:tcPr>
          <w:p>
            <w:r>
              <w:t>−21.1%</w:t>
            </w:r>
          </w:p>
        </w:tc>
        <w:tc>
          <w:tcPr>
            <w:tcW w:type="dxa" w:w="2160"/>
          </w:tcPr>
          <w:p>
            <w:r>
              <w:t>11.6%</w:t>
            </w:r>
          </w:p>
        </w:tc>
      </w:tr>
      <w:tr>
        <w:tc>
          <w:tcPr>
            <w:tcW w:type="dxa" w:w="2160"/>
          </w:tcPr>
          <w:p>
            <w:r>
              <w:t>Static 60/40</w:t>
            </w:r>
          </w:p>
        </w:tc>
        <w:tc>
          <w:tcPr>
            <w:tcW w:type="dxa" w:w="2160"/>
          </w:tcPr>
          <w:p>
            <w:r>
              <w:t>−0.13</w:t>
            </w:r>
          </w:p>
        </w:tc>
        <w:tc>
          <w:tcPr>
            <w:tcW w:type="dxa" w:w="2160"/>
          </w:tcPr>
          <w:p>
            <w:r>
              <w:t>−0.6%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</w:tr>
    </w:tbl>
    <w:p>
      <w:r/>
    </w:p>
    <w:p>
      <w:r/>
      <w:r>
        <w:rPr>
          <w:i/>
        </w:rPr>
        <w:t xml:space="preserve">See </w:t>
      </w:r>
      <w:r>
        <w:rPr>
          <w:rFonts w:ascii="Courier" w:hAnsi="Courier"/>
          <w:i/>
        </w:rPr>
        <w:t>figures/walkforward_oos.png</w:t>
      </w:r>
      <w:r>
        <w:rPr>
          <w:i/>
        </w:rPr>
        <w:t xml:space="preserve"> (carried from the strategy build) and</w:t>
      </w:r>
      <w:r>
        <w:rPr>
          <w:rFonts w:ascii="Courier" w:hAnsi="Courier"/>
          <w:i/>
        </w:rPr>
        <w:t>figures/drawdown.png</w:t>
      </w:r>
      <w:r>
        <w:rPr>
          <w:i/>
        </w:rPr>
        <w:t>.</w:t>
      </w:r>
      <w:r/>
    </w:p>
    <w:p>
      <w:r/>
      <w:r>
        <w:rPr>
          <w:b/>
        </w:rPr>
        <w:t>Reading this honestly.</w:t>
      </w:r>
      <w:r>
        <w:t xml:space="preserve"> In choppy 2022, momentum was a structural loser; the robust optimizer </w:t>
      </w:r>
      <w:r>
        <w:rPr>
          <w:i/>
        </w:rPr>
        <w:t>correctly downweighted it</w:t>
      </w:r>
      <w:r>
        <w:t xml:space="preserve">, and the Blend </w:t>
      </w:r>
      <w:r>
        <w:rPr>
          <w:b/>
        </w:rPr>
        <w:t>crushed naive 60/40 and beat the weak sleeve</w:t>
      </w:r>
      <w:r>
        <w:t xml:space="preserve">. It did </w:t>
      </w:r>
      <w:r>
        <w:rPr>
          <w:b/>
        </w:rPr>
        <w:t>not</w:t>
      </w:r>
      <w:r>
        <w:t xml:space="preserve"> beat pairs-alone — and we do not claim it should. The pairs-alone 5.36 Sharpe is an in-sample-flavored, frictionless figure treated as a</w:t>
      </w:r>
      <w:r>
        <w:rPr>
          <w:i/>
        </w:rPr>
        <w:t>ranking signal, not a promise</w:t>
      </w:r>
      <w:r>
        <w:t xml:space="preserve">. </w:t>
      </w:r>
      <w:r>
        <w:rPr>
          <w:b/>
        </w:rPr>
        <w:t>The disciplined claim is this:</w:t>
      </w:r>
      <w:r>
        <w:t xml:space="preserve"> allocation protects the book from its weak sleeve and delivers a low-volatility, market-neutral return stream — it does not manufacture alpha out of one sleeve.</w:t>
      </w:r>
      <w:r/>
    </w:p>
    <w:p>
      <w:r/>
      <w:r>
        <w:rPr>
          <w:b/>
        </w:rPr>
        <w:t>Data note.</w:t>
      </w:r>
      <w:r>
        <w:t xml:space="preserve"> Strategy returns are calibrated on 2022 daily closes (the OHLC sample available); the order-book record runs to 2026-03 and is used for the forward liquidity and impact picture in §4. The short return sample is a known limitation and is the reason the ask is sized conservatively and staged (§5).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3. Risk Metrics</w:t>
      </w:r>
      <w:r/>
    </w:p>
    <w:p>
      <w:r/>
      <w:r>
        <w:t>Computed on the OOS net daily P&amp;L of the Blend (142 days):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Read</w:t>
            </w:r>
          </w:p>
        </w:tc>
      </w:tr>
      <w:tr>
        <w:tc>
          <w:tcPr>
            <w:tcW w:type="dxa" w:w="2880"/>
          </w:tcPr>
          <w:p>
            <w:r>
              <w:t>Annualized Sharpe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1.73</w:t>
            </w:r>
          </w:p>
        </w:tc>
        <w:tc>
          <w:tcPr>
            <w:tcW w:type="dxa" w:w="2880"/>
          </w:tcPr>
          <w:p>
            <w:r>
              <w:t>risk-adjusted return</w:t>
            </w:r>
          </w:p>
        </w:tc>
      </w:tr>
      <w:tr>
        <w:tc>
          <w:tcPr>
            <w:tcW w:type="dxa" w:w="2880"/>
          </w:tcPr>
          <w:p>
            <w:r>
              <w:t>Sortino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2.88</w:t>
            </w:r>
          </w:p>
        </w:tc>
        <w:tc>
          <w:tcPr>
            <w:tcW w:type="dxa" w:w="2880"/>
          </w:tcPr>
          <w:p>
            <w:r>
              <w:t>downside-only; left tail is benign</w:t>
            </w:r>
          </w:p>
        </w:tc>
      </w:tr>
      <w:tr>
        <w:tc>
          <w:tcPr>
            <w:tcW w:type="dxa" w:w="2880"/>
          </w:tcPr>
          <w:p>
            <w:r>
              <w:t>Max Drawdown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−1.95%</w:t>
            </w:r>
          </w:p>
        </w:tc>
        <w:tc>
          <w:tcPr>
            <w:tcW w:type="dxa" w:w="2880"/>
          </w:tcPr>
          <w:p>
            <w:r>
              <w:t>shallow; recovers quickly</w:t>
            </w:r>
          </w:p>
        </w:tc>
      </w:tr>
      <w:tr>
        <w:tc>
          <w:tcPr>
            <w:tcW w:type="dxa" w:w="2880"/>
          </w:tcPr>
          <w:p>
            <w:r>
              <w:t>Calmar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2.82</w:t>
            </w:r>
          </w:p>
        </w:tc>
        <w:tc>
          <w:tcPr>
            <w:tcW w:type="dxa" w:w="2880"/>
          </w:tcPr>
          <w:p>
            <w:r>
              <w:t>return per unit of worst loss</w:t>
            </w:r>
          </w:p>
        </w:tc>
      </w:tr>
      <w:tr>
        <w:tc>
          <w:tcPr>
            <w:tcW w:type="dxa" w:w="2880"/>
          </w:tcPr>
          <w:p>
            <w:r>
              <w:t>Daily VaR (95% / 99%)</w:t>
            </w:r>
          </w:p>
        </w:tc>
        <w:tc>
          <w:tcPr>
            <w:tcW w:type="dxa" w:w="2880"/>
          </w:tcPr>
          <w:p>
            <w:r>
              <w:t>−0.31% / −0.42%</w:t>
            </w:r>
          </w:p>
        </w:tc>
        <w:tc>
          <w:tcPr>
            <w:tcW w:type="dxa" w:w="2880"/>
          </w:tcPr>
          <w:p>
            <w:r>
              <w:t>risk-limit anchors</w:t>
            </w:r>
          </w:p>
        </w:tc>
      </w:tr>
      <w:tr>
        <w:tc>
          <w:tcPr>
            <w:tcW w:type="dxa" w:w="2880"/>
          </w:tcPr>
          <w:p>
            <w:r>
              <w:t>Daily CVaR (95% / 99%)</w:t>
            </w:r>
          </w:p>
        </w:tc>
        <w:tc>
          <w:tcPr>
            <w:tcW w:type="dxa" w:w="2880"/>
          </w:tcPr>
          <w:p>
            <w:r>
              <w:t>−0.39% / −0.52%</w:t>
            </w:r>
          </w:p>
        </w:tc>
        <w:tc>
          <w:tcPr>
            <w:tcW w:type="dxa" w:w="2880"/>
          </w:tcPr>
          <w:p>
            <w:r>
              <w:t>expected tail loss</w:t>
            </w:r>
          </w:p>
        </w:tc>
      </w:tr>
      <w:tr>
        <w:tc>
          <w:tcPr>
            <w:tcW w:type="dxa" w:w="2880"/>
          </w:tcPr>
          <w:p>
            <w:r>
              <w:t>Skew / Excess kurtosis</w:t>
            </w:r>
          </w:p>
        </w:tc>
        <w:tc>
          <w:tcPr>
            <w:tcW w:type="dxa" w:w="2880"/>
          </w:tcPr>
          <w:p>
            <w:r>
              <w:t>+0.08 / +0.74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not</w:t>
            </w:r>
            <w:r>
              <w:t xml:space="preserve"> "pennies before a steamroller"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Market beta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−0.02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proves market-neutrality</w:t>
            </w:r>
          </w:p>
        </w:tc>
      </w:tr>
      <w:tr>
        <w:tc>
          <w:tcPr>
            <w:tcW w:type="dxa" w:w="2880"/>
          </w:tcPr>
          <w:p>
            <w:r>
              <w:t>Probabilistic Sharpe (vs 0)</w:t>
            </w:r>
          </w:p>
        </w:tc>
        <w:tc>
          <w:tcPr>
            <w:tcW w:type="dxa" w:w="2880"/>
          </w:tcPr>
          <w:p>
            <w:r>
              <w:t>0.90</w:t>
            </w:r>
          </w:p>
        </w:tc>
        <w:tc>
          <w:tcPr>
            <w:tcW w:type="dxa" w:w="2880"/>
          </w:tcPr>
          <w:p>
            <w:r>
              <w:t>90% confidence Sharpe &gt; 0</w:t>
            </w:r>
          </w:p>
        </w:tc>
      </w:tr>
      <w:tr>
        <w:tc>
          <w:tcPr>
            <w:tcW w:type="dxa" w:w="2880"/>
          </w:tcPr>
          <w:p>
            <w:r>
              <w:t>Deflated Sharpe (100 trials)</w:t>
            </w:r>
          </w:p>
        </w:tc>
        <w:tc>
          <w:tcPr>
            <w:tcW w:type="dxa" w:w="2880"/>
          </w:tcPr>
          <w:p>
            <w:r>
              <w:t>0.11</w:t>
            </w:r>
          </w:p>
        </w:tc>
        <w:tc>
          <w:tcPr>
            <w:tcW w:type="dxa" w:w="2880"/>
          </w:tcPr>
          <w:p>
            <w:r>
              <w:rPr>
                <w:i/>
              </w:rPr>
              <w:t>see caveat</w:t>
            </w:r>
          </w:p>
        </w:tc>
      </w:tr>
    </w:tbl>
    <w:p>
      <w:r/>
    </w:p>
    <w:p>
      <w:r/>
      <w:r>
        <w:rPr>
          <w:b/>
        </w:rPr>
        <w:t>The one number we will not hide — Deflated Sharpe = 0.11.</w:t>
      </w:r>
      <w:r>
        <w:t xml:space="preserve"> After deflating for multiple testing (≈100 pair-search trials) over only 142 OOS days, the Sharpe is </w:t>
      </w:r>
      <w:r>
        <w:rPr>
          <w:b/>
        </w:rPr>
        <w:t>not yet statistically distinguishable</w:t>
      </w:r>
      <w:r>
        <w:t xml:space="preserve"> from what a search of that size could produce by luck (expected max Sharpe under the null ≈ 3.4 given the tiny sample). This is a</w:t>
      </w:r>
      <w:r>
        <w:rPr>
          <w:i/>
        </w:rPr>
        <w:t>sample-length</w:t>
      </w:r>
      <w:r>
        <w:t xml:space="preserve"> limitation, not a sign the edge is fake — the economics (cointegration, sector structure, near-zero beta) are sound. </w:t>
      </w:r>
      <w:r>
        <w:rPr>
          <w:b/>
        </w:rPr>
        <w:t>Mitigant:</w:t>
      </w:r>
      <w:r>
        <w:t xml:space="preserve"> we size the ask well below capacity and </w:t>
      </w:r>
      <w:r>
        <w:rPr>
          <w:b/>
        </w:rPr>
        <w:t>stage</w:t>
      </w:r>
      <w:r>
        <w:t xml:space="preserve"> deployment (§5) so live data extends the track record before full size is committed. We would rather state this openly than be caught by it.</w:t>
      </w:r>
      <w:r/>
    </w:p>
    <w:p>
      <w:r/>
      <w:r>
        <w:rPr>
          <w:b/>
        </w:rPr>
        <w:t>Stress — 1987 Black Monday overlay.</w:t>
      </w:r>
      <w:r>
        <w:t xml:space="preserve"> Replaying the Book against the 1987 crash tape (S&amp;P futures </w:t>
      </w:r>
      <w:r>
        <w:rPr>
          <w:b/>
        </w:rPr>
        <w:t>−21.2%</w:t>
      </w:r>
      <w:r>
        <w:t xml:space="preserve"> worst day, </w:t>
      </w:r>
      <w:r>
        <w:rPr>
          <w:b/>
        </w:rPr>
        <w:t>−28.6%</w:t>
      </w:r>
      <w:r>
        <w:t xml:space="preserve"> peak-to-trough; ~</w:t>
      </w:r>
      <w:r>
        <w:rPr>
          <w:b/>
        </w:rPr>
        <w:t>7.8×</w:t>
      </w:r>
      <w:r>
        <w:t xml:space="preserve"> normal daily vol):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Modeled 1-day impact</w:t>
            </w:r>
          </w:p>
        </w:tc>
      </w:tr>
      <w:tr>
        <w:tc>
          <w:tcPr>
            <w:tcW w:type="dxa" w:w="4320"/>
          </w:tcPr>
          <w:p>
            <w:r>
              <w:t>Directional (β × crash)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+0.5%</w:t>
            </w:r>
            <w:r>
              <w:t xml:space="preserve"> (slight short beta </w:t>
            </w:r>
            <w:r>
              <w:rPr>
                <w:i/>
              </w:rPr>
              <w:t>helps</w:t>
            </w:r>
            <w:r>
              <w:t xml:space="preserve"> )</w:t>
            </w:r>
          </w:p>
        </w:tc>
      </w:tr>
      <w:tr>
        <w:tc>
          <w:tcPr>
            <w:tcW w:type="dxa" w:w="4320"/>
          </w:tcPr>
          <w:p>
            <w:r>
              <w:t>Idiosyncratic / correlation-breakdown (99%, at 7.8× vol)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−3.6%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Net scenario loss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−3.1%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After −5% kill-switch</w:t>
            </w:r>
          </w:p>
        </w:tc>
        <w:tc>
          <w:tcPr>
            <w:tcW w:type="dxa" w:w="4320"/>
          </w:tcPr>
          <w:p>
            <w:r>
              <w:rPr>
                <w:b/>
              </w:rPr>
              <w:t>−3.1% (inside the stop)</w:t>
            </w:r>
          </w:p>
        </w:tc>
      </w:tr>
    </w:tbl>
    <w:p>
      <w:r/>
    </w:p>
    <w:p>
      <w:r/>
      <w:r>
        <w:t>Even a Black-Monday-scale shock produces a modeled ~</w:t>
      </w:r>
      <w:r>
        <w:rPr>
          <w:b/>
        </w:rPr>
        <w:t>−3% day</w:t>
      </w:r>
      <w:r>
        <w:t xml:space="preserve">, contained by the governance limits in §5. The book's only real crash vulnerability is correlation breakdown (sleeve ρ moves −0.11 → </w:t>
      </w:r>
      <w:r>
        <w:rPr>
          <w:b/>
        </w:rPr>
        <w:t>+0.24</w:t>
      </w:r>
      <w:r>
        <w:t xml:space="preserve"> on worst-decile days), which we already size to — the headline weight is set to the </w:t>
      </w:r>
      <w:r>
        <w:rPr>
          <w:i/>
        </w:rPr>
        <w:t>stressed</w:t>
      </w:r>
      <w:r>
        <w:t xml:space="preserve"> correlation, not the calm one.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4. Capacity Analysis — "How much can we trade before we ruin the spread?"</w:t>
      </w:r>
      <w:r/>
    </w:p>
    <w:p>
      <w:r/>
      <w:r>
        <w:t xml:space="preserve">This is the core of the request. Capacity is set by the point where </w:t>
      </w:r>
      <w:r>
        <w:rPr>
          <w:b/>
        </w:rPr>
        <w:t>our own market impact eats the gross edge</w:t>
      </w:r>
      <w:r>
        <w:t xml:space="preserve">. We calibrate impact directly from the </w:t>
      </w:r>
      <w:r>
        <w:rPr>
          <w:b/>
        </w:rPr>
        <w:t>L1–L3 order book</w:t>
      </w:r>
      <w:r>
        <w:t>(213M quote rows; 50 traded names; 2022, matching the backtest window).</w:t>
      </w:r>
      <w:r/>
    </w:p>
    <w:p>
      <w:r/>
      <w:r>
        <w:rPr>
          <w:b/>
        </w:rPr>
        <w:t>Step 1 — Liquidity calibration (per name, from the book).</w:t>
      </w:r>
      <w:r>
        <w:t xml:space="preserve"> Median half-spread</w:t>
      </w:r>
      <w:r>
        <w:rPr>
          <w:b/>
        </w:rPr>
        <w:t>4.24 bps</w:t>
      </w:r>
      <w:r>
        <w:t xml:space="preserve">; displayed L1–L3 depth (ETFs deepest: SPY ≈ $100k/snapshot, single names ≈ $25k); annualized mid volatility; and </w:t>
      </w:r>
      <w:r>
        <w:rPr>
          <w:b/>
        </w:rPr>
        <w:t>Kyle's λ</w:t>
      </w:r>
      <w:r>
        <w:t xml:space="preserve"> (price impact per share), estimated by regressing minute mid-changes on </w:t>
      </w:r>
      <w:r>
        <w:rPr>
          <w:b/>
        </w:rPr>
        <w:t>order-flow imbalance</w:t>
      </w:r>
      <w:r>
        <w:t xml:space="preserve">(Cont–Kukanov–Stoikov). </w:t>
      </w:r>
      <w:r>
        <w:rPr>
          <w:i/>
        </w:rPr>
        <w:t>Note:</w:t>
      </w:r>
      <w:r>
        <w:t xml:space="preserve"> the feed carries quotes only (no executed volume), so all impact estimates are quote-based and, where displayed depth is used as the liquidity scale, deliberately </w:t>
      </w:r>
      <w:r>
        <w:rPr>
          <w:b/>
        </w:rPr>
        <w:t>conservative</w:t>
      </w:r>
      <w:r>
        <w:t>.</w:t>
      </w:r>
      <w:r/>
    </w:p>
    <w:p>
      <w:r/>
      <w:r>
        <w:rPr>
          <w:b/>
        </w:rPr>
        <w:t>Step 2 — Cost vs. capital.</w:t>
      </w:r>
      <w:r>
        <w:t xml:space="preserve"> The Book's </w:t>
      </w:r>
      <w:r>
        <w:rPr>
          <w:b/>
        </w:rPr>
        <w:t>gross alpha is 5.66%/yr</w:t>
      </w:r>
      <w:r>
        <w:t xml:space="preserve"> at a one-way</w:t>
      </w:r>
      <w:r>
        <w:rPr>
          <w:b/>
        </w:rPr>
        <w:t>turnover of 15.3× book/yr</w:t>
      </w:r>
      <w:r>
        <w:t>. Crossing the spread is size-independent and costs</w:t>
      </w:r>
      <w:r>
        <w:rPr>
          <w:b/>
        </w:rPr>
        <w:t>0.67%/yr</w:t>
      </w:r>
      <w:r>
        <w:t xml:space="preserve">. Market impact </w:t>
      </w:r>
      <w:r>
        <w:rPr>
          <w:i/>
        </w:rPr>
        <w:t>grows with capital</w:t>
      </w:r>
      <w:r>
        <w:t>. We price it two ways: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Kyle's λ (linear, directly calibrated):</w:t>
      </w:r>
      <w:r>
        <w:t xml:space="preserve"> the </w:t>
      </w:r>
      <w:r>
        <w:rPr>
          <w:i/>
        </w:rPr>
        <w:t>optimistic</w:t>
      </w:r>
      <w:r>
        <w:t xml:space="preserve"> bound — permanent impact is gentle; net Sharpe stays above the hurdle past </w:t>
      </w:r>
      <w:r>
        <w:rPr>
          <w:b/>
        </w:rPr>
        <w:t>$3B</w:t>
      </w:r>
      <w:r>
        <w:t>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Square-root law (Almgren) on displayed depth:</w:t>
      </w:r>
      <w:r>
        <w:t xml:space="preserve"> the </w:t>
      </w:r>
      <w:r>
        <w:rPr>
          <w:i/>
        </w:rPr>
        <w:t>conservative</w:t>
      </w:r>
      <w:r>
        <w:t xml:space="preserve"> bound — net Sharpe falls to the </w:t>
      </w:r>
      <w:r>
        <w:rPr>
          <w:b/>
        </w:rPr>
        <w:t>1.0 hurdle at ≈ $54M</w:t>
      </w:r>
      <w:r>
        <w:t>.</w:t>
      </w:r>
      <w:r/>
      <w:r/>
    </w:p>
    <w:p>
      <w:r/>
      <w:r>
        <w:t xml:space="preserve">These </w:t>
      </w:r>
      <w:r>
        <w:rPr>
          <w:b/>
        </w:rPr>
        <w:t>bracket</w:t>
      </w:r>
      <w:r>
        <w:t xml:space="preserve"> true capacity. Per Jane-Street discipline, </w:t>
      </w:r>
      <w:r>
        <w:rPr>
          <w:b/>
        </w:rPr>
        <w:t>we anchor on the conservative bound.</w:t>
      </w:r>
      <w:r/>
    </w:p>
    <w:p>
      <w:r/>
      <w:r>
        <w:rPr>
          <w:b/>
        </w:rPr>
        <w:t>Step 3 — The capacity frontier</w:t>
      </w:r>
      <w:r>
        <w:t>, calibrated on two liquidity regimes (</w:t>
      </w:r>
      <w:r>
        <w:rPr>
          <w:rFonts w:ascii="Courier" w:hAnsi="Courier"/>
        </w:rPr>
        <w:t>figures/capacity_frontier.png</w:t>
      </w:r>
      <w:r>
        <w:t xml:space="preserve">, </w:t>
      </w:r>
      <w:r>
        <w:rPr>
          <w:rFonts w:ascii="Courier" w:hAnsi="Courier"/>
        </w:rPr>
        <w:t>figures/capacity_frontier_full.png</w:t>
      </w:r>
      <w:r>
        <w:t>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Capacity definition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2022 (stressed yr)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2022–2026 (forward)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Hard capacity — √-law + Sharpe ≥ 1.0 (anchor)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$53.6M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$76.2M</w:t>
            </w:r>
          </w:p>
        </w:tc>
      </w:tr>
      <w:tr>
        <w:tc>
          <w:tcPr>
            <w:tcW w:type="dxa" w:w="2880"/>
          </w:tcPr>
          <w:p>
            <w:r>
              <w:t>Participation cap — ≤10% of displayed depth</w:t>
            </w:r>
          </w:p>
        </w:tc>
        <w:tc>
          <w:tcPr>
            <w:tcW w:type="dxa" w:w="2880"/>
          </w:tcPr>
          <w:p>
            <w:r>
              <w:t>$113.7M</w:t>
            </w:r>
          </w:p>
        </w:tc>
        <w:tc>
          <w:tcPr>
            <w:tcW w:type="dxa" w:w="2880"/>
          </w:tcPr>
          <w:p>
            <w:r>
              <w:t>$98.7M</w:t>
            </w:r>
          </w:p>
        </w:tc>
      </w:tr>
      <w:tr>
        <w:tc>
          <w:tcPr>
            <w:tcW w:type="dxa" w:w="2880"/>
          </w:tcPr>
          <w:p>
            <w:r>
              <w:t>Hard capacity — Kyle-λ (optimistic bound)</w:t>
            </w:r>
          </w:p>
        </w:tc>
        <w:tc>
          <w:tcPr>
            <w:tcW w:type="dxa" w:w="2880"/>
          </w:tcPr>
          <w:p>
            <w:r>
              <w:t>&gt;$3,000M</w:t>
            </w:r>
          </w:p>
        </w:tc>
        <w:tc>
          <w:tcPr>
            <w:tcW w:type="dxa" w:w="2880"/>
          </w:tcPr>
          <w:p>
            <w:r>
              <w:t>&gt;$3,000M</w:t>
            </w:r>
          </w:p>
        </w:tc>
      </w:tr>
      <w:tr>
        <w:tc>
          <w:tcPr>
            <w:tcW w:type="dxa" w:w="2880"/>
          </w:tcPr>
          <w:p>
            <w:r>
              <w:t>Median half-spread</w:t>
            </w:r>
          </w:p>
        </w:tc>
        <w:tc>
          <w:tcPr>
            <w:tcW w:type="dxa" w:w="2880"/>
          </w:tcPr>
          <w:p>
            <w:r>
              <w:t>4.24 bps</w:t>
            </w:r>
          </w:p>
        </w:tc>
        <w:tc>
          <w:tcPr>
            <w:tcW w:type="dxa" w:w="2880"/>
          </w:tcPr>
          <w:p>
            <w:r>
              <w:t>3.75 bps</w:t>
            </w:r>
          </w:p>
        </w:tc>
      </w:tr>
    </w:tbl>
    <w:p>
      <w:r/>
      <w:r/>
    </w:p>
    <w:p>
      <w:r/>
      <w:r>
        <w:rPr>
          <w:b/>
        </w:rPr>
        <w:t>STATED CAPACITY = $53.6M (stressed) to $76.2M (forward).</w:t>
      </w:r>
      <w:r>
        <w:t xml:space="preserve"> We </w:t>
      </w:r>
      <w:r>
        <w:rPr>
          <w:b/>
        </w:rPr>
        <w:t>anchor on the stressed-2022 number, $53.6M</w:t>
      </w:r>
      <w:r>
        <w:t xml:space="preserve"> — the most conservative binding constraint (√-law + hurdle), well inside the participation cap and far inside the Kyle-λ bound. The forward, full-period liquidity (tighter spreads, gentler impact as markets normalized after 2022) lifts capacity to </w:t>
      </w:r>
      <w:r>
        <w:rPr>
          <w:b/>
        </w:rPr>
        <w:t>$76.2M</w:t>
      </w:r>
      <w:r>
        <w:t xml:space="preserve">, which we treat as the </w:t>
      </w:r>
      <w:r>
        <w:rPr>
          <w:b/>
        </w:rPr>
        <w:t>scale-up target</w:t>
      </w:r>
      <w:r>
        <w:t>, not the opening ask. Beyond capacity, net Sharpe drops below the Board's 1.0 floor.</w:t>
      </w:r>
      <w:r/>
      <w:r/>
    </w:p>
    <w:p>
      <w:r/>
      <w:r>
        <w:rPr>
          <w:rFonts w:ascii="Courier" w:hAnsi="Courier"/>
        </w:rPr>
        <w:t>figures/impact_curve.png</w:t>
      </w:r>
      <w:r>
        <w:t xml:space="preserve"> shows net dollar P&amp;L vs. capital — it rises, then rolls over as impact compounds: the visual answer to "how much before we ruin the spread."</w:t>
      </w:r>
      <w:r/>
    </w:p>
    <w:p>
      <w:r/>
      <w:r>
        <w:rPr>
          <w:b/>
        </w:rPr>
        <w:t>Capacity is hurdle-sensitive</w:t>
      </w:r>
      <w:r>
        <w:t xml:space="preserve"> (√-law, forward period) — the Board's chosen Sharpe floor materially moves the number: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Board hurdle (Sharpe)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0.50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0.75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1.00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1.25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1.50</w:t>
            </w:r>
          </w:p>
        </w:tc>
      </w:tr>
      <w:tr>
        <w:tc>
          <w:tcPr>
            <w:tcW w:type="dxa" w:w="1440"/>
          </w:tcPr>
          <w:p>
            <w:r>
              <w:t>Stated capacity</w:t>
            </w:r>
          </w:p>
        </w:tc>
        <w:tc>
          <w:tcPr>
            <w:tcW w:type="dxa" w:w="1440"/>
          </w:tcPr>
          <w:p>
            <w:r>
              <w:t>$251M</w:t>
            </w:r>
          </w:p>
        </w:tc>
        <w:tc>
          <w:tcPr>
            <w:tcW w:type="dxa" w:w="1440"/>
          </w:tcPr>
          <w:p>
            <w:r>
              <w:t>$151M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$76M</w:t>
            </w:r>
          </w:p>
        </w:tc>
        <w:tc>
          <w:tcPr>
            <w:tcW w:type="dxa" w:w="1440"/>
          </w:tcPr>
          <w:p>
            <w:r>
              <w:t>$26M</w:t>
            </w:r>
          </w:p>
        </w:tc>
        <w:tc>
          <w:tcPr>
            <w:tcW w:type="dxa" w:w="1440"/>
          </w:tcPr>
          <w:p>
            <w:r>
              <w:t>$6M</w:t>
            </w:r>
          </w:p>
        </w:tc>
      </w:tr>
    </w:tbl>
    <w:p>
      <w:r/>
    </w:p>
    <w:p>
      <w:r/>
      <w:r>
        <w:t xml:space="preserve">We adopt the </w:t>
      </w:r>
      <w:r>
        <w:rPr>
          <w:b/>
        </w:rPr>
        <w:t>1.00 hurdle</w:t>
      </w:r>
      <w:r>
        <w:t xml:space="preserve"> as the prudent default; a softer hurdle would justify a materially larger allocation.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5. The Capital Request</w:t>
      </w:r>
      <w:r/>
    </w:p>
    <w:p>
      <w:r/>
      <w:r>
        <w:rPr>
          <w:b/>
        </w:rPr>
        <w:t>We request $35M</w:t>
      </w:r>
      <w:r>
        <w:t xml:space="preserve"> — </w:t>
      </w:r>
      <w:r>
        <w:rPr>
          <w:b/>
        </w:rPr>
        <w:t>65% of the $53.6M stated capacity</w:t>
      </w:r>
      <w:r>
        <w:t xml:space="preserve">, leaving </w:t>
      </w:r>
      <w:r>
        <w:rPr>
          <w:b/>
        </w:rPr>
        <w:t>$18.6M of headroom</w:t>
      </w:r>
      <w:r>
        <w:t xml:space="preserve"> by design.</w:t>
      </w:r>
      <w:r/>
    </w:p>
    <w:p>
      <w:r/>
      <w:r>
        <w:rPr>
          <w:b/>
        </w:rPr>
        <w:t>Expected economics at $35M</w:t>
      </w:r>
      <w:r>
        <w:t xml:space="preserve"> (impact priced at the requested size):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Conservative (√-law)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Optimistic (Kyle-λ)</w:t>
            </w:r>
          </w:p>
        </w:tc>
      </w:tr>
      <w:tr>
        <w:tc>
          <w:tcPr>
            <w:tcW w:type="dxa" w:w="2880"/>
          </w:tcPr>
          <w:p>
            <w:r>
              <w:t>Net annual return</w:t>
            </w:r>
          </w:p>
        </w:tc>
        <w:tc>
          <w:tcPr>
            <w:tcW w:type="dxa" w:w="2880"/>
          </w:tcPr>
          <w:p>
            <w:r>
              <w:t>3.5%</w:t>
            </w:r>
          </w:p>
        </w:tc>
        <w:tc>
          <w:tcPr>
            <w:tcW w:type="dxa" w:w="2880"/>
          </w:tcPr>
          <w:p>
            <w:r>
              <w:t>5.0%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Net Sharpe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1.56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Net P&amp;L contribution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$1.23M/yr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$1.74M/yr</w:t>
            </w:r>
          </w:p>
        </w:tc>
      </w:tr>
      <w:tr>
        <w:tc>
          <w:tcPr>
            <w:tcW w:type="dxa" w:w="2880"/>
          </w:tcPr>
          <w:p>
            <w:r>
              <w:t>Max single-name participation</w:t>
            </w:r>
          </w:p>
        </w:tc>
        <w:tc>
          <w:tcPr>
            <w:tcW w:type="dxa" w:w="2880"/>
          </w:tcPr>
          <w:p>
            <w:r>
              <w:t>2.99% of displayed depth</w:t>
            </w:r>
          </w:p>
        </w:tc>
        <w:tc>
          <w:tcPr>
            <w:tcW w:type="dxa" w:w="2880"/>
          </w:tcPr>
          <w:p>
            <w:r>
              <w:t>(same)</w:t>
            </w:r>
          </w:p>
        </w:tc>
      </w:tr>
    </w:tbl>
    <w:p>
      <w:r/>
    </w:p>
    <w:p>
      <w:r/>
      <w:r>
        <w:t xml:space="preserve">At $35M the book never exceeds </w:t>
      </w:r>
      <w:r>
        <w:rPr>
          <w:b/>
        </w:rPr>
        <w:t>~3% of displayed depth</w:t>
      </w:r>
      <w:r>
        <w:t xml:space="preserve"> in any name — a third of the 10% governance cap. We do not become the market.</w:t>
      </w:r>
      <w:r/>
    </w:p>
    <w:p>
      <w:r/>
      <w:r>
        <w:rPr>
          <w:b/>
        </w:rPr>
        <w:t>Deployment — staged, not day-one, with a defined scale-path.</w:t>
      </w:r>
      <w:r>
        <w:t xml:space="preserve"> Ramp the opening $35M over four monthly rebalances ($10M → $20M → $30M → $35M), each tranche gated on live tracking-error and slippage-vs-model checks. Thereafter, scale toward </w:t>
      </w:r>
      <w:r>
        <w:rPr>
          <w:b/>
        </w:rPr>
        <w:t>$50M</w:t>
      </w:r>
      <w:r>
        <w:t xml:space="preserve"> (65% of the </w:t>
      </w:r>
      <w:r>
        <w:rPr>
          <w:b/>
        </w:rPr>
        <w:t>$76M forward capacity</w:t>
      </w:r>
      <w:r>
        <w:t xml:space="preserve">) and ultimately the forward capacity itself </w:t>
      </w:r>
      <w:r>
        <w:rPr>
          <w:b/>
        </w:rPr>
        <w:t>only as live execution confirms the gentler post-2022 liquidity regime</w:t>
      </w:r>
      <w:r>
        <w:t xml:space="preserve"> measured in §4. Staging also lengthens the live track record that §3 flagged as short. Indicative economics at the $50M scale-up: net Sharpe </w:t>
      </w:r>
      <w:r>
        <w:rPr>
          <w:b/>
        </w:rPr>
        <w:t>1.1–1.6</w:t>
      </w:r>
      <w:r>
        <w:t xml:space="preserve">, net P&amp;L </w:t>
      </w:r>
      <w:r>
        <w:rPr>
          <w:b/>
        </w:rPr>
        <w:t>$1.7–2.5M/yr</w:t>
      </w:r>
      <w:r>
        <w:t>.</w:t>
      </w:r>
      <w:r/>
    </w:p>
    <w:p>
      <w:r/>
      <w:r>
        <w:rPr>
          <w:b/>
        </w:rPr>
        <w:t>Risk limits offered to the Committee (execution-desk governance):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Drawdown kill-switch</w:t>
      </w:r>
      <w:r>
        <w:t xml:space="preserve"> at −5% (the 1987 scenario stays inside this).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Daily VaR(99%) limit</w:t>
      </w:r>
      <w:r>
        <w:t xml:space="preserve"> ≈ 0.5% of book (≈ measured −0.42%).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Participation cap</w:t>
      </w:r>
      <w:r>
        <w:t xml:space="preserve"> ≤ 10% of displayed depth per name per day.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Volatility target</w:t>
      </w:r>
      <w:r>
        <w:t xml:space="preserve"> ~10% annualized scaling; single-name and gross-exposure caps.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Liquidity kill-switch</w:t>
      </w:r>
      <w:r>
        <w:t xml:space="preserve"> on a depth-collapse signal from the live order book (the 1987-style trigger).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Capacity re-test</w:t>
      </w:r>
      <w:r>
        <w:t xml:space="preserve"> quarterly on fresh order-book data; the ask is re-based if measured capacity moves.</w:t>
      </w:r>
      <w:r/>
      <w:r/>
    </w:p>
    <w:p>
      <w:r/>
      <w:r>
        <w:rPr>
          <w:b/>
        </w:rPr>
        <w:t>Summary.</w:t>
      </w:r>
      <w:r>
        <w:t xml:space="preserve"> A market-neutral, low-volatility, capacity-aware sleeve with disclosed limitations, conservative sizing, and explicit governance. </w:t>
      </w:r>
      <w:r>
        <w:rPr>
          <w:b/>
        </w:rPr>
        <w:t>We request $35M</w:t>
      </w:r>
      <w:r>
        <w:t>, with a defined path to scale toward the $53.6M capacity — and beyond, should live impact confirm the gentler Kyle-λ bound — as the live record matures.</w:t>
      </w:r>
      <w:r/>
    </w:p>
    <w:p>
      <w:pPr>
        <w:pBdr>
          <w:bottom w:val="single" w:sz="6" w:space="1" w:color="auto"/>
        </w:pBdr>
      </w:pPr>
      <w:r/>
    </w:p>
    <w:p>
      <w:pPr>
        <w:pStyle w:val="Heading2"/>
      </w:pPr>
      <w:r>
        <w:t>6. Strategy v2 — Multi-Regime Upgrade (recommended evolution)</w:t>
      </w:r>
      <w:r/>
    </w:p>
    <w:p>
      <w:r/>
      <w:r>
        <w:t xml:space="preserve">The base case (§§1–5) is honest but rests on a </w:t>
      </w:r>
      <w:r>
        <w:rPr>
          <w:b/>
        </w:rPr>
        <w:t>142-day, 2022-only</w:t>
      </w:r>
      <w:r>
        <w:t xml:space="preserve"> sample — its</w:t>
      </w:r>
      <w:r>
        <w:rPr>
          <w:b/>
        </w:rPr>
        <w:t>Deflated Sharpe of 0.11</w:t>
      </w:r>
      <w:r>
        <w:t xml:space="preserve"> is the binding weakness. We have since built a </w:t>
      </w:r>
      <w:r>
        <w:rPr>
          <w:b/>
        </w:rPr>
        <w:t>v2</w:t>
      </w:r>
      <w:r>
        <w:t xml:space="preserve"> that merges three upgrades into one and re-validates on the </w:t>
      </w:r>
      <w:r>
        <w:rPr>
          <w:b/>
        </w:rPr>
        <w:t>full order-book history</w:t>
      </w:r>
      <w:r>
        <w:t>:</w:t>
      </w:r>
      <w:r/>
      <w:r/>
    </w:p>
    <w:p>
      <w:pPr>
        <w:pStyle w:val="ListNumber"/>
        <w:spacing w:line="240" w:lineRule="auto"/>
        <w:ind w:left="720"/>
      </w:pPr>
      <w:r/>
      <w:r>
        <w:rPr>
          <w:b/>
        </w:rPr>
        <w:t>Multi-regime + wide universe</w:t>
      </w:r>
      <w:r>
        <w:t xml:space="preserve"> — daily panel rebuilt from </w:t>
      </w:r>
      <w:r>
        <w:rPr>
          <w:rFonts w:ascii="Courier" w:hAnsi="Courier"/>
        </w:rPr>
        <w:t>orderbook.parquet</w:t>
      </w:r>
      <w:r>
        <w:t>:</w:t>
      </w:r>
      <w:r>
        <w:rPr>
          <w:b/>
        </w:rPr>
        <w:t>1,064 days × 505 names (2022-04 → 2026-03)</w:t>
      </w:r>
      <w:r>
        <w:t xml:space="preserve">. Pairs are gated from the </w:t>
      </w:r>
      <w:r>
        <w:rPr>
          <w:i/>
        </w:rPr>
        <w:t>whole</w:t>
      </w:r>
      <w:r>
        <w:t>universe (correlation pre-filter → cointegration → ADF → half-life), surfacing genuinely cointegrated relationships the 50-name set could not — utility clusters (AEE/AEP, AEP/XEL/XLU), dual-class arbitrages (</w:t>
      </w:r>
      <w:r>
        <w:rPr>
          <w:b/>
        </w:rPr>
        <w:t>GOOG/GOOGL, NWS/NWSA</w:t>
      </w:r>
      <w:r>
        <w:t>), chemicals (DOW/LYB), energy (APA/EOG).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Decay-resistant alpha</w:t>
      </w:r>
      <w:r>
        <w:t xml:space="preserve"> — static OLS hedge ratios replaced with </w:t>
      </w:r>
      <w:r>
        <w:rPr>
          <w:b/>
        </w:rPr>
        <w:t>online Kalman time-varying hedge ratios</w:t>
      </w:r>
      <w:r>
        <w:t xml:space="preserve"> (causal; the direct cure for the relationship-drift that killed the daily pairs bot in prior work).</w:t>
      </w:r>
      <w:r/>
    </w:p>
    <w:p>
      <w:pPr>
        <w:pStyle w:val="ListNumber"/>
        <w:spacing w:line="240" w:lineRule="auto"/>
        <w:ind w:left="720"/>
      </w:pPr>
      <w:r/>
      <w:r>
        <w:rPr>
          <w:b/>
        </w:rPr>
        <w:t>Honest validation</w:t>
      </w:r>
      <w:r>
        <w:t xml:space="preserve"> — pairs selected on an </w:t>
      </w:r>
      <w:r>
        <w:rPr>
          <w:b/>
        </w:rPr>
        <w:t>in-sample 2022 window only</w:t>
      </w:r>
      <w:r>
        <w:t xml:space="preserve">; performance measured on </w:t>
      </w:r>
      <w:r>
        <w:rPr>
          <w:b/>
        </w:rPr>
        <w:t>812 OOS days (2023–2026)</w:t>
      </w:r>
      <w:r>
        <w:t xml:space="preserve">; </w:t>
      </w:r>
      <w:r>
        <w:rPr>
          <w:b/>
        </w:rPr>
        <w:t>Combinatorial Purged Cross-Validation</w:t>
      </w:r>
      <w:r>
        <w:t xml:space="preserve"> (28 paths) plus a </w:t>
      </w:r>
      <w:r>
        <w:rPr>
          <w:b/>
        </w:rPr>
        <w:t>Deflated Sharpe</w:t>
      </w:r>
      <w:r>
        <w:t xml:space="preserve"> over the larger sample.</w:t>
      </w:r>
      <w:r/>
      <w:r/>
    </w:p>
    <w:p>
      <w:r/>
      <w:r>
        <w:rPr>
          <w:b/>
        </w:rPr>
        <w:t>v2 out-of-sample scorecard: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v1 (base)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v2 (upgrade)</w:t>
            </w:r>
          </w:p>
        </w:tc>
      </w:tr>
      <w:tr>
        <w:tc>
          <w:tcPr>
            <w:tcW w:type="dxa" w:w="2880"/>
          </w:tcPr>
          <w:p>
            <w:r>
              <w:t>OOS window</w:t>
            </w:r>
          </w:p>
        </w:tc>
        <w:tc>
          <w:tcPr>
            <w:tcW w:type="dxa" w:w="2880"/>
          </w:tcPr>
          <w:p>
            <w:r>
              <w:t>142 d (2022)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812 d (2023–26)</w:t>
            </w:r>
          </w:p>
        </w:tc>
      </w:tr>
      <w:tr>
        <w:tc>
          <w:tcPr>
            <w:tcW w:type="dxa" w:w="2880"/>
          </w:tcPr>
          <w:p>
            <w:r>
              <w:t>OOS Sharpe</w:t>
            </w:r>
          </w:p>
        </w:tc>
        <w:tc>
          <w:tcPr>
            <w:tcW w:type="dxa" w:w="2880"/>
          </w:tcPr>
          <w:p>
            <w:r>
              <w:t>1.73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1.58</w:t>
            </w:r>
          </w:p>
        </w:tc>
      </w:tr>
      <w:tr>
        <w:tc>
          <w:tcPr>
            <w:tcW w:type="dxa" w:w="2880"/>
          </w:tcPr>
          <w:p>
            <w:r>
              <w:t>Sharpe by year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1.26 / 1.11 / 1.61 / 4.69 (all +)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Deflated Sharpe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0.11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0.39</w:t>
            </w:r>
          </w:p>
        </w:tc>
      </w:tr>
      <w:tr>
        <w:tc>
          <w:tcPr>
            <w:tcW w:type="dxa" w:w="2880"/>
          </w:tcPr>
          <w:p>
            <w:r>
              <w:t>CPCV mean / 5th-pctile / % positive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1.68 / 1.01 / 100%</w:t>
            </w:r>
          </w:p>
        </w:tc>
      </w:tr>
      <w:tr>
        <w:tc>
          <w:tcPr>
            <w:tcW w:type="dxa" w:w="2880"/>
          </w:tcPr>
          <w:p>
            <w:r>
              <w:t>Max Drawdown</w:t>
            </w:r>
          </w:p>
        </w:tc>
        <w:tc>
          <w:tcPr>
            <w:tcW w:type="dxa" w:w="2880"/>
          </w:tcPr>
          <w:p>
            <w:r>
              <w:t>−1.95%</w:t>
            </w:r>
          </w:p>
        </w:tc>
        <w:tc>
          <w:tcPr>
            <w:tcW w:type="dxa" w:w="2880"/>
          </w:tcPr>
          <w:p>
            <w:r>
              <w:t>−0.25%</w:t>
            </w:r>
          </w:p>
        </w:tc>
      </w:tr>
      <w:tr>
        <w:tc>
          <w:tcPr>
            <w:tcW w:type="dxa" w:w="2880"/>
          </w:tcPr>
          <w:p>
            <w:r>
              <w:t>Vol (unlevered)</w:t>
            </w:r>
          </w:p>
        </w:tc>
        <w:tc>
          <w:tcPr>
            <w:tcW w:type="dxa" w:w="2880"/>
          </w:tcPr>
          <w:p>
            <w:r>
              <w:t>3.18%</w:t>
            </w:r>
          </w:p>
        </w:tc>
        <w:tc>
          <w:tcPr>
            <w:tcW w:type="dxa" w:w="2880"/>
          </w:tcPr>
          <w:p>
            <w:r>
              <w:t>0.31%</w:t>
            </w:r>
          </w:p>
        </w:tc>
      </w:tr>
    </w:tbl>
    <w:p>
      <w:r/>
    </w:p>
    <w:p>
      <w:r/>
      <w:r>
        <w:t xml:space="preserve">The headline Sharpe is marginally lower, but </w:t>
      </w:r>
      <w:r>
        <w:rPr>
          <w:b/>
        </w:rPr>
        <w:t>statistical confidence rises sharply</w:t>
      </w:r>
      <w:r>
        <w:t xml:space="preserve">: every CPCV path is positive, the 5th-percentile path still clears Sharpe 1.0, and the edge holds across four distinct regime-years it was </w:t>
      </w:r>
      <w:r>
        <w:rPr>
          <w:i/>
        </w:rPr>
        <w:t>not</w:t>
      </w:r>
      <w:r>
        <w:t xml:space="preserve"> fit on. This is the trade a desk wants — robustness over a flattering point estimate.</w:t>
      </w:r>
      <w:r/>
    </w:p>
    <w:p>
      <w:r/>
      <w:r>
        <w:rPr>
          <w:b/>
        </w:rPr>
        <w:t>v2 capacity — and the execution-quality finding.</w:t>
      </w:r>
      <w:r>
        <w:t xml:space="preserve"> Re-costing on full-period liquidity (</w:t>
      </w:r>
      <w:r>
        <w:rPr>
          <w:rFonts w:ascii="Courier" w:hAnsi="Courier"/>
        </w:rPr>
        <w:t>figures/capacity_frontier_v2.png</w:t>
      </w:r>
      <w:r>
        <w:t xml:space="preserve">): Kyle-λ capacity </w:t>
      </w:r>
      <w:r>
        <w:rPr>
          <w:b/>
        </w:rPr>
        <w:t>$602M</w:t>
      </w:r>
      <w:r>
        <w:t xml:space="preserve"> gross notional, binding</w:t>
      </w:r>
      <w:r>
        <w:rPr>
          <w:b/>
        </w:rPr>
        <w:t>participation cap (≤10% displayed depth) at $61M</w:t>
      </w:r>
      <w:r>
        <w:t xml:space="preserve"> → </w:t>
      </w:r>
      <w:r>
        <w:rPr>
          <w:b/>
        </w:rPr>
        <w:t>stated capacity $61M</w:t>
      </w:r>
      <w:r>
        <w:t xml:space="preserve">, ask (65%) </w:t>
      </w:r>
      <w:r>
        <w:rPr>
          <w:b/>
        </w:rPr>
        <w:t>$40M gross notional</w:t>
      </w:r>
      <w:r>
        <w:t xml:space="preserve">, net Sharpe </w:t>
      </w:r>
      <w:r>
        <w:rPr>
          <w:b/>
        </w:rPr>
        <w:t>1.31</w:t>
      </w:r>
      <w:r>
        <w:t xml:space="preserve"> (Kyle) at the ask. We also</w:t>
      </w:r>
      <w:r>
        <w:rPr>
          <w:b/>
        </w:rPr>
        <w:t>empirically tested the square-root law</w:t>
      </w:r>
      <w:r>
        <w:t xml:space="preserve"> on 23.5M minute observations: the fit is noisy (R²≈0.09) and super-linear (exponent ≈1.4), so we retain the directly-calibrated Kyle-λ rather than a fitted coefficient.</w:t>
      </w:r>
      <w:r/>
    </w:p>
    <w:p>
      <w:r/>
      <w:r>
        <w:t xml:space="preserve">The critical execution-desk insight is that v2's gross alpha is </w:t>
      </w:r>
      <w:r>
        <w:rPr>
          <w:b/>
        </w:rPr>
        <w:t>thin relative to spreads</w:t>
      </w:r>
      <w:r>
        <w:t xml:space="preserve"> — capacity is a function of </w:t>
      </w:r>
      <w:r>
        <w:rPr>
          <w:b/>
        </w:rPr>
        <w:t>execution quality</w:t>
      </w:r>
      <w:r>
        <w:t xml:space="preserve"> (fraction of half-spread captured via passive/smart fills):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Spread capture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0% (always cross)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50%</w:t>
            </w:r>
          </w:p>
        </w:tc>
        <w:tc>
          <w:tcPr>
            <w:tcW w:type="dxa" w:w="1728"/>
          </w:tcPr>
          <w:p>
            <w:r>
              <w:rPr>
                <w:b/>
              </w:rPr>
              <w:t>75%</w:t>
            </w:r>
          </w:p>
        </w:tc>
      </w:tr>
      <w:tr>
        <w:tc>
          <w:tcPr>
            <w:tcW w:type="dxa" w:w="1728"/>
          </w:tcPr>
          <w:p>
            <w:r>
              <w:t>Stated capacity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~$0</w:t>
            </w:r>
          </w:p>
        </w:tc>
        <w:tc>
          <w:tcPr>
            <w:tcW w:type="dxa" w:w="1728"/>
          </w:tcPr>
          <w:p>
            <w:r>
              <w:t>$61M</w:t>
            </w:r>
          </w:p>
        </w:tc>
        <w:tc>
          <w:tcPr>
            <w:tcW w:type="dxa" w:w="1728"/>
          </w:tcPr>
          <w:p>
            <w:r>
              <w:t>$61M</w:t>
            </w:r>
          </w:p>
        </w:tc>
        <w:tc>
          <w:tcPr>
            <w:tcW w:type="dxa" w:w="1728"/>
          </w:tcPr>
          <w:p>
            <w:r>
              <w:t>$61M</w:t>
            </w:r>
          </w:p>
        </w:tc>
      </w:tr>
    </w:tbl>
    <w:p>
      <w:r/>
    </w:p>
    <w:p>
      <w:r/>
      <w:r>
        <w:rPr>
          <w:b/>
        </w:rPr>
        <w:t>Below ~25% spread capture the book has no capacity</w:t>
      </w:r>
      <w:r>
        <w:t xml:space="preserve"> — crossing the full spread on 5.6× turnover consumes the edge. This </w:t>
      </w:r>
      <w:r>
        <w:rPr>
          <w:i/>
        </w:rPr>
        <w:t>quantifies why execution is the strategy</w:t>
      </w:r>
      <w:r>
        <w:t>: the allocation should be paired with a passive/liquidity-providing execution mandate, which is precisely this desk's function.</w:t>
      </w:r>
      <w:r/>
    </w:p>
    <w:p>
      <w:pPr>
        <w:pBdr>
          <w:bottom w:val="single" w:sz="6" w:space="1" w:color="auto"/>
        </w:pBdr>
      </w:pPr>
      <w:r/>
    </w:p>
    <w:p>
      <w:pPr>
        <w:pStyle w:val="Heading3"/>
      </w:pPr>
      <w:r>
        <w:t>Appendix — Reproducibility</w:t>
      </w:r>
      <w:r/>
    </w:p>
    <w:p>
      <w:r/>
      <w:r>
        <w:t xml:space="preserve">All figures generated from the pipeline in </w:t>
      </w:r>
      <w:r>
        <w:rPr>
          <w:rFonts w:ascii="Courier" w:hAnsi="Courier"/>
        </w:rPr>
        <w:t>src/</w:t>
      </w:r>
      <w:r>
        <w:t xml:space="preserve"> against the supplied data.</w:t>
      </w:r>
      <w:r>
        <w:rPr>
          <w:b/>
        </w:rPr>
        <w:t>v1 (base):</w:t>
      </w:r>
      <w:r>
        <w:t xml:space="preserve"> </w:t>
      </w:r>
      <w:r>
        <w:rPr>
          <w:rFonts w:ascii="Courier" w:hAnsi="Courier"/>
        </w:rPr>
        <w:t>03_blend_oos.py</w:t>
      </w:r>
      <w:r>
        <w:t xml:space="preserve"> → </w:t>
      </w:r>
      <w:r>
        <w:rPr>
          <w:rFonts w:ascii="Courier" w:hAnsi="Courier"/>
        </w:rPr>
        <w:t>04_liquidity_stats.py</w:t>
      </w:r>
      <w:r>
        <w:t xml:space="preserve"> (impact calibration from</w:t>
      </w:r>
      <w:r>
        <w:rPr>
          <w:rFonts w:ascii="Courier" w:hAnsi="Courier"/>
        </w:rPr>
        <w:t>orderbook.parquet</w:t>
      </w:r>
      <w:r>
        <w:t xml:space="preserve">) → </w:t>
      </w:r>
      <w:r>
        <w:rPr>
          <w:rFonts w:ascii="Courier" w:hAnsi="Courier"/>
        </w:rPr>
        <w:t>05_capacity.py</w:t>
      </w:r>
      <w:r>
        <w:t xml:space="preserve"> → </w:t>
      </w:r>
      <w:r>
        <w:rPr>
          <w:rFonts w:ascii="Courier" w:hAnsi="Courier"/>
        </w:rPr>
        <w:t>06_risk.py</w:t>
      </w:r>
      <w:r>
        <w:t xml:space="preserve"> (risk + 1987 stress) →</w:t>
      </w:r>
      <w:r>
        <w:rPr>
          <w:rFonts w:ascii="Courier" w:hAnsi="Courier"/>
        </w:rPr>
        <w:t>07_capital_ask.py</w:t>
      </w:r>
      <w:r>
        <w:t xml:space="preserve"> → </w:t>
      </w:r>
      <w:r>
        <w:rPr>
          <w:rFonts w:ascii="Courier" w:hAnsi="Courier"/>
        </w:rPr>
        <w:t>08_sensitivity.py</w:t>
      </w:r>
      <w:r>
        <w:t xml:space="preserve">. </w:t>
      </w:r>
      <w:r>
        <w:rPr>
          <w:b/>
        </w:rPr>
        <w:t>v2 (upgrade):</w:t>
      </w:r>
      <w:r>
        <w:t xml:space="preserve"> </w:t>
      </w:r>
      <w:r>
        <w:rPr>
          <w:rFonts w:ascii="Courier" w:hAnsi="Courier"/>
        </w:rPr>
        <w:t>10_panel_fullperiod.py</w:t>
      </w:r>
      <w:r>
        <w:t xml:space="preserve">(full-history panel) → </w:t>
      </w:r>
      <w:r>
        <w:rPr>
          <w:rFonts w:ascii="Courier" w:hAnsi="Courier"/>
        </w:rPr>
        <w:t>11_strategy_v2.py</w:t>
      </w:r>
      <w:r>
        <w:t xml:space="preserve"> (Kalman pairs + momentum + CPCV/DSR) →</w:t>
      </w:r>
      <w:r>
        <w:rPr>
          <w:rFonts w:ascii="Courier" w:hAnsi="Courier"/>
        </w:rPr>
        <w:t>12_empirical_impact.py</w:t>
      </w:r>
      <w:r>
        <w:t xml:space="preserve"> (square-root-law test, 23.5M obs) → </w:t>
      </w:r>
      <w:r>
        <w:rPr>
          <w:rFonts w:ascii="Courier" w:hAnsi="Courier"/>
        </w:rPr>
        <w:t>13_capacity_v2.py</w:t>
      </w:r>
      <w:r>
        <w:t xml:space="preserve">(execution-quality capacity). Rendered via </w:t>
      </w:r>
      <w:r>
        <w:rPr>
          <w:rFonts w:ascii="Courier" w:hAnsi="Courier"/>
        </w:rPr>
        <w:t>09_render.py</w:t>
      </w:r>
      <w:r>
        <w:t xml:space="preserve">. Numeric outputs cached as JSON in </w:t>
      </w:r>
      <w:r>
        <w:rPr>
          <w:rFonts w:ascii="Courier" w:hAnsi="Courier"/>
        </w:rPr>
        <w:t>data/cache/</w:t>
      </w:r>
      <w:r>
        <w:t>.</w:t>
      </w:r>
    </w:p>
    <w:p>
      <w:pPr>
        <w:pBdr>
          <w:bottom w:val="single" w:sz="6" w:space="1" w:color="auto"/>
        </w:pBdr>
      </w:pPr>
    </w:p>
    <w:p>
      <w:pPr>
        <w:pStyle w:val="Heading2"/>
      </w:pPr>
      <w:r>
        <w:t>Exhibits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82296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frontier_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Exhibit 1 — v2 capacity frontier (Kalman book, full-period liquidity): net Sharpe vs. gross deployed notional.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8229600" cy="5029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frontier_fu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Exhibit 2 — v1 capacity frontier, forward liquidity (2022–2026).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8229600" cy="5029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fronti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Exhibit 3 — v1 capacity frontier, stressed 2022 liquidity (conservative anchor).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8229600" cy="5029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act_cur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Exhibit 4 — Net dollar P&amp;L vs. deployed capital: the edge rolls over as impact compounds.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8229600" cy="594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awdow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4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Exhibit 5 — v1 OOS growth of $1 and drawdown.</w:t>
      </w:r>
    </w:p>
    <w:p>
      <w:r/>
    </w:p>
    <w:p>
      <w:r>
        <w:drawing>
          <wp:inline xmlns:a="http://schemas.openxmlformats.org/drawingml/2006/main" xmlns:pic="http://schemas.openxmlformats.org/drawingml/2006/picture">
            <wp:extent cx="8132063" cy="5358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lkforward_oo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132063" cy="5358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/>
      <w:r>
        <w:rPr>
          <w:i/>
        </w:rPr>
        <w:t>Exhibit 6 — Out-of-sample walk-forward: blend vs. sleeves vs. static 60/40.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