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color w:val="808080"/>
          <w:sz w:val="18"/>
          <w:szCs w:val="18"/>
        </w:rPr>
        <w:t xml:space="preserve">TÀI LIỆU HỖ TRỢ</w:t>
      </w:r>
    </w:p>
    <w:p>
      <w:pPr>
        <w:spacing w:after="40"/>
        <w:jc w:val="center"/>
      </w:pPr>
      <w:r>
        <w:rPr>
          <w:rFonts w:ascii="Calibri" w:cs="Calibri" w:eastAsia="Calibri" w:hAnsi="Calibri"/>
          <w:b/>
          <w:bCs/>
          <w:color w:val="1F4E5F"/>
          <w:sz w:val="32"/>
          <w:szCs w:val="32"/>
        </w:rPr>
        <w:t xml:space="preserve">Quỹ Từ Thiện “Vì Mọi Người”</w:t>
      </w:r>
    </w:p>
    <w:p>
      <w:pPr>
        <w:spacing w:after="200"/>
        <w:jc w:val="center"/>
      </w:pPr>
      <w:r>
        <w:rPr>
          <w:rFonts w:ascii="Calibri" w:cs="Calibri" w:eastAsia="Calibri" w:hAnsi="Calibri"/>
          <w:i/>
          <w:iCs/>
          <w:color w:val="666666"/>
          <w:sz w:val="20"/>
          <w:szCs w:val="20"/>
        </w:rPr>
        <w:t xml:space="preserve">Cơ chế vận hành, đầu tư và lộ trình triển khai chi tiết — tài liệu đính kèm bản tóm tắt ý tưởng gửi Incubator Lab</w:t>
      </w:r>
    </w:p>
    <w:p>
      <w:pPr>
        <w:pStyle w:val="Heading1"/>
        <w:spacing w:after="120" w:before="280"/>
      </w:pPr>
      <w:r>
        <w:rPr>
          <w:rFonts w:ascii="Calibri" w:cs="Calibri" w:eastAsia="Calibri" w:hAnsi="Calibri"/>
          <w:b/>
          <w:bCs/>
          <w:color w:val="1F4E5F"/>
          <w:sz w:val="27"/>
          <w:szCs w:val="27"/>
        </w:rPr>
        <w:t xml:space="preserve">1. Căn cứ pháp lý</w:t>
      </w:r>
    </w:p>
    <w:p>
      <w:pPr>
        <w:spacing w:after="100"/>
      </w:pPr>
      <w:r>
        <w:rPr>
          <w:rFonts w:ascii="Calibri" w:cs="Calibri" w:eastAsia="Calibri" w:hAnsi="Calibri"/>
          <w:b w:val="false"/>
          <w:bCs w:val="false"/>
          <w:i w:val="false"/>
          <w:iCs w:val="false"/>
          <w:sz w:val="21"/>
          <w:szCs w:val="21"/>
        </w:rPr>
        <w:t xml:space="preserve">Theo Nghị định 03/2026, quỹ hoạt động không vì mục tiêu lợi nhuận không đồng nghĩa với việc quỹ không được phép có lợi nhuận. Đây là cơ sở để quỹ “Vì Mọi Người” vừa duy trì tôn chỉ thiện nguyện, vừa có thể tổ chức các hoạt động đầu tư/kinh doanh tạo nguồn thu ổn định phục vụ vận hành lâu dài.</w:t>
      </w:r>
    </w:p>
    <w:p>
      <w:pPr>
        <w:pStyle w:val="Heading1"/>
        <w:spacing w:after="120" w:before="280"/>
      </w:pPr>
      <w:r>
        <w:rPr>
          <w:rFonts w:ascii="Calibri" w:cs="Calibri" w:eastAsia="Calibri" w:hAnsi="Calibri"/>
          <w:b/>
          <w:bCs/>
          <w:color w:val="1F4E5F"/>
          <w:sz w:val="27"/>
          <w:szCs w:val="27"/>
        </w:rPr>
        <w:t xml:space="preserve">2. Nguồn vốn hoạt động</w:t>
      </w:r>
    </w:p>
    <w:p>
      <w:pPr>
        <w:pStyle w:val="Heading2"/>
        <w:spacing w:after="80" w:before="160"/>
      </w:pPr>
      <w:r>
        <w:rPr>
          <w:rFonts w:ascii="Calibri" w:cs="Calibri" w:eastAsia="Calibri" w:hAnsi="Calibri"/>
          <w:b/>
          <w:bCs/>
          <w:color w:val="3E6B7A"/>
          <w:sz w:val="23"/>
          <w:szCs w:val="23"/>
        </w:rPr>
        <w:t xml:space="preserve">2.1 Vai trò của công ty</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Công ty trích một phần lợi nhuận mỗi năm góp vào quỹ làm vốn hoạt động ban đầu.</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Phần vốn góp này chủ yếu dùng để mua chứng chỉ tiền gửi hoặc gửi ngân hàng có kỳ hạn, với mục đích hỗ trợ chi phí vận hành quỹ (đi lại, ăn uống, dụng cụ, kê khai giấy tờ) ở giai đoạn sau (từ năm thứ 3 trở đi) — khi đó quỹ đã có nguồn lợi nhuận từ chính khoản gửi này để tự trang trải, giảm phụ thuộc vào ngân sách công ty.</w:t>
      </w:r>
    </w:p>
    <w:p>
      <w:pPr>
        <w:pStyle w:val="Heading2"/>
        <w:spacing w:after="80" w:before="160"/>
      </w:pPr>
      <w:r>
        <w:rPr>
          <w:rFonts w:ascii="Calibri" w:cs="Calibri" w:eastAsia="Calibri" w:hAnsi="Calibri"/>
          <w:b/>
          <w:bCs/>
          <w:color w:val="3E6B7A"/>
          <w:sz w:val="23"/>
          <w:szCs w:val="23"/>
        </w:rPr>
        <w:t xml:space="preserve">2.2 Ai được góp quỹ</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Người sở hữu hợp đồng bảo hiểm UL tại AIA có thể trích một phần lợi nhuận hợp đồng để góp quỹ.</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Cán bộ nhân viên công ty cũng có thể tham gia đóng góp, tuy nhiên khoản đóng góp của họ được xem như một người góp quỹ bình thường (không có ưu đãi/khác biệt về cơ chế).</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Người ngoài không thể góp quỹ trực tiếp — điều kiện bắt buộc là phải sở hữu hợp đồng bảo hiểm UL hoặc quỹ hưu trí tại công ty. Lý do: app được phát triển dành cho khách hàng nội bộ, dữ liệu mang tính riêng tư nên không phù hợp để người ngoài tham gia.</w:t>
      </w:r>
    </w:p>
    <w:p>
      <w:pPr>
        <w:pStyle w:val="Heading2"/>
        <w:spacing w:after="80" w:before="160"/>
      </w:pPr>
      <w:r>
        <w:rPr>
          <w:rFonts w:ascii="Calibri" w:cs="Calibri" w:eastAsia="Calibri" w:hAnsi="Calibri"/>
          <w:b/>
          <w:bCs/>
          <w:color w:val="3E6B7A"/>
          <w:sz w:val="23"/>
          <w:szCs w:val="23"/>
        </w:rPr>
        <w:t xml:space="preserve">2.3 Giới hạn mức góp — điểm đặc biệt của cơ chế</w:t>
      </w:r>
    </w:p>
    <w:p>
      <w:pPr>
        <w:spacing w:after="100"/>
      </w:pPr>
      <w:r>
        <w:rPr>
          <w:rFonts w:ascii="Calibri" w:cs="Calibri" w:eastAsia="Calibri" w:hAnsi="Calibri"/>
          <w:b w:val="false"/>
          <w:bCs w:val="false"/>
          <w:i w:val="false"/>
          <w:iCs w:val="false"/>
          <w:sz w:val="21"/>
          <w:szCs w:val="21"/>
        </w:rPr>
        <w:t xml:space="preserve">Quỹ giới hạn số tiền lợi nhuận có thể góp, nhằm đảm bảo khoản tiền gốc của hợp đồng — sau khi trừ phí duy trì hằng năm — không bị giảm xuống. Nhờ đó, người tham gia bảo hiểm thấy rõ con số có thể đóng góp thêm tăng dần theo từng năm hợp đồng, tạo cảm giác trưởng thành, vun đắp và thành tựu — thay vì cảm giác bị rút bớt quyền lợi.</w:t>
      </w:r>
    </w:p>
    <w:p>
      <w:pPr>
        <w:pStyle w:val="Heading1"/>
        <w:spacing w:after="120" w:before="280"/>
      </w:pPr>
      <w:r>
        <w:rPr>
          <w:rFonts w:ascii="Calibri" w:cs="Calibri" w:eastAsia="Calibri" w:hAnsi="Calibri"/>
          <w:b/>
          <w:bCs/>
          <w:color w:val="1F4E5F"/>
          <w:sz w:val="27"/>
          <w:szCs w:val="27"/>
        </w:rPr>
        <w:t xml:space="preserve">3. Cơ chế tham gia &amp; minh bạch cho người góp quỹ</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Người góp quỹ tự quyết định: khoản tiền của mình góp cho dự án nào, góp bao nhiêu.</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Xem được chi tiết chi tiêu của từng mục, cũng như số tiền còn lại của phần mình đã góp.</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Người không góp quỹ chỉ có thể xem thông tin tổng quát (không xem được chi tiết theo dự án/cá nhân).</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Người góp quỹ có thể đề xuất các chuyến đi cứu trợ tự phát, đặc biệt ở vùng sâu vùng xa hoặc hoàn cảnh khó khăn phát sinh ngoài kế hoạch.</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Minh bạch từng khoản chi phí, cập nhật trên app để mỗi người kiểm chứng: tổng cộng đã góp bao nhiêu, đã sinh lời bao nhiêu (từ hoạt động đầu tư/kinh doanh của quỹ), và còn lại bao nhiêu.</w:t>
      </w:r>
    </w:p>
    <w:p>
      <w:pPr>
        <w:pBdr>
          <w:left w:val="single" w:color="1F4E5F" w:sz="12" w:space="8"/>
        </w:pBdr>
        <w:shd w:fill="EEF3F5" w:val="clear"/>
        <w:spacing w:after="120" w:before="60"/>
      </w:pPr>
      <w:r>
        <w:rPr>
          <w:rFonts w:ascii="Calibri" w:cs="Calibri" w:eastAsia="Calibri" w:hAnsi="Calibri"/>
          <w:i/>
          <w:iCs/>
          <w:color w:val="444444"/>
          <w:sz w:val="20"/>
          <w:szCs w:val="20"/>
        </w:rPr>
        <w:t xml:space="preserve">Mục tiêu: biến mô hình góp quỹ từ thiện thành một dạng “đầu tư xã hội” do chính xã hội đóng góp và lớn lên theo từng ngày — tạo lý do để người dùng quay lại kiểm tra app thường xuyên hơn.</w:t>
      </w:r>
    </w:p>
    <w:p>
      <w:pPr>
        <w:pStyle w:val="Heading1"/>
        <w:spacing w:after="120" w:before="280"/>
      </w:pPr>
      <w:r>
        <w:rPr>
          <w:rFonts w:ascii="Calibri" w:cs="Calibri" w:eastAsia="Calibri" w:hAnsi="Calibri"/>
          <w:b/>
          <w:bCs/>
          <w:color w:val="1F4E5F"/>
          <w:sz w:val="27"/>
          <w:szCs w:val="27"/>
        </w:rPr>
        <w:t xml:space="preserve">4. Nội dung &amp; trải nghiệm trên app</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App rất ít đề cập trực tiếp đến việc quyên góp — trọng tâm là chia sẻ các chuyến đi thiện nguyện mà quỹ đã tổ chức, thông qua hình ảnh và video, không nêu cụ thể con số tiền đã bỏ ra.</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Hỗ trợ gửi thư hoặc quà cảm ơn từ người nhận được hỗ trợ đến người hảo tâm đã đóng góp.</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Có thể quay clip tại hiện trường (nếu được phép) và chỉ chia sẻ trong nội bộ app (nếu hợp pháp), để những người góp quỹ nhưng không trực tiếp tham gia chuyến đi vẫn có thể xem và thấu hiểu.</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Việc quyên góp hoàn toàn tự nguyện — không tạo áp lực hay nhắc nhở mang tính thúc ép trên app.</w:t>
      </w:r>
    </w:p>
    <w:p>
      <w:pPr>
        <w:pStyle w:val="Heading1"/>
        <w:spacing w:after="120" w:before="280"/>
      </w:pPr>
      <w:r>
        <w:rPr>
          <w:rFonts w:ascii="Calibri" w:cs="Calibri" w:eastAsia="Calibri" w:hAnsi="Calibri"/>
          <w:b/>
          <w:bCs/>
          <w:color w:val="1F4E5F"/>
          <w:sz w:val="27"/>
          <w:szCs w:val="27"/>
        </w:rPr>
        <w:t xml:space="preserve">5. Định vị marketing &amp; nguyên tắc ứng xử truyền thông</w:t>
      </w:r>
    </w:p>
    <w:p>
      <w:pPr>
        <w:spacing w:after="100"/>
      </w:pPr>
      <w:r>
        <w:rPr>
          <w:rFonts w:ascii="Calibri" w:cs="Calibri" w:eastAsia="Calibri" w:hAnsi="Calibri"/>
          <w:b w:val="false"/>
          <w:bCs w:val="false"/>
          <w:i w:val="false"/>
          <w:iCs w:val="false"/>
          <w:sz w:val="21"/>
          <w:szCs w:val="21"/>
        </w:rPr>
        <w:t xml:space="preserve">Mục tiêu tiềm tàng của quỹ là tăng mức độ gắn kết (engagement) giữa nhóm khách hàng mua bảo hiểm UL (khoảng 70%) với công ty, giúp họ cảm nhận rõ mình có thể hỗ trợ phần nào các hoàn cảnh khó khăn bằng chính lợi nhuận để dành từ hợp đồng. Về phía công ty, đây cũng là cơ hội được biết đến trong cộng đồng khách hàng tham gia thiện nguyện — một giá trị marketing ẩn, có thể phát sinh thêm nếu ngẫu nhiên được báo chí đề cập.</w:t>
      </w:r>
    </w:p>
    <w:p>
      <w:pPr>
        <w:pBdr>
          <w:left w:val="single" w:color="1F4E5F" w:sz="12" w:space="8"/>
        </w:pBdr>
        <w:shd w:fill="EEF3F5" w:val="clear"/>
        <w:spacing w:after="120" w:before="60"/>
      </w:pPr>
      <w:r>
        <w:rPr>
          <w:rFonts w:ascii="Calibri" w:cs="Calibri" w:eastAsia="Calibri" w:hAnsi="Calibri"/>
          <w:i/>
          <w:iCs/>
          <w:color w:val="444444"/>
          <w:sz w:val="20"/>
          <w:szCs w:val="20"/>
        </w:rPr>
        <w:t xml:space="preserve">Nguyên tắc bắt buộc: tuyệt đối không chủ động liên hệ báo chí; thậm chí không mặc trang phục có logo/tiêu chí công ty khi tham gia thiện nguyện. Mục tiêu chính không phải để chứng minh với người khác hay báo chí, mà là để giữ và củng cố niềm tin của khách hàng hiện hữu.</w:t>
      </w:r>
    </w:p>
    <w:p>
      <w:pPr>
        <w:pStyle w:val="Heading1"/>
        <w:spacing w:after="120" w:before="280"/>
      </w:pPr>
      <w:r>
        <w:rPr>
          <w:rFonts w:ascii="Calibri" w:cs="Calibri" w:eastAsia="Calibri" w:hAnsi="Calibri"/>
          <w:b/>
          <w:bCs/>
          <w:color w:val="1F4E5F"/>
          <w:sz w:val="27"/>
          <w:szCs w:val="27"/>
        </w:rPr>
        <w:t xml:space="preserve">6. Hoạt động đầu tư &amp; kinh doanh của quỹ</w:t>
      </w:r>
    </w:p>
    <w:p>
      <w:pPr>
        <w:spacing w:after="100"/>
      </w:pPr>
      <w:r>
        <w:rPr>
          <w:rFonts w:ascii="Calibri" w:cs="Calibri" w:eastAsia="Calibri" w:hAnsi="Calibri"/>
          <w:b w:val="false"/>
          <w:bCs w:val="false"/>
          <w:i w:val="false"/>
          <w:iCs w:val="false"/>
          <w:sz w:val="21"/>
          <w:szCs w:val="21"/>
        </w:rPr>
        <w:t xml:space="preserve">Quỹ có hoạt động đầu tư hoặc kinh doanh, nhưng không vì mục đích lợi nhuận cho công ty — mà để tạo việc làm cho người lớn tuổi, người có hoàn cảnh khó khăn. Lợi nhuận sinh ra chỉ nhằm giúp quỹ hoạt động ổn định và giúp được nhiều người hơn. Các hướng đầu tư/kinh doanh có thể cân nhắc: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Hình thức</w:t>
            </w:r>
          </w:p>
        </w:tc>
        <w:tc>
          <w:tcPr>
            <w:tcW w:type="dxa" w:w="6900"/>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Ghi chú</w:t>
            </w:r>
          </w:p>
        </w:tc>
      </w:tr>
      <w:tr>
        <w:tc>
          <w:tcPr>
            <w:tcW w:type="dxa" w:w="2600"/>
            <w:tcMar>
              <w:top w:type="dxa" w:w="80"/>
              <w:left w:type="dxa" w:w="120"/>
              <w:bottom w:type="dxa" w:w="80"/>
              <w:right w:type="dxa" w:w="120"/>
            </w:tcMar>
          </w:tcPr>
          <w:p>
            <w:r>
              <w:rPr>
                <w:rFonts w:ascii="Calibri" w:cs="Calibri" w:eastAsia="Calibri" w:hAnsi="Calibri"/>
                <w:sz w:val="20"/>
                <w:szCs w:val="20"/>
              </w:rPr>
              <w:t xml:space="preserve">Tiền gửi</w:t>
            </w:r>
          </w:p>
        </w:tc>
        <w:tc>
          <w:tcPr>
            <w:tcW w:type="dxa" w:w="6900"/>
            <w:tcMar>
              <w:top w:type="dxa" w:w="80"/>
              <w:left w:type="dxa" w:w="120"/>
              <w:bottom w:type="dxa" w:w="80"/>
              <w:right w:type="dxa" w:w="120"/>
            </w:tcMar>
          </w:tcPr>
          <w:p>
            <w:r>
              <w:rPr>
                <w:rFonts w:ascii="Calibri" w:cs="Calibri" w:eastAsia="Calibri" w:hAnsi="Calibri"/>
                <w:sz w:val="20"/>
                <w:szCs w:val="20"/>
              </w:rPr>
              <w:t xml:space="preserve">Gửi tiết kiệm/chứng chỉ tiền gửi kỳ hạn — nguồn thu ổn định, rủi ro thấp, phù hợp giai đoạn đầu.</w:t>
            </w:r>
          </w:p>
        </w:tc>
      </w:tr>
      <w:tr>
        <w:tc>
          <w:tcPr>
            <w:tcW w:type="dxa" w:w="2600"/>
            <w:tcMar>
              <w:top w:type="dxa" w:w="80"/>
              <w:left w:type="dxa" w:w="120"/>
              <w:bottom w:type="dxa" w:w="80"/>
              <w:right w:type="dxa" w:w="120"/>
            </w:tcMar>
          </w:tcPr>
          <w:p>
            <w:r>
              <w:rPr>
                <w:rFonts w:ascii="Calibri" w:cs="Calibri" w:eastAsia="Calibri" w:hAnsi="Calibri"/>
                <w:sz w:val="20"/>
                <w:szCs w:val="20"/>
              </w:rPr>
              <w:t xml:space="preserve">Trái phiếu</w:t>
            </w:r>
          </w:p>
        </w:tc>
        <w:tc>
          <w:tcPr>
            <w:tcW w:type="dxa" w:w="6900"/>
            <w:tcMar>
              <w:top w:type="dxa" w:w="80"/>
              <w:left w:type="dxa" w:w="120"/>
              <w:bottom w:type="dxa" w:w="80"/>
              <w:right w:type="dxa" w:w="120"/>
            </w:tcMar>
          </w:tcPr>
          <w:p>
            <w:r>
              <w:rPr>
                <w:rFonts w:ascii="Calibri" w:cs="Calibri" w:eastAsia="Calibri" w:hAnsi="Calibri"/>
                <w:sz w:val="20"/>
                <w:szCs w:val="20"/>
              </w:rPr>
              <w:t xml:space="preserve">Kênh sinh lời an toàn, kỳ hạn linh hoạt hơn tiền gửi.</w:t>
            </w:r>
          </w:p>
        </w:tc>
      </w:tr>
      <w:tr>
        <w:tc>
          <w:tcPr>
            <w:tcW w:type="dxa" w:w="2600"/>
            <w:tcMar>
              <w:top w:type="dxa" w:w="80"/>
              <w:left w:type="dxa" w:w="120"/>
              <w:bottom w:type="dxa" w:w="80"/>
              <w:right w:type="dxa" w:w="120"/>
            </w:tcMar>
          </w:tcPr>
          <w:p>
            <w:r>
              <w:rPr>
                <w:rFonts w:ascii="Calibri" w:cs="Calibri" w:eastAsia="Calibri" w:hAnsi="Calibri"/>
                <w:sz w:val="20"/>
                <w:szCs w:val="20"/>
              </w:rPr>
              <w:t xml:space="preserve">Cổ phiếu</w:t>
            </w:r>
          </w:p>
        </w:tc>
        <w:tc>
          <w:tcPr>
            <w:tcW w:type="dxa" w:w="6900"/>
            <w:tcMar>
              <w:top w:type="dxa" w:w="80"/>
              <w:left w:type="dxa" w:w="120"/>
              <w:bottom w:type="dxa" w:w="80"/>
              <w:right w:type="dxa" w:w="120"/>
            </w:tcMar>
          </w:tcPr>
          <w:p>
            <w:r>
              <w:rPr>
                <w:rFonts w:ascii="Calibri" w:cs="Calibri" w:eastAsia="Calibri" w:hAnsi="Calibri"/>
                <w:sz w:val="20"/>
                <w:szCs w:val="20"/>
              </w:rPr>
              <w:t xml:space="preserve">Kênh sinh lời dài hạn, cần khẩu vị rủi ro và quy chế đầu tư rõ ràng.</w:t>
            </w:r>
          </w:p>
        </w:tc>
      </w:tr>
      <w:tr>
        <w:tc>
          <w:tcPr>
            <w:tcW w:type="dxa" w:w="2600"/>
            <w:tcMar>
              <w:top w:type="dxa" w:w="80"/>
              <w:left w:type="dxa" w:w="120"/>
              <w:bottom w:type="dxa" w:w="80"/>
              <w:right w:type="dxa" w:w="120"/>
            </w:tcMar>
          </w:tcPr>
          <w:p>
            <w:r>
              <w:rPr>
                <w:rFonts w:ascii="Calibri" w:cs="Calibri" w:eastAsia="Calibri" w:hAnsi="Calibri"/>
                <w:sz w:val="20"/>
                <w:szCs w:val="20"/>
              </w:rPr>
              <w:t xml:space="preserve">Tiện ích công</w:t>
            </w:r>
          </w:p>
        </w:tc>
        <w:tc>
          <w:tcPr>
            <w:tcW w:type="dxa" w:w="6900"/>
            <w:tcMar>
              <w:top w:type="dxa" w:w="80"/>
              <w:left w:type="dxa" w:w="120"/>
              <w:bottom w:type="dxa" w:w="80"/>
              <w:right w:type="dxa" w:w="120"/>
            </w:tcMar>
          </w:tcPr>
          <w:p>
            <w:r>
              <w:rPr>
                <w:rFonts w:ascii="Calibri" w:cs="Calibri" w:eastAsia="Calibri" w:hAnsi="Calibri"/>
                <w:sz w:val="20"/>
                <w:szCs w:val="20"/>
              </w:rPr>
              <w:t xml:space="preserve">Đầu tư có thu hồi vốn và lời, gắn với hạ tầng/dịch vụ công ích.</w:t>
            </w:r>
          </w:p>
        </w:tc>
      </w:tr>
      <w:tr>
        <w:tc>
          <w:tcPr>
            <w:tcW w:type="dxa" w:w="2600"/>
            <w:tcMar>
              <w:top w:type="dxa" w:w="80"/>
              <w:left w:type="dxa" w:w="120"/>
              <w:bottom w:type="dxa" w:w="80"/>
              <w:right w:type="dxa" w:w="120"/>
            </w:tcMar>
          </w:tcPr>
          <w:p>
            <w:r>
              <w:rPr>
                <w:rFonts w:ascii="Calibri" w:cs="Calibri" w:eastAsia="Calibri" w:hAnsi="Calibri"/>
                <w:sz w:val="20"/>
                <w:szCs w:val="20"/>
              </w:rPr>
              <w:t xml:space="preserve">Nông trại / trại nuôi cá, tôm</w:t>
            </w:r>
          </w:p>
        </w:tc>
        <w:tc>
          <w:tcPr>
            <w:tcW w:type="dxa" w:w="6900"/>
            <w:tcMar>
              <w:top w:type="dxa" w:w="80"/>
              <w:left w:type="dxa" w:w="120"/>
              <w:bottom w:type="dxa" w:w="80"/>
              <w:right w:type="dxa" w:w="120"/>
            </w:tcMar>
          </w:tcPr>
          <w:p>
            <w:r>
              <w:rPr>
                <w:rFonts w:ascii="Calibri" w:cs="Calibri" w:eastAsia="Calibri" w:hAnsi="Calibri"/>
                <w:sz w:val="20"/>
                <w:szCs w:val="20"/>
              </w:rPr>
              <w:t xml:space="preserve">Một phần sản lượng được chia thành lợi nhuận hỗ trợ hoạt động từ thiện; đồng thời tạo việc làm cho lao động khó khăn.</w:t>
            </w:r>
          </w:p>
        </w:tc>
      </w:tr>
      <w:tr>
        <w:tc>
          <w:tcPr>
            <w:tcW w:type="dxa" w:w="2600"/>
            <w:tcMar>
              <w:top w:type="dxa" w:w="80"/>
              <w:left w:type="dxa" w:w="120"/>
              <w:bottom w:type="dxa" w:w="80"/>
              <w:right w:type="dxa" w:w="120"/>
            </w:tcMar>
          </w:tcPr>
          <w:p>
            <w:r>
              <w:rPr>
                <w:rFonts w:ascii="Calibri" w:cs="Calibri" w:eastAsia="Calibri" w:hAnsi="Calibri"/>
                <w:sz w:val="20"/>
                <w:szCs w:val="20"/>
              </w:rPr>
              <w:t xml:space="preserve">Quán cơm chay tuỳ lòng hảo tâm</w:t>
            </w:r>
          </w:p>
        </w:tc>
        <w:tc>
          <w:tcPr>
            <w:tcW w:type="dxa" w:w="6900"/>
            <w:tcMar>
              <w:top w:type="dxa" w:w="80"/>
              <w:left w:type="dxa" w:w="120"/>
              <w:bottom w:type="dxa" w:w="80"/>
              <w:right w:type="dxa" w:w="120"/>
            </w:tcMar>
          </w:tcPr>
          <w:p>
            <w:r>
              <w:rPr>
                <w:rFonts w:ascii="Calibri" w:cs="Calibri" w:eastAsia="Calibri" w:hAnsi="Calibri"/>
                <w:sz w:val="20"/>
                <w:szCs w:val="20"/>
              </w:rPr>
              <w:t xml:space="preserve">Có thể kết hợp với mô hình nhà tình thương cho người vô gia cư thành một điểm sinh hoạt chung; cân nhắc khả năng thuê lại cơ quan cũ của chính quyền làm địa điểm.</w:t>
            </w:r>
          </w:p>
        </w:tc>
      </w:tr>
    </w:tbl>
    <w:p>
      <w:pPr>
        <w:spacing w:after="160"/>
      </w:pPr>
    </w:p>
    <w:p>
      <w:pPr>
        <w:pStyle w:val="Heading1"/>
        <w:spacing w:after="120" w:before="280"/>
      </w:pPr>
      <w:r>
        <w:rPr>
          <w:rFonts w:ascii="Calibri" w:cs="Calibri" w:eastAsia="Calibri" w:hAnsi="Calibri"/>
          <w:b/>
          <w:bCs/>
          <w:color w:val="1F4E5F"/>
          <w:sz w:val="27"/>
          <w:szCs w:val="27"/>
        </w:rPr>
        <w:t xml:space="preserve">7. Khả năng mở rộng qua hệ thống Agency địa phương</w:t>
      </w:r>
    </w:p>
    <w:p>
      <w:pPr>
        <w:spacing w:after="100"/>
      </w:pPr>
      <w:r>
        <w:rPr>
          <w:rFonts w:ascii="Calibri" w:cs="Calibri" w:eastAsia="Calibri" w:hAnsi="Calibri"/>
          <w:b w:val="false"/>
          <w:bCs w:val="false"/>
          <w:i w:val="false"/>
          <w:iCs w:val="false"/>
          <w:sz w:val="21"/>
          <w:szCs w:val="21"/>
        </w:rPr>
        <w:t xml:space="preserve">Một hướng mở rộng đáng cân nhắc là để hệ thống agency tại địa phương, cùng các PO (Product Owner/quản lý kinh doanh) tại đó, tham gia trực tiếp vào hoạt động thiện nguyện của quỹ ở khu vực họ phụ trách.</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Với những điểm đến xa, quỹ trích một khoản chi phí đi lại (x% lợi nhuận của quỹ năm trước) để hỗ trợ.</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Chi phí chính mà agency bỏ ra là thời gian làm việc (có thể chọn tham gia vào cuối tuần hoặc ngày nghỉ lễ); công ty có thể tài trợ thêm hoặc không, tuỳ giai đoạn.</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Lợi ích đi kèm: hoạt động thiện nguyện mở ra cơ hội mở rộng kết nối với khách hàng mới, nếu họ tò mò về cơ chế hoạt động của quỹ và muốn tìm hiểu thêm.</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Cần rà soát và điều chỉnh minh bạch hơn mức chiết khấu cho agency, đảm bảo hoạt động thiện nguyện không bị hiểu lầm là công cụ thúc đẩy doanh số.</w:t>
      </w:r>
    </w:p>
    <w:p>
      <w:pPr>
        <w:pStyle w:val="Heading1"/>
        <w:spacing w:after="120" w:before="280"/>
      </w:pPr>
      <w:r>
        <w:rPr>
          <w:rFonts w:ascii="Calibri" w:cs="Calibri" w:eastAsia="Calibri" w:hAnsi="Calibri"/>
          <w:b/>
          <w:bCs/>
          <w:color w:val="1F4E5F"/>
          <w:sz w:val="27"/>
          <w:szCs w:val="27"/>
        </w:rPr>
        <w:t xml:space="preserve">8. Điểm yếu cốt lõi cần giải quyết</w:t>
      </w:r>
    </w:p>
    <w:p>
      <w:pPr>
        <w:spacing w:after="100"/>
      </w:pPr>
      <w:r>
        <w:rPr>
          <w:rFonts w:ascii="Calibri" w:cs="Calibri" w:eastAsia="Calibri" w:hAnsi="Calibri"/>
          <w:b w:val="false"/>
          <w:bCs w:val="false"/>
          <w:i w:val="false"/>
          <w:iCs w:val="false"/>
          <w:sz w:val="21"/>
          <w:szCs w:val="21"/>
        </w:rPr>
        <w:t xml:space="preserve">Hai điểm yếu chí mạng của mô hình quỹ hiện tại — cũng là trọng tâm mà giải pháp công nghệ (app/nền tảng) cần giải quyết:</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Tính minh bạch — vốn không phải bài toán khó với một công ty bảo hiểm vốn đã quen quản trị tài chính chặt chẽ, nhưng cần được “hiển thị hoá” để khách hàng tự kiểm chứng được.</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Khả năng tương tác với khách hàng — nhóm sẽ là lực lượng chính tham gia hoạt động này. Cụ thể cần trả lời được các câu hỏi: khách hàng có thể theo dõi liên tục thu–chi ra sao? xem video thiện nguyện thế nào? đề xuất/bình chọn địa điểm từ thiện ra sao? và tự quyết định khoản đóng góp của mình có được dùng cho đợt vận động hiện tại hay không?</w:t>
      </w:r>
    </w:p>
    <w:p>
      <w:pPr>
        <w:pStyle w:val="Heading1"/>
        <w:spacing w:after="120" w:before="280"/>
      </w:pPr>
      <w:r>
        <w:rPr>
          <w:rFonts w:ascii="Calibri" w:cs="Calibri" w:eastAsia="Calibri" w:hAnsi="Calibri"/>
          <w:b/>
          <w:bCs/>
          <w:color w:val="1F4E5F"/>
          <w:sz w:val="27"/>
          <w:szCs w:val="27"/>
        </w:rPr>
        <w:t xml:space="preserve">9. Ước tính resource &amp; budget (chi tiết)</w:t>
      </w:r>
    </w:p>
    <w:p>
      <w:pPr>
        <w:pStyle w:val="Heading2"/>
        <w:spacing w:after="80" w:before="160"/>
      </w:pPr>
      <w:r>
        <w:rPr>
          <w:rFonts w:ascii="Calibri" w:cs="Calibri" w:eastAsia="Calibri" w:hAnsi="Calibri"/>
          <w:b/>
          <w:bCs/>
          <w:color w:val="3E6B7A"/>
          <w:sz w:val="23"/>
          <w:szCs w:val="23"/>
        </w:rPr>
        <w:t xml:space="preserve">9.1 Giai đoạn pilot (3–6 tháng)</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Nhân sự: 1 PM/BA, 1–2 Dev (mobile/backend), 1 Designer (UI/UX), 1 DA (theo dõi engagement, thiết kế dashboard minh bạch), phối hợp Legal/Compliance &amp; Marketing nội bộ theo hình thức part-time.</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Công nghệ: ưu tiên tận dụng hạ tầng app hiện có của công ty; cân nhắc MVP dạng webview/mini-app để giảm chi phí phát triển ban đầu.</w:t>
      </w:r>
    </w:p>
    <w:p>
      <w:pPr>
        <w:pStyle w:val="Heading2"/>
        <w:spacing w:after="80" w:before="160"/>
      </w:pPr>
      <w:r>
        <w:rPr>
          <w:rFonts w:ascii="Calibri" w:cs="Calibri" w:eastAsia="Calibri" w:hAnsi="Calibri"/>
          <w:b/>
          <w:bCs/>
          <w:color w:val="3E6B7A"/>
          <w:sz w:val="23"/>
          <w:szCs w:val="23"/>
        </w:rPr>
        <w:t xml:space="preserve">9.2 Vai trò tài trợ của công ty (1–2 năm đầu)</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Vốn mồi (seed fund): trích một tỷ lệ % lợi nhuận công ty hằng năm, dùng mua chứng chỉ tiền gửi/gửi kỳ hạn — tạo dòng lợi nhuận ổn định cho chi phí vận hành mà không cần chờ khách hàng góp mới có kinh phí hoạt động.</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Nhờ có vốn mồi, khách hàng tham gia không phải vì “quỹ đang thiếu tiền cần góp gấp”, mà đơn giản là góp thêm vào một quỹ đã có nền tảng vận hành ổn định — giảm áp lực tâm lý phải bỏ tiền ngay từ đầu.</w:t>
      </w:r>
    </w:p>
    <w:p>
      <w:pPr>
        <w:pStyle w:val="ListParagraph"/>
        <w:numPr>
          <w:ilvl w:val="0"/>
          <w:numId w:val="2"/>
        </w:numPr>
        <w:spacing w:after="60"/>
      </w:pPr>
      <w:r>
        <w:rPr>
          <w:rFonts w:ascii="Calibri" w:cs="Calibri" w:eastAsia="Calibri" w:hAnsi="Calibri"/>
          <w:b w:val="false"/>
          <w:bCs w:val="false"/>
          <w:i w:val="false"/>
          <w:iCs w:val="false"/>
          <w:sz w:val="21"/>
          <w:szCs w:val="21"/>
        </w:rPr>
        <w:t xml:space="preserve">Chi phí thí điểm: 1–2 chuyến thiện nguyện pilot để tạo nội dung thực tế và kiểm chứng mô hình trước khi mở rộng vận động đóng góp từ khách hàng.</w:t>
      </w:r>
    </w:p>
    <w:p>
      <w:pPr>
        <w:pStyle w:val="Heading2"/>
        <w:spacing w:after="80" w:before="160"/>
      </w:pPr>
      <w:r>
        <w:rPr>
          <w:rFonts w:ascii="Calibri" w:cs="Calibri" w:eastAsia="Calibri" w:hAnsi="Calibri"/>
          <w:b/>
          <w:bCs/>
          <w:color w:val="3E6B7A"/>
          <w:sz w:val="23"/>
          <w:szCs w:val="23"/>
        </w:rPr>
        <w:t xml:space="preserve">9.3 Lộ trình chuyển giao dần</w:t>
      </w:r>
    </w:p>
    <w:p>
      <w:pPr>
        <w:spacing w:after="100"/>
      </w:pPr>
      <w:r>
        <w:rPr>
          <w:rFonts w:ascii="Calibri" w:cs="Calibri" w:eastAsia="Calibri" w:hAnsi="Calibri"/>
          <w:b w:val="false"/>
          <w:bCs w:val="false"/>
          <w:i w:val="false"/>
          <w:iCs w:val="false"/>
          <w:sz w:val="21"/>
          <w:szCs w:val="21"/>
        </w:rPr>
        <w:t xml:space="preserve">Theo thời gian, khi quỹ đã có lịch sử vận hành minh bạch và số lượng khách hàng tham gia đủ lớn, tỷ trọng đóng góp từ khách hàng sẽ tăng dần, giảm dần sự phụ thuộc vào vốn tài trợ ban đầu của công ty. Từ năm thứ 3 trở đi, lợi nhuận từ hoạt động đầu tư của quỹ (mục 6) kỳ vọng đủ trang trải phần lớn chi phí vận hành thường xuyên.</w:t>
      </w:r>
    </w:p>
    <w:p>
      <w:pPr>
        <w:pStyle w:val="Heading1"/>
        <w:spacing w:after="120" w:before="280"/>
      </w:pPr>
      <w:r>
        <w:rPr>
          <w:rFonts w:ascii="Calibri" w:cs="Calibri" w:eastAsia="Calibri" w:hAnsi="Calibri"/>
          <w:b/>
          <w:bCs/>
          <w:color w:val="1F4E5F"/>
          <w:sz w:val="27"/>
          <w:szCs w:val="27"/>
        </w:rPr>
        <w:t xml:space="preserve">10. Các function liên quan trong công 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Function</w:t>
            </w:r>
          </w:p>
        </w:tc>
        <w:tc>
          <w:tcPr>
            <w:tcW w:type="dxa" w:w="6700"/>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Vai trò trong dự án</w:t>
            </w:r>
          </w:p>
        </w:tc>
      </w:tr>
      <w:tr>
        <w:tc>
          <w:tcPr>
            <w:tcW w:type="dxa" w:w="2800"/>
            <w:tcMar>
              <w:top w:type="dxa" w:w="80"/>
              <w:left w:type="dxa" w:w="120"/>
              <w:bottom w:type="dxa" w:w="80"/>
              <w:right w:type="dxa" w:w="120"/>
            </w:tcMar>
          </w:tcPr>
          <w:p>
            <w:r>
              <w:rPr>
                <w:rFonts w:ascii="Calibri" w:cs="Calibri" w:eastAsia="Calibri" w:hAnsi="Calibri"/>
                <w:sz w:val="20"/>
                <w:szCs w:val="20"/>
              </w:rPr>
              <w:t xml:space="preserve">Data/IT</w:t>
            </w:r>
          </w:p>
        </w:tc>
        <w:tc>
          <w:tcPr>
            <w:tcW w:type="dxa" w:w="6700"/>
            <w:tcMar>
              <w:top w:type="dxa" w:w="80"/>
              <w:left w:type="dxa" w:w="120"/>
              <w:bottom w:type="dxa" w:w="80"/>
              <w:right w:type="dxa" w:w="120"/>
            </w:tcMar>
          </w:tcPr>
          <w:p>
            <w:r>
              <w:rPr>
                <w:rFonts w:ascii="Calibri" w:cs="Calibri" w:eastAsia="Calibri" w:hAnsi="Calibri"/>
                <w:sz w:val="20"/>
                <w:szCs w:val="20"/>
              </w:rPr>
              <w:t xml:space="preserve">Xây dựng nền tảng, dashboard minh bạch thu–chi, cơ chế đề xuất/bình chọn địa điểm.</w:t>
            </w:r>
          </w:p>
        </w:tc>
      </w:tr>
      <w:tr>
        <w:tc>
          <w:tcPr>
            <w:tcW w:type="dxa" w:w="2800"/>
            <w:tcMar>
              <w:top w:type="dxa" w:w="80"/>
              <w:left w:type="dxa" w:w="120"/>
              <w:bottom w:type="dxa" w:w="80"/>
              <w:right w:type="dxa" w:w="120"/>
            </w:tcMar>
          </w:tcPr>
          <w:p>
            <w:r>
              <w:rPr>
                <w:rFonts w:ascii="Calibri" w:cs="Calibri" w:eastAsia="Calibri" w:hAnsi="Calibri"/>
                <w:sz w:val="20"/>
                <w:szCs w:val="20"/>
              </w:rPr>
              <w:t xml:space="preserve">Tài chính (Finance/Investment)</w:t>
            </w:r>
          </w:p>
        </w:tc>
        <w:tc>
          <w:tcPr>
            <w:tcW w:type="dxa" w:w="6700"/>
            <w:tcMar>
              <w:top w:type="dxa" w:w="80"/>
              <w:left w:type="dxa" w:w="120"/>
              <w:bottom w:type="dxa" w:w="80"/>
              <w:right w:type="dxa" w:w="120"/>
            </w:tcMar>
          </w:tcPr>
          <w:p>
            <w:r>
              <w:rPr>
                <w:rFonts w:ascii="Calibri" w:cs="Calibri" w:eastAsia="Calibri" w:hAnsi="Calibri"/>
                <w:sz w:val="20"/>
                <w:szCs w:val="20"/>
              </w:rPr>
              <w:t xml:space="preserve">Quản lý vốn mồi, vốn góp của khách hàng, và các hoạt động đầu tư/kinh doanh của quỹ (mục 6).</w:t>
            </w:r>
          </w:p>
        </w:tc>
      </w:tr>
      <w:tr>
        <w:tc>
          <w:tcPr>
            <w:tcW w:type="dxa" w:w="2800"/>
            <w:tcMar>
              <w:top w:type="dxa" w:w="80"/>
              <w:left w:type="dxa" w:w="120"/>
              <w:bottom w:type="dxa" w:w="80"/>
              <w:right w:type="dxa" w:w="120"/>
            </w:tcMar>
          </w:tcPr>
          <w:p>
            <w:r>
              <w:rPr>
                <w:rFonts w:ascii="Calibri" w:cs="Calibri" w:eastAsia="Calibri" w:hAnsi="Calibri"/>
                <w:sz w:val="20"/>
                <w:szCs w:val="20"/>
              </w:rPr>
              <w:t xml:space="preserve">Pháp chế/Tuân thủ</w:t>
            </w:r>
          </w:p>
        </w:tc>
        <w:tc>
          <w:tcPr>
            <w:tcW w:type="dxa" w:w="6700"/>
            <w:tcMar>
              <w:top w:type="dxa" w:w="80"/>
              <w:left w:type="dxa" w:w="120"/>
              <w:bottom w:type="dxa" w:w="80"/>
              <w:right w:type="dxa" w:w="120"/>
            </w:tcMar>
          </w:tcPr>
          <w:p>
            <w:r>
              <w:rPr>
                <w:rFonts w:ascii="Calibri" w:cs="Calibri" w:eastAsia="Calibri" w:hAnsi="Calibri"/>
                <w:sz w:val="20"/>
                <w:szCs w:val="20"/>
              </w:rPr>
              <w:t xml:space="preserve">Đảm bảo đúng Nghị định 03/2026 và quy định về quỹ phi lợi nhuận; cơ chế trích lợi nhuận hợp đồng UL; quy định về ghi hình, chia sẻ hình ảnh người thụ hưởng.</w:t>
            </w:r>
          </w:p>
        </w:tc>
      </w:tr>
      <w:tr>
        <w:tc>
          <w:tcPr>
            <w:tcW w:type="dxa" w:w="2800"/>
            <w:tcMar>
              <w:top w:type="dxa" w:w="80"/>
              <w:left w:type="dxa" w:w="120"/>
              <w:bottom w:type="dxa" w:w="80"/>
              <w:right w:type="dxa" w:w="120"/>
            </w:tcMar>
          </w:tcPr>
          <w:p>
            <w:r>
              <w:rPr>
                <w:rFonts w:ascii="Calibri" w:cs="Calibri" w:eastAsia="Calibri" w:hAnsi="Calibri"/>
                <w:sz w:val="20"/>
                <w:szCs w:val="20"/>
              </w:rPr>
              <w:t xml:space="preserve">Marketing/Truyền thông nội bộ</w:t>
            </w:r>
          </w:p>
        </w:tc>
        <w:tc>
          <w:tcPr>
            <w:tcW w:type="dxa" w:w="6700"/>
            <w:tcMar>
              <w:top w:type="dxa" w:w="80"/>
              <w:left w:type="dxa" w:w="120"/>
              <w:bottom w:type="dxa" w:w="80"/>
              <w:right w:type="dxa" w:w="120"/>
            </w:tcMar>
          </w:tcPr>
          <w:p>
            <w:r>
              <w:rPr>
                <w:rFonts w:ascii="Calibri" w:cs="Calibri" w:eastAsia="Calibri" w:hAnsi="Calibri"/>
                <w:sz w:val="20"/>
                <w:szCs w:val="20"/>
              </w:rPr>
              <w:t xml:space="preserve">Nội dung hình ảnh/video, thư cảm ơn; đảm bảo tuân thủ nguyên tắc không PR ra ngoài (mục 5).</w:t>
            </w:r>
          </w:p>
        </w:tc>
      </w:tr>
      <w:tr>
        <w:tc>
          <w:tcPr>
            <w:tcW w:type="dxa" w:w="2800"/>
            <w:tcMar>
              <w:top w:type="dxa" w:w="80"/>
              <w:left w:type="dxa" w:w="120"/>
              <w:bottom w:type="dxa" w:w="80"/>
              <w:right w:type="dxa" w:w="120"/>
            </w:tcMar>
          </w:tcPr>
          <w:p>
            <w:r>
              <w:rPr>
                <w:rFonts w:ascii="Calibri" w:cs="Calibri" w:eastAsia="Calibri" w:hAnsi="Calibri"/>
                <w:sz w:val="20"/>
                <w:szCs w:val="20"/>
              </w:rPr>
              <w:t xml:space="preserve">Kênh Agency/Phân phối</w:t>
            </w:r>
          </w:p>
        </w:tc>
        <w:tc>
          <w:tcPr>
            <w:tcW w:type="dxa" w:w="6700"/>
            <w:tcMar>
              <w:top w:type="dxa" w:w="80"/>
              <w:left w:type="dxa" w:w="120"/>
              <w:bottom w:type="dxa" w:w="80"/>
              <w:right w:type="dxa" w:w="120"/>
            </w:tcMar>
          </w:tcPr>
          <w:p>
            <w:r>
              <w:rPr>
                <w:rFonts w:ascii="Calibri" w:cs="Calibri" w:eastAsia="Calibri" w:hAnsi="Calibri"/>
                <w:sz w:val="20"/>
                <w:szCs w:val="20"/>
              </w:rPr>
              <w:t xml:space="preserve">Phối hợp agency và PO địa phương tham gia trực tiếp hoạt động thiện nguyện (mục 7); rà soát cơ chế chiết khấu liên quan.</w:t>
            </w:r>
          </w:p>
        </w:tc>
      </w:tr>
      <w:tr>
        <w:tc>
          <w:tcPr>
            <w:tcW w:type="dxa" w:w="2800"/>
            <w:tcMar>
              <w:top w:type="dxa" w:w="80"/>
              <w:left w:type="dxa" w:w="120"/>
              <w:bottom w:type="dxa" w:w="80"/>
              <w:right w:type="dxa" w:w="120"/>
            </w:tcMar>
          </w:tcPr>
          <w:p>
            <w:r>
              <w:rPr>
                <w:rFonts w:ascii="Calibri" w:cs="Calibri" w:eastAsia="Calibri" w:hAnsi="Calibri"/>
                <w:sz w:val="20"/>
                <w:szCs w:val="20"/>
              </w:rPr>
              <w:t xml:space="preserve">Chăm sóc khách hàng (CSKH)</w:t>
            </w:r>
          </w:p>
        </w:tc>
        <w:tc>
          <w:tcPr>
            <w:tcW w:type="dxa" w:w="6700"/>
            <w:tcMar>
              <w:top w:type="dxa" w:w="80"/>
              <w:left w:type="dxa" w:w="120"/>
              <w:bottom w:type="dxa" w:w="80"/>
              <w:right w:type="dxa" w:w="120"/>
            </w:tcMar>
          </w:tcPr>
          <w:p>
            <w:r>
              <w:rPr>
                <w:rFonts w:ascii="Calibri" w:cs="Calibri" w:eastAsia="Calibri" w:hAnsi="Calibri"/>
                <w:sz w:val="20"/>
                <w:szCs w:val="20"/>
              </w:rPr>
              <w:t xml:space="preserve">Hỗ trợ khách hàng thao tác trên app, giải đáp thắc mắc về góp quỹ, minh bạch số dư.</w:t>
            </w:r>
          </w:p>
        </w:tc>
      </w:tr>
    </w:tbl>
    <w:sectPr>
      <w:pgSz w:w="11907" w:h="16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2026-08-17T12:19:55.006Z</dcterms:created>
  <dcterms:modified xsi:type="dcterms:W3CDTF">2026-08-17T12:19:55.006Z</dcterms:modified>
</cp:coreProperties>
</file>

<file path=docProps/custom.xml><?xml version="1.0" encoding="utf-8"?>
<Properties xmlns="http://schemas.openxmlformats.org/officeDocument/2006/custom-properties" xmlns:vt="http://schemas.openxmlformats.org/officeDocument/2006/docPropsVTypes"/>
</file>