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Resume Analyzer and Job Matcher</w:t>
      </w:r>
    </w:p>
    <w:p>
      <w:pPr>
        <w:jc w:val="center"/>
      </w:pPr>
      <w:r>
        <w:rPr>
          <w:rFonts w:ascii="Times New Roman" w:hAnsi="Times New Roman"/>
          <w:i/>
          <w:sz w:val="24"/>
        </w:rPr>
        <w:t>CAI4002: Introduction to Artificial Intelligence | Group Project Final Report</w:t>
      </w:r>
    </w:p>
    <w:p>
      <w:pPr>
        <w:jc w:val="center"/>
      </w:pPr>
      <w:r>
        <w:rPr>
          <w:rFonts w:ascii="Times New Roman" w:hAnsi="Times New Roman"/>
          <w:b/>
          <w:sz w:val="22"/>
        </w:rPr>
        <w:t>Team Members: Martin Dang, Tuan Khang Phan</w:t>
        <w:br/>
        <w:t>July 21, 2026</w:t>
      </w:r>
    </w:p>
    <w:p>
      <w:pPr>
        <w:pStyle w:val="Heading1"/>
      </w:pPr>
      <w:r>
        <w:rPr>
          <w:rFonts w:ascii="Times New Roman" w:hAnsi="Times New Roman"/>
          <w:color w:val="0B0B0B"/>
        </w:rPr>
        <w:t>Abstract</w:t>
      </w:r>
    </w:p>
    <w:p>
      <w:r>
        <w:rPr>
          <w:rFonts w:ascii="Times New Roman" w:hAnsi="Times New Roman"/>
        </w:rPr>
        <w:t>This project builds an AI system that measures how well a resume fits a specific job posting and recommends the edits that would raise that fit the most. The completed pipeline extracts a structured, confidence-scored skill profile from a resume, parses a posting into required and preferred qualifications, and produces a 0-100 compatibility score that blends lexical similarity (TF-IDF), constraint-style skill coverage, and pre-trained Sentence-BERT semantic similarity. A Naive Bayes classifier trained on 2,484 real resumes across 24 job categories provides both a predicted job family and a per-skill confidence signal. The system is usable from a command-line demo and from an interactive web interface, and every number in this report is produced by a reproducible script in our repository (github.com/khangpt2k6/Intro_to_AI).</w:t>
      </w:r>
    </w:p>
    <w:p>
      <w:pPr>
        <w:pStyle w:val="Heading1"/>
      </w:pPr>
      <w:r>
        <w:rPr>
          <w:rFonts w:ascii="Times New Roman" w:hAnsi="Times New Roman"/>
          <w:color w:val="0B0B0B"/>
        </w:rPr>
        <w:t>1. System Overview</w:t>
      </w:r>
    </w:p>
    <w:p>
      <w:r>
        <w:rPr>
          <w:rFonts w:ascii="Times New Roman" w:hAnsi="Times New Roman"/>
        </w:rPr>
        <w:t>The five-stage pipeline proposed at the start of the project is now fully implemented. The table below summarizes each stage and how it is built.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rPr>
              <w:t>Pipeline stage</w:t>
            </w:r>
          </w:p>
        </w:tc>
        <w:tc>
          <w:tcPr>
            <w:tcW w:type="dxa" w:w="4320"/>
          </w:tcPr>
          <w:p>
            <w:r>
              <w:rPr>
                <w:rFonts w:ascii="Times New Roman" w:hAnsi="Times New Roman"/>
                <w:b/>
              </w:rPr>
              <w:t>Implementation</w:t>
            </w:r>
          </w:p>
        </w:tc>
      </w:tr>
      <w:tr>
        <w:tc>
          <w:tcPr>
            <w:tcW w:type="dxa" w:w="4320"/>
          </w:tcPr>
          <w:p>
            <w:r>
              <w:rPr>
                <w:rFonts w:ascii="Times New Roman" w:hAnsi="Times New Roman"/>
              </w:rPr>
              <w:t>Resume ingestion</w:t>
            </w:r>
          </w:p>
        </w:tc>
        <w:tc>
          <w:tcPr>
            <w:tcW w:type="dxa" w:w="4320"/>
          </w:tcPr>
          <w:p>
            <w:r>
              <w:rPr>
                <w:rFonts w:ascii="Times New Roman" w:hAnsi="Times New Roman"/>
              </w:rPr>
              <w:t>Uploaded .pdf / .docx / .txt files are converted to clean, normalized text (pypdf, python-docx) so the rest of the pipeline sees the same shape of input regardless of source format.</w:t>
            </w:r>
          </w:p>
        </w:tc>
      </w:tr>
      <w:tr>
        <w:tc>
          <w:tcPr>
            <w:tcW w:type="dxa" w:w="4320"/>
          </w:tcPr>
          <w:p>
            <w:r>
              <w:rPr>
                <w:rFonts w:ascii="Times New Roman" w:hAnsi="Times New Roman"/>
              </w:rPr>
              <w:t>Skill extraction + confidence</w:t>
            </w:r>
          </w:p>
        </w:tc>
        <w:tc>
          <w:tcPr>
            <w:tcW w:type="dxa" w:w="4320"/>
          </w:tcPr>
          <w:p>
            <w:r>
              <w:rPr>
                <w:rFonts w:ascii="Times New Roman" w:hAnsi="Times New Roman"/>
              </w:rPr>
              <w:t>A 244-skill taxonomy (aliases matched with word-bounded regular expressions) covering all 24 dataset categories; each extracted skill gets a confidence in [0,1] blending mention frequency, experience context, and Naive Bayes category agreement (Section 3.2).</w:t>
            </w:r>
          </w:p>
        </w:tc>
      </w:tr>
      <w:tr>
        <w:tc>
          <w:tcPr>
            <w:tcW w:type="dxa" w:w="4320"/>
          </w:tcPr>
          <w:p>
            <w:r>
              <w:rPr>
                <w:rFonts w:ascii="Times New Roman" w:hAnsi="Times New Roman"/>
              </w:rPr>
              <w:t>Job description parsing</w:t>
            </w:r>
          </w:p>
        </w:tc>
        <w:tc>
          <w:tcPr>
            <w:tcW w:type="dxa" w:w="4320"/>
          </w:tcPr>
          <w:p>
            <w:r>
              <w:rPr>
                <w:rFonts w:ascii="Times New Roman" w:hAnsi="Times New Roman"/>
              </w:rPr>
              <w:t>Postings are split into hard constraints (required) and soft constraints (preferred), following the constraint-satisfaction framing from the proposal.</w:t>
            </w:r>
          </w:p>
        </w:tc>
      </w:tr>
      <w:tr>
        <w:tc>
          <w:tcPr>
            <w:tcW w:type="dxa" w:w="4320"/>
          </w:tcPr>
          <w:p>
            <w:r>
              <w:rPr>
                <w:rFonts w:ascii="Times New Roman" w:hAnsi="Times New Roman"/>
              </w:rPr>
              <w:t>Compatibility scoring</w:t>
            </w:r>
          </w:p>
        </w:tc>
        <w:tc>
          <w:tcPr>
            <w:tcW w:type="dxa" w:w="4320"/>
          </w:tcPr>
          <w:p>
            <w:r>
              <w:rPr>
                <w:rFonts w:ascii="Times New Roman" w:hAnsi="Times New Roman"/>
              </w:rPr>
              <w:t>A 0-100 score blending confidence-weighted skill coverage (0.4), corpus percentile of TF-IDF cosine similarity (0.3), and pre-trained Sentence-BERT semantic similarity (0.3).</w:t>
            </w:r>
          </w:p>
        </w:tc>
      </w:tr>
      <w:tr>
        <w:tc>
          <w:tcPr>
            <w:tcW w:type="dxa" w:w="4320"/>
          </w:tcPr>
          <w:p>
            <w:r>
              <w:rPr>
                <w:rFonts w:ascii="Times New Roman" w:hAnsi="Times New Roman"/>
              </w:rPr>
              <w:t>Recommendation engine</w:t>
            </w:r>
          </w:p>
        </w:tc>
        <w:tc>
          <w:tcPr>
            <w:tcW w:type="dxa" w:w="4320"/>
          </w:tcPr>
          <w:p>
            <w:r>
              <w:rPr>
                <w:rFonts w:ascii="Times New Roman" w:hAnsi="Times New Roman"/>
              </w:rPr>
              <w:t>Missing constraints ranked greedy best-first by the exact score gain each edit recovers; required skills weighted twice preferred ones.</w:t>
            </w:r>
          </w:p>
        </w:tc>
      </w:tr>
      <w:tr>
        <w:tc>
          <w:tcPr>
            <w:tcW w:type="dxa" w:w="4320"/>
          </w:tcPr>
          <w:p>
            <w:r>
              <w:rPr>
                <w:rFonts w:ascii="Times New Roman" w:hAnsi="Times New Roman"/>
              </w:rPr>
              <w:t>Category classification</w:t>
            </w:r>
          </w:p>
        </w:tc>
        <w:tc>
          <w:tcPr>
            <w:tcW w:type="dxa" w:w="4320"/>
          </w:tcPr>
          <w:p>
            <w:r>
              <w:rPr>
                <w:rFonts w:ascii="Times New Roman" w:hAnsi="Times New Roman"/>
              </w:rPr>
              <w:t>Multinomial Naive Bayes and Logistic Regression over TF-IDF features, evaluated on a stratified held-out test set (Section 4).</w:t>
            </w:r>
          </w:p>
        </w:tc>
      </w:tr>
    </w:tbl>
    <w:p/>
    <w:p>
      <w:pPr>
        <w:pStyle w:val="Heading1"/>
      </w:pPr>
      <w:r>
        <w:rPr>
          <w:rFonts w:ascii="Times New Roman" w:hAnsi="Times New Roman"/>
          <w:color w:val="0B0B0B"/>
        </w:rPr>
        <w:t>2. Dataset</w:t>
      </w:r>
    </w:p>
    <w:p>
      <w:r>
        <w:rPr>
          <w:rFonts w:ascii="Times New Roman" w:hAnsi="Times New Roman"/>
        </w:rPr>
        <w:t>We use the public Resume Dataset from Kaggle (snehaanbhawal/resume-dataset). It contains 2,484 real resumes provided as plain text and labeled into 24 job categories such as Information Technology, Finance, Engineering, Healthcare, Teacher, and Chef. The dataset is the training corpus for the TF-IDF vector space and the category classifier, and it supplies realistic test resumes for the matching demo.</w:t>
      </w:r>
    </w:p>
    <w:p>
      <w:pPr>
        <w:jc w:val="center"/>
      </w:pPr>
      <w:r>
        <w:rPr>
          <w:rFonts w:ascii="Times New Roman" w:hAnsi="Times New Roman"/>
        </w:rPr>
        <w:drawing>
          <wp:inline xmlns:a="http://schemas.openxmlformats.org/drawingml/2006/main" xmlns:pic="http://schemas.openxmlformats.org/drawingml/2006/picture">
            <wp:extent cx="5120640" cy="4480560"/>
            <wp:docPr id="1" name="Picture 1"/>
            <wp:cNvGraphicFramePr>
              <a:graphicFrameLocks noChangeAspect="1"/>
            </wp:cNvGraphicFramePr>
            <a:graphic>
              <a:graphicData uri="http://schemas.openxmlformats.org/drawingml/2006/picture">
                <pic:pic>
                  <pic:nvPicPr>
                    <pic:cNvPr id="0" name="fig1_category_distribution.png"/>
                    <pic:cNvPicPr/>
                  </pic:nvPicPr>
                  <pic:blipFill>
                    <a:blip r:embed="rId9"/>
                    <a:stretch>
                      <a:fillRect/>
                    </a:stretch>
                  </pic:blipFill>
                  <pic:spPr>
                    <a:xfrm>
                      <a:off x="0" y="0"/>
                      <a:ext cx="5120640" cy="4480560"/>
                    </a:xfrm>
                    <a:prstGeom prst="rect"/>
                  </pic:spPr>
                </pic:pic>
              </a:graphicData>
            </a:graphic>
          </wp:inline>
        </w:drawing>
      </w:r>
    </w:p>
    <w:p>
      <w:pPr>
        <w:jc w:val="center"/>
      </w:pPr>
      <w:r>
        <w:rPr>
          <w:rFonts w:ascii="Times New Roman" w:hAnsi="Times New Roman"/>
          <w:i/>
          <w:color w:val="52514E"/>
          <w:sz w:val="18"/>
        </w:rPr>
        <w:t>Figure 1. Distribution of the 2,484 resumes across the 24 job categories. The class imbalance (120 vs 22 resumes) is a challenge the classifier must handle.</w:t>
      </w:r>
    </w:p>
    <w:p>
      <w:pPr>
        <w:pStyle w:val="Heading1"/>
      </w:pPr>
      <w:r>
        <w:rPr>
          <w:rFonts w:ascii="Times New Roman" w:hAnsi="Times New Roman"/>
          <w:color w:val="0B0B0B"/>
        </w:rPr>
        <w:t>3. Methods</w:t>
      </w:r>
    </w:p>
    <w:p>
      <w:pPr>
        <w:pStyle w:val="Heading2"/>
      </w:pPr>
      <w:r>
        <w:rPr>
          <w:rFonts w:ascii="Times New Roman" w:hAnsi="Times New Roman"/>
          <w:color w:val="0B0B0B"/>
        </w:rPr>
        <w:t>3.1 Skill extraction and taxonomy</w:t>
      </w:r>
    </w:p>
    <w:p>
      <w:r>
        <w:rPr>
          <w:rFonts w:ascii="Times New Roman" w:hAnsi="Times New Roman"/>
        </w:rPr>
        <w:t>Skill mentions are normalized through a controlled vocabulary of 244 canonical skills, each with a list of surface-form aliases (for example 'JS' and 'Javascript' both map to JavaScript). Aliases are matched with case-insensitive, word-bounded regular expressions, and every alias is globally unique so a mention resolves to exactly one skill. The taxonomy was expanded from an initial IT/finance-focused set to span all 24 dataset categories (education, culinary, design, healthcare, legal, aviation, agriculture, and more); average skills extracted per resume rose several-fold for the previously under-covered categories, and every category now has at least one skill matched in 100% of its resumes.</w:t>
      </w:r>
    </w:p>
    <w:p>
      <w:pPr>
        <w:pStyle w:val="Heading2"/>
      </w:pPr>
      <w:r>
        <w:rPr>
          <w:rFonts w:ascii="Times New Roman" w:hAnsi="Times New Roman"/>
          <w:color w:val="0B0B0B"/>
        </w:rPr>
        <w:t>3.2 Skill confidence (Naive Bayes agreement)</w:t>
      </w:r>
    </w:p>
    <w:p>
      <w:r>
        <w:rPr>
          <w:rFonts w:ascii="Times New Roman" w:hAnsi="Times New Roman"/>
        </w:rPr>
        <w:t>Binary alias matching tells us a skill is mentioned; it cannot tell us whether the resume genuinely demonstrates it. Each extracted skill therefore carries a confidence in [0,1] that blends three signals: (1) mention frequency, so a skill named several times outweighs one named once; (2) experience context, which rewards mentions that sit next to action words ('built', 'developed', 'three years of ...') over mentions that only appear in a flat skills list; and (3) category agreement, a Naive Bayes signal. A Multinomial Naive Bayes classifier estimates P(category | resume); each skill has an expected category profile derived from the same model, and agreement is the cosine between the two distributions. A TensorFlow mention on a resume that reads as Information Technology is therefore trusted more than the same mention on an accountant resume. With the classifier the three signals are weighted 0.40 / 0.25 / 0.35; the matcher then credits each matched requirement by the resume's confidence in that skill, so a genuinely demonstrated skill contributes more to the coverage score than a name-dropped one.</w:t>
      </w:r>
    </w:p>
    <w:p>
      <w:pPr>
        <w:pStyle w:val="Heading2"/>
      </w:pPr>
      <w:r>
        <w:rPr>
          <w:rFonts w:ascii="Times New Roman" w:hAnsi="Times New Roman"/>
          <w:color w:val="0B0B0B"/>
        </w:rPr>
        <w:t>3.3 Compatibility score</w:t>
      </w:r>
    </w:p>
    <w:p>
      <w:r>
        <w:rPr>
          <w:rFonts w:ascii="Times New Roman" w:hAnsi="Times New Roman"/>
        </w:rPr>
        <w:t>The final 0-100 score is a weighted sum of three components: confidence-weighted skill coverage (weight 0.4; required skills weighted 1.0, preferred 0.5), corpus percentile (weight 0.3; where the resume's TF-IDF cosine similarity to the posting ranks against all 2,484 corpus resumes), and semantic similarity (weight 0.3). Percentile calibration keeps the otherwise tiny raw cosine values (roughly 0.01 to 0.17) interpretable.</w:t>
      </w:r>
    </w:p>
    <w:p>
      <w:pPr>
        <w:pStyle w:val="Heading2"/>
      </w:pPr>
      <w:r>
        <w:rPr>
          <w:rFonts w:ascii="Times New Roman" w:hAnsi="Times New Roman"/>
          <w:color w:val="0B0B0B"/>
        </w:rPr>
        <w:t>3.4 Sentence-BERT semantic similarity</w:t>
      </w:r>
    </w:p>
    <w:p>
      <w:r>
        <w:rPr>
          <w:rFonts w:ascii="Times New Roman" w:hAnsi="Times New Roman"/>
        </w:rPr>
        <w:t>TF-IDF only rewards exact lexical overlap, so a resume that says 'built REST services in Django' earns no credit against a posting asking for 'web backend development in Python'. To capture paraphrase, we add a semantic component: cosine similarity between sentence embeddings of the resume and the posting. We use a pre-trained Sentence-BERT model (all-MiniLM-L6-v2) strictly as a black-box embedder; consistent with the scope of the course, we do not fine-tune or otherwise train it. On the demo the semantic component tracks fit closely, ranging from 0.35 for the accountant posting to 0.68 for the software engineer posting.</w:t>
      </w:r>
    </w:p>
    <w:p>
      <w:pPr>
        <w:pStyle w:val="Heading2"/>
      </w:pPr>
      <w:r>
        <w:rPr>
          <w:rFonts w:ascii="Times New Roman" w:hAnsi="Times New Roman"/>
          <w:color w:val="0B0B0B"/>
        </w:rPr>
        <w:t>3.5 Recommendation engine</w:t>
      </w:r>
    </w:p>
    <w:p>
      <w:r>
        <w:rPr>
          <w:rFonts w:ascii="Times New Roman" w:hAnsi="Times New Roman"/>
        </w:rPr>
        <w:t>Resume improvement is treated as a search problem: each missing constraint is a candidate edit scored by the exact coverage points it would recover, and edits are expanded best-first, largest gain first. Required skills dominate because they carry twice the weight of preferred ones.</w:t>
      </w:r>
    </w:p>
    <w:p>
      <w:pPr>
        <w:pStyle w:val="Heading1"/>
      </w:pPr>
      <w:r>
        <w:rPr>
          <w:rFonts w:ascii="Times New Roman" w:hAnsi="Times New Roman"/>
          <w:color w:val="0B0B0B"/>
        </w:rPr>
        <w:t>4. Experimental Results</w:t>
      </w:r>
    </w:p>
    <w:p>
      <w:r>
        <w:rPr>
          <w:rFonts w:ascii="Times New Roman" w:hAnsi="Times New Roman"/>
        </w:rPr>
        <w:t>We trained two classifiers to predict a resume's job category from its text on an 80/20 stratified split (1,987 training, 497 test resumes). With 24 classes, random guessing would score about 4.2%. These classifier results are unchanged from the progress-report baseline, as expected: the classifier reads the raw resume text and is independent of the taxonomy and confidence work done since.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rPr>
              <w:t>Model</w:t>
            </w:r>
          </w:p>
        </w:tc>
        <w:tc>
          <w:tcPr>
            <w:tcW w:type="dxa" w:w="2880"/>
          </w:tcPr>
          <w:p>
            <w:r>
              <w:rPr>
                <w:rFonts w:ascii="Times New Roman" w:hAnsi="Times New Roman"/>
                <w:b/>
              </w:rPr>
              <w:t>Accuracy</w:t>
            </w:r>
          </w:p>
        </w:tc>
        <w:tc>
          <w:tcPr>
            <w:tcW w:type="dxa" w:w="2880"/>
          </w:tcPr>
          <w:p>
            <w:r>
              <w:rPr>
                <w:rFonts w:ascii="Times New Roman" w:hAnsi="Times New Roman"/>
                <w:b/>
              </w:rPr>
              <w:t>Macro F1</w:t>
            </w:r>
          </w:p>
        </w:tc>
      </w:tr>
      <w:tr>
        <w:tc>
          <w:tcPr>
            <w:tcW w:type="dxa" w:w="2880"/>
          </w:tcPr>
          <w:p>
            <w:r>
              <w:rPr>
                <w:rFonts w:ascii="Times New Roman" w:hAnsi="Times New Roman"/>
              </w:rPr>
              <w:t>Multinomial Naive Bayes</w:t>
            </w:r>
          </w:p>
        </w:tc>
        <w:tc>
          <w:tcPr>
            <w:tcW w:type="dxa" w:w="2880"/>
          </w:tcPr>
          <w:p>
            <w:r>
              <w:rPr>
                <w:rFonts w:ascii="Times New Roman" w:hAnsi="Times New Roman"/>
              </w:rPr>
              <w:t>57.3%</w:t>
            </w:r>
          </w:p>
        </w:tc>
        <w:tc>
          <w:tcPr>
            <w:tcW w:type="dxa" w:w="2880"/>
          </w:tcPr>
          <w:p>
            <w:r>
              <w:rPr>
                <w:rFonts w:ascii="Times New Roman" w:hAnsi="Times New Roman"/>
              </w:rPr>
              <w:t>0.494</w:t>
            </w:r>
          </w:p>
        </w:tc>
      </w:tr>
      <w:tr>
        <w:tc>
          <w:tcPr>
            <w:tcW w:type="dxa" w:w="2880"/>
          </w:tcPr>
          <w:p>
            <w:r>
              <w:rPr>
                <w:rFonts w:ascii="Times New Roman" w:hAnsi="Times New Roman"/>
              </w:rPr>
              <w:t>Logistic Regression</w:t>
            </w:r>
          </w:p>
        </w:tc>
        <w:tc>
          <w:tcPr>
            <w:tcW w:type="dxa" w:w="2880"/>
          </w:tcPr>
          <w:p>
            <w:r>
              <w:rPr>
                <w:rFonts w:ascii="Times New Roman" w:hAnsi="Times New Roman"/>
              </w:rPr>
              <w:t>68.6%</w:t>
            </w:r>
          </w:p>
        </w:tc>
        <w:tc>
          <w:tcPr>
            <w:tcW w:type="dxa" w:w="2880"/>
          </w:tcPr>
          <w:p>
            <w:r>
              <w:rPr>
                <w:rFonts w:ascii="Times New Roman" w:hAnsi="Times New Roman"/>
              </w:rPr>
              <w:t>0.637</w:t>
            </w:r>
          </w:p>
        </w:tc>
      </w:tr>
    </w:tbl>
    <w:p/>
    <w:p>
      <w:pPr>
        <w:jc w:val="center"/>
      </w:pPr>
      <w:r>
        <w:rPr>
          <w:rFonts w:ascii="Times New Roman" w:hAnsi="Times New Roman"/>
        </w:rP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4754880" cy="2971800"/>
                    </a:xfrm>
                    <a:prstGeom prst="rect"/>
                  </pic:spPr>
                </pic:pic>
              </a:graphicData>
            </a:graphic>
          </wp:inline>
        </w:drawing>
      </w:r>
    </w:p>
    <w:p>
      <w:pPr>
        <w:jc w:val="center"/>
      </w:pPr>
      <w:r>
        <w:rPr>
          <w:rFonts w:ascii="Times New Roman" w:hAnsi="Times New Roman"/>
          <w:i/>
          <w:color w:val="52514E"/>
          <w:sz w:val="18"/>
        </w:rPr>
        <w:t>Figure 2. Both models beat the 4.2% random baseline by a wide margin; Logistic Regression is the stronger of the two.</w:t>
      </w:r>
    </w:p>
    <w:p>
      <w:pPr>
        <w:jc w:val="center"/>
      </w:pPr>
      <w:r>
        <w:rPr>
          <w:rFonts w:ascii="Times New Roman" w:hAnsi="Times New Roman"/>
        </w:rPr>
        <w:drawing>
          <wp:inline xmlns:a="http://schemas.openxmlformats.org/drawingml/2006/main" xmlns:pic="http://schemas.openxmlformats.org/drawingml/2006/picture">
            <wp:extent cx="5486400" cy="4876800"/>
            <wp:docPr id="3" name="Picture 3"/>
            <wp:cNvGraphicFramePr>
              <a:graphicFrameLocks noChangeAspect="1"/>
            </wp:cNvGraphicFramePr>
            <a:graphic>
              <a:graphicData uri="http://schemas.openxmlformats.org/drawingml/2006/picture">
                <pic:pic>
                  <pic:nvPicPr>
                    <pic:cNvPr id="0" name="fig3_confusion_matrix.png"/>
                    <pic:cNvPicPr/>
                  </pic:nvPicPr>
                  <pic:blipFill>
                    <a:blip r:embed="rId11"/>
                    <a:stretch>
                      <a:fillRect/>
                    </a:stretch>
                  </pic:blipFill>
                  <pic:spPr>
                    <a:xfrm>
                      <a:off x="0" y="0"/>
                      <a:ext cx="5486400" cy="4876800"/>
                    </a:xfrm>
                    <a:prstGeom prst="rect"/>
                  </pic:spPr>
                </pic:pic>
              </a:graphicData>
            </a:graphic>
          </wp:inline>
        </w:drawing>
      </w:r>
    </w:p>
    <w:p>
      <w:pPr>
        <w:jc w:val="center"/>
      </w:pPr>
      <w:r>
        <w:rPr>
          <w:rFonts w:ascii="Times New Roman" w:hAnsi="Times New Roman"/>
          <w:i/>
          <w:color w:val="52514E"/>
          <w:sz w:val="18"/>
        </w:rPr>
        <w:t>Figure 3. Normalized confusion matrix for Logistic Regression. The strong diagonal shows most categories are learned well; the remaining confusion concentrates in genuinely overlapping categories (Finance vs Accountant, Sales vs Business Development).</w:t>
      </w:r>
    </w:p>
    <w:p>
      <w:pPr>
        <w:pStyle w:val="Heading1"/>
      </w:pPr>
      <w:r>
        <w:rPr>
          <w:rFonts w:ascii="Times New Roman" w:hAnsi="Times New Roman"/>
          <w:color w:val="0B0B0B"/>
        </w:rPr>
        <w:t>5. End-to-End Demo</w:t>
      </w:r>
    </w:p>
    <w:p>
      <w:r>
        <w:rPr>
          <w:rFonts w:ascii="Times New Roman" w:hAnsi="Times New Roman"/>
        </w:rPr>
        <w:t>To validate the whole pipeline we matched one real Information Technology resume from the dataset (ID 83816738) against three postings we wrote in realistic formats. The system behaves as a human reviewer would expect: the resume scores 71.6/100 against the software engineer posting, 47.4/100 against the data analyst posting, and only 13.5/100 against the accountant posting. Scores are lower than a naive count-based match would give because coverage is weighted by per-skill confidence.</w:t>
      </w:r>
    </w:p>
    <w:p>
      <w:pPr>
        <w:jc w:val="center"/>
      </w:pPr>
      <w:r>
        <w:rPr>
          <w:rFonts w:ascii="Times New Roman" w:hAnsi="Times New Roman"/>
        </w:rPr>
        <w:drawing>
          <wp:inline xmlns:a="http://schemas.openxmlformats.org/drawingml/2006/main" xmlns:pic="http://schemas.openxmlformats.org/drawingml/2006/picture">
            <wp:extent cx="4937760" cy="2543695"/>
            <wp:docPr id="4" name="Picture 4"/>
            <wp:cNvGraphicFramePr>
              <a:graphicFrameLocks noChangeAspect="1"/>
            </wp:cNvGraphicFramePr>
            <a:graphic>
              <a:graphicData uri="http://schemas.openxmlformats.org/drawingml/2006/picture">
                <pic:pic>
                  <pic:nvPicPr>
                    <pic:cNvPr id="0" name="fig4_match_scores.png"/>
                    <pic:cNvPicPr/>
                  </pic:nvPicPr>
                  <pic:blipFill>
                    <a:blip r:embed="rId12"/>
                    <a:stretch>
                      <a:fillRect/>
                    </a:stretch>
                  </pic:blipFill>
                  <pic:spPr>
                    <a:xfrm>
                      <a:off x="0" y="0"/>
                      <a:ext cx="4937760" cy="2543695"/>
                    </a:xfrm>
                    <a:prstGeom prst="rect"/>
                  </pic:spPr>
                </pic:pic>
              </a:graphicData>
            </a:graphic>
          </wp:inline>
        </w:drawing>
      </w:r>
    </w:p>
    <w:p>
      <w:pPr>
        <w:jc w:val="center"/>
      </w:pPr>
      <w:r>
        <w:rPr>
          <w:rFonts w:ascii="Times New Roman" w:hAnsi="Times New Roman"/>
          <w:i/>
          <w:color w:val="52514E"/>
          <w:sz w:val="18"/>
        </w:rPr>
        <w:t>Figure 4. The same resume scored against three postings. The score cleanly separates the strong fit from the partial and poor fits.</w:t>
      </w:r>
    </w:p>
    <w:p>
      <w:r>
        <w:rPr>
          <w:rFonts w:ascii="Times New Roman" w:hAnsi="Times New Roman"/>
        </w:rPr>
        <w:t>For the software engineer posting the analyzer matched 6 of 8 required skills, each shown with its confidence: AWS (0.55), Agile (0.73), Git (0.80), Java (0.81), REST APIs (0.65), SQL (0.91). It flagged Docker, Python required skills as missing and ranked Docker, Python as the highest-value edits, ahead of preferred-skill edits like Kubernetes.</w:t>
      </w:r>
    </w:p>
    <w:p>
      <w:pPr>
        <w:jc w:val="center"/>
      </w:pPr>
      <w:r>
        <w:rPr>
          <w:rFonts w:ascii="Times New Roman" w:hAnsi="Times New Roman"/>
        </w:rPr>
        <w:drawing>
          <wp:inline xmlns:a="http://schemas.openxmlformats.org/drawingml/2006/main" xmlns:pic="http://schemas.openxmlformats.org/drawingml/2006/picture">
            <wp:extent cx="5669280" cy="6591082"/>
            <wp:docPr id="5" name="Picture 5"/>
            <wp:cNvGraphicFramePr>
              <a:graphicFrameLocks noChangeAspect="1"/>
            </wp:cNvGraphicFramePr>
            <a:graphic>
              <a:graphicData uri="http://schemas.openxmlformats.org/drawingml/2006/picture">
                <pic:pic>
                  <pic:nvPicPr>
                    <pic:cNvPr id="0" name="fig5_demo_output.png"/>
                    <pic:cNvPicPr/>
                  </pic:nvPicPr>
                  <pic:blipFill>
                    <a:blip r:embed="rId13"/>
                    <a:stretch>
                      <a:fillRect/>
                    </a:stretch>
                  </pic:blipFill>
                  <pic:spPr>
                    <a:xfrm>
                      <a:off x="0" y="0"/>
                      <a:ext cx="5669280" cy="6591082"/>
                    </a:xfrm>
                    <a:prstGeom prst="rect"/>
                  </pic:spPr>
                </pic:pic>
              </a:graphicData>
            </a:graphic>
          </wp:inline>
        </w:drawing>
      </w:r>
    </w:p>
    <w:p>
      <w:pPr>
        <w:jc w:val="center"/>
      </w:pPr>
      <w:r>
        <w:rPr>
          <w:rFonts w:ascii="Times New Roman" w:hAnsi="Times New Roman"/>
          <w:i/>
          <w:color w:val="52514E"/>
          <w:sz w:val="18"/>
        </w:rPr>
        <w:t>Figure 5. Console output for the demo resume across all three postings, including the extracted skills with confidence and the ranked edit recommendations.</w:t>
      </w:r>
    </w:p>
    <w:p>
      <w:pPr>
        <w:pStyle w:val="Heading1"/>
      </w:pPr>
      <w:r>
        <w:rPr>
          <w:rFonts w:ascii="Times New Roman" w:hAnsi="Times New Roman"/>
          <w:color w:val="0B0B0B"/>
        </w:rPr>
        <w:t>6. Web Interface</w:t>
      </w:r>
    </w:p>
    <w:p>
      <w:r>
        <w:rPr>
          <w:rFonts w:ascii="Times New Roman" w:hAnsi="Times New Roman"/>
        </w:rPr>
        <w:t>The system is also usable from a Streamlit web app (streamlit run app.py). A user uploads a resume file or pastes resume text, picks or pastes a job description, and sees the compatibility score with its component breakdown, the matched and missing skills with confidence, the Naive Bayes predicted job category, and the ranked recommended edits. The corpus, matcher, and models are cached so they load once per session.</w:t>
      </w:r>
    </w:p>
    <w:p>
      <w:pPr>
        <w:jc w:val="center"/>
      </w:pPr>
      <w:r>
        <w:rPr>
          <w:rFonts w:ascii="Times New Roman" w:hAnsi="Times New Roman"/>
        </w:rPr>
        <w:drawing>
          <wp:inline xmlns:a="http://schemas.openxmlformats.org/drawingml/2006/main" xmlns:pic="http://schemas.openxmlformats.org/drawingml/2006/picture">
            <wp:extent cx="5486400" cy="8001000"/>
            <wp:docPr id="6" name="Picture 6"/>
            <wp:cNvGraphicFramePr>
              <a:graphicFrameLocks noChangeAspect="1"/>
            </wp:cNvGraphicFramePr>
            <a:graphic>
              <a:graphicData uri="http://schemas.openxmlformats.org/drawingml/2006/picture">
                <pic:pic>
                  <pic:nvPicPr>
                    <pic:cNvPr id="0" name="fig6_web_ui.png"/>
                    <pic:cNvPicPr/>
                  </pic:nvPicPr>
                  <pic:blipFill>
                    <a:blip r:embed="rId14"/>
                    <a:stretch>
                      <a:fillRect/>
                    </a:stretch>
                  </pic:blipFill>
                  <pic:spPr>
                    <a:xfrm>
                      <a:off x="0" y="0"/>
                      <a:ext cx="5486400" cy="8001000"/>
                    </a:xfrm>
                    <a:prstGeom prst="rect"/>
                  </pic:spPr>
                </pic:pic>
              </a:graphicData>
            </a:graphic>
          </wp:inline>
        </w:drawing>
      </w:r>
    </w:p>
    <w:p>
      <w:pPr>
        <w:jc w:val="center"/>
      </w:pPr>
      <w:r>
        <w:rPr>
          <w:rFonts w:ascii="Times New Roman" w:hAnsi="Times New Roman"/>
          <w:i/>
          <w:color w:val="52514E"/>
          <w:sz w:val="18"/>
        </w:rPr>
        <w:t>Figure 6. The web interface, showing an IT resume matched against a backend software engineer posting: score, component breakdown, predicted category, matched/missing skills with confidence, and recommended edits.</w:t>
      </w:r>
    </w:p>
    <w:p>
      <w:pPr>
        <w:pStyle w:val="Heading1"/>
      </w:pPr>
      <w:r>
        <w:rPr>
          <w:rFonts w:ascii="Times New Roman" w:hAnsi="Times New Roman"/>
          <w:color w:val="0B0B0B"/>
        </w:rPr>
        <w:t>7. Challenges</w:t>
      </w:r>
    </w:p>
    <w:p>
      <w:pPr>
        <w:pStyle w:val="ListBullet"/>
      </w:pPr>
      <w:r>
        <w:rPr>
          <w:rFonts w:ascii="Times New Roman" w:hAnsi="Times New Roman"/>
          <w:b/>
        </w:rPr>
        <w:t xml:space="preserve">Class imbalance in the dataset. </w:t>
      </w:r>
      <w:r>
        <w:rPr>
          <w:rFonts w:ascii="Times New Roman" w:hAnsi="Times New Roman"/>
        </w:rPr>
        <w:t>The largest categories have 120 resumes while the smallest (BPO) has only 22. We report macro F1 (which weights every class equally) next to raw accuracy, and use a stratified split.</w:t>
      </w:r>
    </w:p>
    <w:p>
      <w:pPr>
        <w:pStyle w:val="ListBullet"/>
      </w:pPr>
      <w:r>
        <w:rPr>
          <w:rFonts w:ascii="Times New Roman" w:hAnsi="Times New Roman"/>
          <w:b/>
        </w:rPr>
        <w:t xml:space="preserve">Semantically overlapping categories. </w:t>
      </w:r>
      <w:r>
        <w:rPr>
          <w:rFonts w:ascii="Times New Roman" w:hAnsi="Times New Roman"/>
        </w:rPr>
        <w:t>Classification error concentrates in category pairs that share vocabulary (Finance vs Accountant, Sales vs Business Development). This motivated adding Logistic Regression (+11 points over Naive Bayes) and the Sentence-BERT semantic signal in the matcher.</w:t>
      </w:r>
    </w:p>
    <w:p>
      <w:pPr>
        <w:pStyle w:val="ListBullet"/>
      </w:pPr>
      <w:r>
        <w:rPr>
          <w:rFonts w:ascii="Times New Roman" w:hAnsi="Times New Roman"/>
          <w:b/>
        </w:rPr>
        <w:t xml:space="preserve">Distinguishing genuine skills from name-dropping. </w:t>
      </w:r>
      <w:r>
        <w:rPr>
          <w:rFonts w:ascii="Times New Roman" w:hAnsi="Times New Roman"/>
        </w:rPr>
        <w:t>A skill listed once in a skills block is weaker evidence than one used in described work. The confidence blend (frequency, experience context, and Naive Bayes category agreement) addresses this directly and feeds a confidence-weighted coverage score.</w:t>
      </w:r>
    </w:p>
    <w:p>
      <w:pPr>
        <w:pStyle w:val="ListBullet"/>
      </w:pPr>
      <w:r>
        <w:rPr>
          <w:rFonts w:ascii="Times New Roman" w:hAnsi="Times New Roman"/>
          <w:b/>
        </w:rPr>
        <w:t xml:space="preserve">Short skill aliases cause false positives. </w:t>
      </w:r>
      <w:r>
        <w:rPr>
          <w:rFonts w:ascii="Times New Roman" w:hAnsi="Times New Roman"/>
        </w:rPr>
        <w:t>Aliases like 'R' or 'Go' match ordinary words, and generic terms cause cross-domain hits (an early version matched 'reporting' in 'financial reporting' as Journalism). We use word-bounded matching, prefer longer alias forms, and keep aliases globally unique, verified by automated tests.</w:t>
      </w:r>
    </w:p>
    <w:p>
      <w:pPr>
        <w:pStyle w:val="ListBullet"/>
      </w:pPr>
      <w:r>
        <w:rPr>
          <w:rFonts w:ascii="Times New Roman" w:hAnsi="Times New Roman"/>
          <w:b/>
        </w:rPr>
        <w:t xml:space="preserve">Reproducibility and safety of the pipeline. </w:t>
      </w:r>
      <w:r>
        <w:rPr>
          <w:rFonts w:ascii="Times New Roman" w:hAnsi="Times New Roman"/>
        </w:rPr>
        <w:t>Continuous integration runs the test suite on every change, and the heavy Sentence-BERT import is deferred so the core package and tests run without the deep-learning stack.</w:t>
      </w:r>
    </w:p>
    <w:p/>
    <w:p>
      <w:pPr>
        <w:pStyle w:val="Heading1"/>
      </w:pPr>
      <w:r>
        <w:rPr>
          <w:rFonts w:ascii="Times New Roman" w:hAnsi="Times New Roman"/>
          <w:color w:val="0B0B0B"/>
        </w:rPr>
        <w:t>8. Team Contributions</w:t>
      </w:r>
    </w:p>
    <w:p>
      <w:r>
        <w:rPr>
          <w:rFonts w:ascii="Times New Roman" w:hAnsi="Times New Roman"/>
        </w:rPr>
        <w:t>We split the work evenly (50/50), pairing on design decisions and dividing implementation by pipeline stage: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rPr>
              <w:t>Martin Dang (50%)</w:t>
            </w:r>
          </w:p>
        </w:tc>
        <w:tc>
          <w:tcPr>
            <w:tcW w:type="dxa" w:w="4320"/>
          </w:tcPr>
          <w:p>
            <w:r>
              <w:rPr>
                <w:rFonts w:ascii="Times New Roman" w:hAnsi="Times New Roman"/>
                <w:b/>
              </w:rPr>
              <w:t>Tuan Khang Phan (50%)</w:t>
            </w:r>
          </w:p>
        </w:tc>
      </w:tr>
      <w:tr>
        <w:tc>
          <w:tcPr>
            <w:tcW w:type="dxa" w:w="4320"/>
          </w:tcPr>
          <w:p>
            <w:r>
              <w:rPr>
                <w:rFonts w:ascii="Times New Roman" w:hAnsi="Times New Roman"/>
              </w:rPr>
              <w:t>Skill taxonomy design and expansion to 24 categories; skill extraction and confidence blend; job constraint parser; recommendation engine; Sentence-BERT semantic similarity component</w:t>
            </w:r>
          </w:p>
        </w:tc>
        <w:tc>
          <w:tcPr>
            <w:tcW w:type="dxa" w:w="4320"/>
          </w:tcPr>
          <w:p>
            <w:r>
              <w:rPr>
                <w:rFonts w:ascii="Times New Roman" w:hAnsi="Times New Roman"/>
              </w:rPr>
              <w:t>Dataset acquisition and preprocessing; TF-IDF matching engine and percentile calibration; Naive Bayes category and confidence model; classifier experiments; resume ingestion; Streamlit web interface</w:t>
            </w:r>
          </w:p>
        </w:tc>
      </w:tr>
      <w:tr>
        <w:tc>
          <w:tcPr>
            <w:tcW w:type="dxa" w:w="4320"/>
          </w:tcPr>
          <w:p>
            <w:r>
              <w:rPr>
                <w:rFonts w:ascii="Times New Roman" w:hAnsi="Times New Roman"/>
              </w:rPr>
              <w:t>Joint: sample job postings, end-to-end testing, this report</w:t>
            </w:r>
          </w:p>
        </w:tc>
        <w:tc>
          <w:tcPr>
            <w:tcW w:type="dxa" w:w="4320"/>
          </w:tcPr>
          <w:p>
            <w:r>
              <w:rPr>
                <w:rFonts w:ascii="Times New Roman" w:hAnsi="Times New Roman"/>
              </w:rPr>
              <w:t>Joint: system design, error analysis, this report</w:t>
            </w:r>
          </w:p>
        </w:tc>
      </w:tr>
    </w:tbl>
    <w:p/>
    <w:p>
      <w:pPr>
        <w:pStyle w:val="Heading1"/>
      </w:pPr>
      <w:r>
        <w:rPr>
          <w:rFonts w:ascii="Times New Roman" w:hAnsi="Times New Roman"/>
          <w:color w:val="0B0B0B"/>
        </w:rPr>
        <w:t>9. Conclusion</w:t>
      </w:r>
    </w:p>
    <w:p>
      <w:r>
        <w:rPr>
          <w:rFonts w:ascii="Times New Roman" w:hAnsi="Times New Roman"/>
        </w:rPr>
        <w:t>The completed system meets the goals set out in the proposal. It turns a free-text resume and job posting into an interpretable compatibility score and a ranked list of concrete improvements, combining classical NLP (TF-IDF, Naive Bayes) with a pre-trained transformer embedding used as a black box. The confidence-weighted coverage and the semantic signal make the score more faithful than lexical matching alone, and the web interface makes the tool usable by a non-technical user. Natural next steps are measuring extraction precision and recall on a hand-labeled sample and calibrating the score against human fit judgments.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