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TỜ TRÌNH PHÊ DUYỆT QUY TRÌNH XỬ LÝ ĐƠN HÀNG RÚT GỌN</w:t>
      </w:r>
    </w:p>
    <w:p>
      <w:pPr>
        <w:spacing w:after="240"/>
        <w:jc w:val="center"/>
      </w:pPr>
      <w:r>
        <w:rPr>
          <w:i/>
          <w:iCs/>
          <w:color w:val="4B5563"/>
        </w:rPr>
        <w:t xml:space="preserve">Phiên bản rút gọn để dễ triển khai và dễ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Tài liệu</w:t>
            </w:r>
          </w:p>
        </w:tc>
        <w:tc>
          <w:tcPr>
            <w:tcW w:type="dxa" w:w="716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Tờ trình phê duyệt quy trình xử lý đơn hàng rút gọn</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Phạm vi</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Áp dụng cho đơn hàng phòng tắm kính và các dòng sản phẩm tương tự</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Mục tiêu</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Rút gọn số bước nhưng vẫn giữ được các điểm kiểm soát quan trọng</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Nguyên tắc</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Ít trạng thái hơn, dễ thao tác hơn, nhưng không bỏ cọc, kỹ thuật, sếp duyệt và kho xuất</w:t>
            </w:r>
          </w:p>
        </w:tc>
      </w:tr>
    </w:tbl>
    <w:p>
      <w:pPr>
        <w:pStyle w:val="Heading1"/>
        <w:spacing w:after="120" w:before="180"/>
      </w:pPr>
      <w:r>
        <w:t xml:space="preserve">1. Mục đích rút gọn</w:t>
      </w:r>
    </w:p>
    <w:p>
      <w:pPr>
        <w:pStyle w:val="ListParagraph"/>
        <w:numPr>
          <w:ilvl w:val="0"/>
          <w:numId w:val="2"/>
        </w:numPr>
        <w:spacing w:after="80"/>
      </w:pPr>
      <w:r>
        <w:t xml:space="preserve">Giảm số trạng thái và số màn hình xử lý để nhân viên thao tác nhanh hơn.</w:t>
      </w:r>
    </w:p>
    <w:p>
      <w:pPr>
        <w:pStyle w:val="ListParagraph"/>
        <w:numPr>
          <w:ilvl w:val="0"/>
          <w:numId w:val="2"/>
        </w:numPr>
        <w:spacing w:after="80"/>
      </w:pPr>
      <w:r>
        <w:t xml:space="preserve">Giữ lại các điểm kiểm soát quan trọng nhất: cọc, kỹ thuật, sếp duyệt, kho xuất.</w:t>
      </w:r>
    </w:p>
    <w:p>
      <w:pPr>
        <w:pStyle w:val="ListParagraph"/>
        <w:numPr>
          <w:ilvl w:val="0"/>
          <w:numId w:val="2"/>
        </w:numPr>
        <w:spacing w:after="80"/>
      </w:pPr>
      <w:r>
        <w:t xml:space="preserve">Giúp sếp duyệt nhanh mà không làm rối quy trình triển khai ban đầu.</w:t>
      </w:r>
    </w:p>
    <w:p>
      <w:pPr>
        <w:pStyle w:val="Heading1"/>
        <w:spacing w:after="120" w:before="180"/>
      </w:pPr>
      <w:r>
        <w:t xml:space="preserve">2. Luồng xử lý rút gọn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Chặng</w:t>
            </w:r>
          </w:p>
        </w:tc>
        <w:tc>
          <w:tcPr>
            <w:tcW w:type="dxa" w:w="24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Người phụ trách</w:t>
            </w:r>
          </w:p>
        </w:tc>
        <w:tc>
          <w:tcPr>
            <w:tcW w:type="dxa" w:w="516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Công việc chính</w:t>
            </w:r>
          </w:p>
        </w:tc>
      </w:tr>
      <w:tr>
        <w:tc>
          <w:tcPr>
            <w:tcW w:type="dxa" w:w="1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1. Kinh doanh xử lý</w:t>
            </w:r>
          </w:p>
        </w:tc>
        <w:tc>
          <w:tcPr>
            <w:tcW w:type="dxa" w:w="24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5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Tạo đơn, nhập điều kiện thanh toán, ghi nhận tiền cọc, đánh dấu ưu tiên nếu cần.</w:t>
            </w:r>
          </w:p>
        </w:tc>
      </w:tr>
      <w:tr>
        <w:tc>
          <w:tcPr>
            <w:tcW w:type="dxa" w:w="1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2. Kỹ thuật xác nhận</w:t>
            </w:r>
          </w:p>
        </w:tc>
        <w:tc>
          <w:tcPr>
            <w:tcW w:type="dxa" w:w="24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w:t>
            </w:r>
          </w:p>
        </w:tc>
        <w:tc>
          <w:tcPr>
            <w:tcW w:type="dxa" w:w="5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Kiểm tra thông số, đính kèm bản vẽ, xác nhận đơn đủ điều kiện trình duyệt.</w:t>
            </w:r>
          </w:p>
        </w:tc>
      </w:tr>
      <w:tr>
        <w:tc>
          <w:tcPr>
            <w:tcW w:type="dxa" w:w="1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3. Sếp duyệt</w:t>
            </w:r>
          </w:p>
        </w:tc>
        <w:tc>
          <w:tcPr>
            <w:tcW w:type="dxa" w:w="24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Quản lý / Sếp</w:t>
            </w:r>
          </w:p>
        </w:tc>
        <w:tc>
          <w:tcPr>
            <w:tcW w:type="dxa" w:w="5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Chọn một trong hai hướng: cho xuất kho hoặc chuyển chờ sản xuất.</w:t>
            </w:r>
          </w:p>
        </w:tc>
      </w:tr>
      <w:tr>
        <w:tc>
          <w:tcPr>
            <w:tcW w:type="dxa" w:w="1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4. Kho / sản xuất xử lý</w:t>
            </w:r>
          </w:p>
        </w:tc>
        <w:tc>
          <w:tcPr>
            <w:tcW w:type="dxa" w:w="24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 / Kế hoạch</w:t>
            </w:r>
          </w:p>
        </w:tc>
        <w:tc>
          <w:tcPr>
            <w:tcW w:type="dxa" w:w="5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Nếu đủ hàng thì kho xuất; nếu thiếu hàng thì chuyển chờ sản xuất và nhập số ngày dự kiến.</w:t>
            </w:r>
          </w:p>
        </w:tc>
      </w:tr>
      <w:tr>
        <w:tc>
          <w:tcPr>
            <w:tcW w:type="dxa" w:w="1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5. Hoàn tất</w:t>
            </w:r>
          </w:p>
        </w:tc>
        <w:tc>
          <w:tcPr>
            <w:tcW w:type="dxa" w:w="24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 + NVKD</w:t>
            </w:r>
          </w:p>
        </w:tc>
        <w:tc>
          <w:tcPr>
            <w:tcW w:type="dxa" w:w="5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Xác nhận giao hàng, xác nhận đã thu tiền hoặc ghi nhận công nợ còn lại.</w:t>
            </w:r>
          </w:p>
        </w:tc>
      </w:tr>
    </w:tbl>
    <w:p>
      <w:pPr>
        <w:pStyle w:val="Heading1"/>
        <w:spacing w:after="120" w:before="180"/>
      </w:pPr>
      <w:r>
        <w:t xml:space="preserve">3. Cách hiểu luồng ngắn gọn</w:t>
      </w:r>
    </w:p>
    <w:p>
      <w:pPr>
        <w:pStyle w:val="ListParagraph"/>
        <w:numPr>
          <w:ilvl w:val="0"/>
          <w:numId w:val="3"/>
        </w:numPr>
        <w:spacing w:after="80"/>
      </w:pPr>
      <w:r>
        <w:t xml:space="preserve">NVKD tạo đơn, ghi cọc, chọn điều kiện thanh toán và nếu cần thì đánh dấu ưu tiên gửi kho.</w:t>
      </w:r>
    </w:p>
    <w:p>
      <w:pPr>
        <w:pStyle w:val="ListParagraph"/>
        <w:numPr>
          <w:ilvl w:val="0"/>
          <w:numId w:val="3"/>
        </w:numPr>
        <w:spacing w:after="80"/>
      </w:pPr>
      <w:r>
        <w:t xml:space="preserve">Kỹ thuật xác nhận thông số và đính kèm bản vẽ ngay trên cùng một bước xử lý.</w:t>
      </w:r>
    </w:p>
    <w:p>
      <w:pPr>
        <w:pStyle w:val="ListParagraph"/>
        <w:numPr>
          <w:ilvl w:val="0"/>
          <w:numId w:val="3"/>
        </w:numPr>
        <w:spacing w:after="80"/>
      </w:pPr>
      <w:r>
        <w:t xml:space="preserve">Sếp duyệt một lần và chỉ chọn: xuất kho hoặc chờ sản xuất.</w:t>
      </w:r>
    </w:p>
    <w:p>
      <w:pPr>
        <w:pStyle w:val="ListParagraph"/>
        <w:numPr>
          <w:ilvl w:val="0"/>
          <w:numId w:val="3"/>
        </w:numPr>
        <w:spacing w:after="80"/>
      </w:pPr>
      <w:r>
        <w:t xml:space="preserve">Kho nhận các đơn đã duyệt; nếu thiếu hàng thì hệ thống giữ ở nhánh chờ sản xuất.</w:t>
      </w:r>
    </w:p>
    <w:p>
      <w:pPr>
        <w:pStyle w:val="ListParagraph"/>
        <w:numPr>
          <w:ilvl w:val="0"/>
          <w:numId w:val="3"/>
        </w:numPr>
        <w:spacing w:after="80"/>
      </w:pPr>
      <w:r>
        <w:t xml:space="preserve">Sau khi giao xong, người phụ trách cập nhật trạng thái thanh toán để chốt đơn.</w:t>
      </w:r>
    </w:p>
    <w:p>
      <w:pPr>
        <w:pStyle w:val="Heading1"/>
        <w:spacing w:after="120" w:before="180"/>
      </w:pPr>
      <w:r>
        <w:t xml:space="preserve">4. Trạng thái rút gọn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Trạng thái rút gọn</w:t>
            </w:r>
          </w:p>
        </w:tc>
        <w:tc>
          <w:tcPr>
            <w:tcW w:type="dxa" w:w="676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Ý nghĩa</w:t>
            </w:r>
          </w:p>
        </w:tc>
      </w:tr>
      <w:tr>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Nháp</w:t>
            </w:r>
          </w:p>
        </w:tc>
        <w:tc>
          <w:tcPr>
            <w:tcW w:type="dxa" w:w="67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mới tạo, chưa đủ điều kiện đi tiếp.</w:t>
            </w:r>
          </w:p>
        </w:tc>
      </w:tr>
      <w:tr>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cọc</w:t>
            </w:r>
          </w:p>
        </w:tc>
        <w:tc>
          <w:tcPr>
            <w:tcW w:type="dxa" w:w="67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chính thức, đủ điều kiện chuyển kỹ thuật và bắt đầu giữ hàng.</w:t>
            </w:r>
          </w:p>
        </w:tc>
      </w:tr>
      <w:tr>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 xác nhận</w:t>
            </w:r>
          </w:p>
        </w:tc>
        <w:tc>
          <w:tcPr>
            <w:tcW w:type="dxa" w:w="67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Thông số và bản vẽ đã hoàn chỉnh.</w:t>
            </w:r>
          </w:p>
        </w:tc>
      </w:tr>
      <w:tr>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xuất / chờ sản xuất</w:t>
            </w:r>
          </w:p>
        </w:tc>
        <w:tc>
          <w:tcPr>
            <w:tcW w:type="dxa" w:w="67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Sếp đã duyệt và đơn đang đi theo một trong hai hướng xử lý thực tế.</w:t>
            </w:r>
          </w:p>
        </w:tc>
      </w:tr>
      <w:tr>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Hoàn tất</w:t>
            </w:r>
          </w:p>
        </w:tc>
        <w:tc>
          <w:tcPr>
            <w:tcW w:type="dxa" w:w="67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giao hàng và đã chốt tình trạng thanh toán.</w:t>
            </w:r>
          </w:p>
        </w:tc>
      </w:tr>
    </w:tbl>
    <w:p>
      <w:pPr>
        <w:pStyle w:val="Heading1"/>
        <w:spacing w:after="120" w:before="180"/>
      </w:pPr>
      <w:r>
        <w:t xml:space="preserve">5. Những điểm bắt buộc vẫn phải giữ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Điểm bắt buộc phải giữ</w:t>
            </w:r>
          </w:p>
        </w:tc>
        <w:tc>
          <w:tcPr>
            <w:tcW w:type="dxa" w:w="636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Lý do</w:t>
            </w:r>
          </w:p>
        </w:tc>
      </w:tr>
      <w:tr>
        <w:tc>
          <w:tcPr>
            <w:tcW w:type="dxa" w:w="30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Có cọc mới đi tiếp</w:t>
            </w:r>
          </w:p>
        </w:tc>
        <w:tc>
          <w:tcPr>
            <w:tcW w:type="dxa" w:w="6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Giúp tránh đẩy đơn chưa chắc chắn sang kỹ thuật, kho và sản xuất.</w:t>
            </w:r>
          </w:p>
        </w:tc>
      </w:tr>
      <w:tr>
        <w:tc>
          <w:tcPr>
            <w:tcW w:type="dxa" w:w="30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cọc là giữ hàng</w:t>
            </w:r>
          </w:p>
        </w:tc>
        <w:tc>
          <w:tcPr>
            <w:tcW w:type="dxa" w:w="6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Giữ luôn thanh và phụ kiện cho đơn, tránh bị đơn sau lấy mất.</w:t>
            </w:r>
          </w:p>
        </w:tc>
      </w:tr>
      <w:tr>
        <w:tc>
          <w:tcPr>
            <w:tcW w:type="dxa" w:w="30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 phải xác nhận</w:t>
            </w:r>
          </w:p>
        </w:tc>
        <w:tc>
          <w:tcPr>
            <w:tcW w:type="dxa" w:w="6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Giảm sai sót cấu hình, màu, hướng mở và bản vẽ.</w:t>
            </w:r>
          </w:p>
        </w:tc>
      </w:tr>
      <w:tr>
        <w:tc>
          <w:tcPr>
            <w:tcW w:type="dxa" w:w="30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Sếp duyệt trước khi kho xử lý</w:t>
            </w:r>
          </w:p>
        </w:tc>
        <w:tc>
          <w:tcPr>
            <w:tcW w:type="dxa" w:w="6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 chỉ nhận đơn hợp lệ và rõ ưu tiên.</w:t>
            </w:r>
          </w:p>
        </w:tc>
      </w:tr>
      <w:tr>
        <w:tc>
          <w:tcPr>
            <w:tcW w:type="dxa" w:w="30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 là bên xác nhận xuất thực tế</w:t>
            </w:r>
          </w:p>
        </w:tc>
        <w:tc>
          <w:tcPr>
            <w:tcW w:type="dxa" w:w="6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 chỉ gửi ưu tiên, không thay thế quyền xuất kho.</w:t>
            </w:r>
          </w:p>
        </w:tc>
      </w:tr>
    </w:tbl>
    <w:p>
      <w:pPr>
        <w:pStyle w:val="Heading1"/>
        <w:spacing w:after="120" w:before="180"/>
      </w:pPr>
      <w:r>
        <w:t xml:space="preserve">6. Phần ưu tiên và thanh toán theo bản rút gọn</w:t>
      </w:r>
    </w:p>
    <w:p>
      <w:pPr>
        <w:pStyle w:val="ListParagraph"/>
        <w:numPr>
          <w:ilvl w:val="0"/>
          <w:numId w:val="2"/>
        </w:numPr>
        <w:spacing w:after="80"/>
      </w:pPr>
      <w:r>
        <w:t xml:space="preserve">NVKD vẫn có thể bấm nút gửi mức độ ưu tiên cho kho ở bước đơn hàng chờ xuất.</w:t>
      </w:r>
    </w:p>
    <w:p>
      <w:pPr>
        <w:pStyle w:val="ListParagraph"/>
        <w:numPr>
          <w:ilvl w:val="0"/>
          <w:numId w:val="2"/>
        </w:numPr>
        <w:spacing w:after="80"/>
      </w:pPr>
      <w:r>
        <w:t xml:space="preserve">Đơn đã cọc là phải giữ luôn hàng và phụ kiện liên quan cho đơn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DAD4" w:sz="1"/>
              <w:left w:val="single" w:color="D6DAD4" w:sz="1"/>
              <w:bottom w:val="single" w:color="D6DAD4" w:sz="1"/>
              <w:right w:val="single" w:color="D6DAD4" w:sz="1"/>
            </w:tcBorders>
            <w:shd w:fill="E9F1FB" w:val="clear"/>
            <w:tcMar>
              <w:top w:type="dxa" w:w="100"/>
              <w:left w:type="dxa" w:w="120"/>
              <w:bottom w:type="dxa" w:w="100"/>
              <w:right w:type="dxa" w:w="120"/>
            </w:tcMar>
          </w:tcPr>
          <w:p>
            <w:r>
              <w:rPr>
                <w:b/>
                <w:bCs/>
              </w:rPr>
              <w:t xml:space="preserve">Nội dung thanh toán</w:t>
            </w:r>
          </w:p>
        </w:tc>
        <w:tc>
          <w:tcPr>
            <w:tcW w:type="dxa" w:w="6560"/>
            <w:tcBorders>
              <w:top w:val="single" w:color="D6DAD4" w:sz="1"/>
              <w:left w:val="single" w:color="D6DAD4" w:sz="1"/>
              <w:bottom w:val="single" w:color="D6DAD4" w:sz="1"/>
              <w:right w:val="single" w:color="D6DAD4" w:sz="1"/>
            </w:tcBorders>
            <w:shd w:fill="E9F1FB" w:val="clear"/>
            <w:tcMar>
              <w:top w:type="dxa" w:w="100"/>
              <w:left w:type="dxa" w:w="120"/>
              <w:bottom w:type="dxa" w:w="100"/>
              <w:right w:type="dxa" w:w="120"/>
            </w:tcMar>
          </w:tcPr>
          <w:p>
            <w:r>
              <w:rPr>
                <w:b/>
                <w:bCs/>
              </w:rPr>
              <w:t xml:space="preserve">Cách xử lý rút gọn</w:t>
            </w:r>
          </w:p>
        </w:tc>
      </w:tr>
      <w:tr>
        <w:tc>
          <w:tcPr>
            <w:tcW w:type="dxa" w:w="2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Tiền cọc</w:t>
            </w:r>
          </w:p>
        </w:tc>
        <w:tc>
          <w:tcPr>
            <w:tcW w:type="dxa" w:w="65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 nhập số tiền cọc và ngày cọc ngay tại bước tạo đơn.</w:t>
            </w:r>
          </w:p>
        </w:tc>
      </w:tr>
      <w:tr>
        <w:tc>
          <w:tcPr>
            <w:tcW w:type="dxa" w:w="2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thanh toán</w:t>
            </w:r>
          </w:p>
        </w:tc>
        <w:tc>
          <w:tcPr>
            <w:tcW w:type="dxa" w:w="65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Chọn nhanh theo mẫu: thanh toán khi nhận hàng, cọc trước - còn lại khi giao, hoặc nhập ghi chú riêng.</w:t>
            </w:r>
          </w:p>
        </w:tc>
      </w:tr>
      <w:tr>
        <w:tc>
          <w:tcPr>
            <w:tcW w:type="dxa" w:w="28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Xác nhận sau giao hàng</w:t>
            </w:r>
          </w:p>
        </w:tc>
        <w:tc>
          <w:tcPr>
            <w:tcW w:type="dxa" w:w="65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Sau khi giao xong, người phụ trách xác nhận đã thu đủ hay chưa thu đủ và đính kèm chứng từ nếu có.</w:t>
            </w:r>
          </w:p>
        </w:tc>
      </w:tr>
    </w:tbl>
    <w:p>
      <w:pPr>
        <w:pStyle w:val="Heading1"/>
        <w:spacing w:after="120" w:before="180"/>
      </w:pPr>
      <w:r>
        <w:t xml:space="preserve">7. Kiến nghị triển khai</w:t>
      </w:r>
    </w:p>
    <w:p>
      <w:pPr>
        <w:pStyle w:val="ListParagraph"/>
        <w:numPr>
          <w:ilvl w:val="0"/>
          <w:numId w:val="2"/>
        </w:numPr>
        <w:spacing w:after="80"/>
      </w:pPr>
      <w:r>
        <w:t xml:space="preserve">Nên triển khai phiên bản rút gọn trước để đưa vào dùng nội bộ nhanh.</w:t>
      </w:r>
    </w:p>
    <w:p>
      <w:pPr>
        <w:pStyle w:val="ListParagraph"/>
        <w:numPr>
          <w:ilvl w:val="0"/>
          <w:numId w:val="2"/>
        </w:numPr>
        <w:spacing w:after="80"/>
      </w:pPr>
      <w:r>
        <w:t xml:space="preserve">Sau khi vận hành ổn định, mới mở rộng thêm báo cáo, công nợ chi tiết và các trạng thái phụ nếu thực sự cần.</w:t>
      </w:r>
    </w:p>
    <w:p>
      <w:pPr>
        <w:pStyle w:val="Heading1"/>
        <w:spacing w:after="120" w:before="180"/>
      </w:pPr>
      <w:r>
        <w:t xml:space="preserve">8. Đề nghị phê duyệt</w:t>
      </w:r>
    </w:p>
    <w:p>
      <w:pPr>
        <w:spacing w:after="80"/>
      </w:pPr>
      <w:r>
        <w:t xml:space="preserve">Kính đề nghị Ban lãnh đạo phê duyệt phương án quy trình rút gọn nêu trên để triển khai nhanh trong hệ thống ERP, đồng thời vẫn bảo đảm đủ các điểm kiểm soát chính về kỹ thuật, kho và thanh toán.</w:t>
      </w:r>
    </w:p>
    <w:p>
      <w:pPr>
        <w:spacing w:after="40" w:before="180"/>
      </w:pPr>
      <w:r>
        <w:rPr>
          <w:b/>
          <w:bCs/>
        </w:rPr>
        <w:t xml:space="preserve">Người trình</w:t>
      </w:r>
    </w:p>
    <w:p>
      <w:pPr>
        <w:spacing w:after="300"/>
      </w:pPr>
      <w:r>
        <w:t xml:space="preserve">............................................................</w:t>
      </w:r>
    </w:p>
    <w:p>
      <w:pPr>
        <w:spacing w:after="40" w:before="80"/>
      </w:pPr>
      <w:r>
        <w:rPr>
          <w:b/>
          <w:bCs/>
        </w:rPr>
        <w:t xml:space="preserve">Phê duyệt của quản lý / sếp</w:t>
      </w:r>
    </w:p>
    <w:p>
      <w: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Tờ trình quy trình rút gọn</w:t>
    </w:r>
    <w:r>
      <w:t xml:space="preserve">	</w:t>
    </w:r>
    <w:r>
      <w:t xml:space="preserve">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ERP kho nhôm kính - Quy trình rút gọn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2026-07-02T09:12:16.653Z</dcterms:created>
  <dcterms:modified xsi:type="dcterms:W3CDTF">2026-07-02T09:12:16.654Z</dcterms:modified>
</cp:coreProperties>
</file>

<file path=docProps/custom.xml><?xml version="1.0" encoding="utf-8"?>
<Properties xmlns="http://schemas.openxmlformats.org/officeDocument/2006/custom-properties" xmlns:vt="http://schemas.openxmlformats.org/officeDocument/2006/docPropsVTypes"/>
</file>