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4B55FE"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4B55FE"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B55FE">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4B55FE">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4B55FE">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4B55FE">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4B55FE">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bookmarkStart w:id="27" w:name="_GoBack"/>
      <w:bookmarkEnd w:id="27"/>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8" w:name="_Toc310954185"/>
      <w:bookmarkStart w:id="29" w:name="_Ref311361408"/>
      <w:bookmarkStart w:id="30" w:name="_Ref311633682"/>
      <w:bookmarkStart w:id="31" w:name="_Ref311633848"/>
      <w:bookmarkStart w:id="32" w:name="_Ref311633856"/>
      <w:r>
        <w:rPr>
          <w:lang w:val="en-US"/>
        </w:rPr>
        <w:t>Độ tương quan giữa các tag</w:t>
      </w:r>
      <w:bookmarkEnd w:id="28"/>
      <w:bookmarkEnd w:id="29"/>
      <w:bookmarkEnd w:id="30"/>
      <w:bookmarkEnd w:id="31"/>
      <w:bookmarkEnd w:id="32"/>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3" w:name="_Toc310954187"/>
      <w:bookmarkStart w:id="34" w:name="_Ref311361377"/>
      <w:r>
        <w:rPr>
          <w:lang w:val="en-US"/>
        </w:rPr>
        <w:t>Kết hợp so khớp tag và độ tương quan giữa các tag</w:t>
      </w:r>
      <w:bookmarkEnd w:id="33"/>
      <w:bookmarkEnd w:id="34"/>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5" w:name="_Ref309898155"/>
      <w:bookmarkStart w:id="36" w:name="_Toc310954188"/>
      <w:r>
        <w:rPr>
          <w:lang w:val="en-US"/>
        </w:rPr>
        <w:t>Cây quyết định</w:t>
      </w:r>
      <w:bookmarkEnd w:id="35"/>
      <w:bookmarkEnd w:id="36"/>
    </w:p>
    <w:p w:rsidR="000E527A" w:rsidRDefault="000E527A" w:rsidP="000E527A">
      <w:pPr>
        <w:pStyle w:val="Heading4"/>
      </w:pPr>
      <w:bookmarkStart w:id="37" w:name="_Ref306103292"/>
      <w:r>
        <w:t>Giới thiệu về cây quyết định</w:t>
      </w:r>
      <w:bookmarkEnd w:id="3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8"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9" w:name="_Ref306099706"/>
      <w:bookmarkStart w:id="40" w:name="_Ref306099554"/>
      <w:bookmarkStart w:id="41" w:name="_Toc311105282"/>
      <w:bookmarkEnd w:id="38"/>
      <w:r>
        <w:t xml:space="preserve">Bảng </w:t>
      </w:r>
      <w:r>
        <w:fldChar w:fldCharType="begin"/>
      </w:r>
      <w:r>
        <w:instrText xml:space="preserve"> SEQ Bảng \* ARABIC </w:instrText>
      </w:r>
      <w:r>
        <w:fldChar w:fldCharType="separate"/>
      </w:r>
      <w:r>
        <w:t>1</w:t>
      </w:r>
      <w:r>
        <w:fldChar w:fldCharType="end"/>
      </w:r>
      <w:bookmarkEnd w:id="39"/>
      <w:r>
        <w:t xml:space="preserve">. </w:t>
      </w:r>
      <w:bookmarkStart w:id="42" w:name="_Ref306099713"/>
      <w:r>
        <w:t>Ví dụ bảng dữ liệu lựa chọn phương tiện di chuyển</w:t>
      </w:r>
      <w:bookmarkEnd w:id="40"/>
      <w:bookmarkEnd w:id="41"/>
      <w:bookmarkEnd w:id="4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3" w:name="_Ref306103906"/>
      <w:bookmarkStart w:id="44" w:name="_Ref306103887"/>
      <w:bookmarkStart w:id="45" w:name="_Toc311125334"/>
      <w:r>
        <w:t xml:space="preserve">Hình </w:t>
      </w:r>
      <w:r>
        <w:fldChar w:fldCharType="begin"/>
      </w:r>
      <w:r>
        <w:instrText xml:space="preserve"> SEQ Hình \* ARABIC </w:instrText>
      </w:r>
      <w:r>
        <w:fldChar w:fldCharType="separate"/>
      </w:r>
      <w:r w:rsidR="00767664">
        <w:t>6</w:t>
      </w:r>
      <w:r>
        <w:fldChar w:fldCharType="end"/>
      </w:r>
      <w:bookmarkEnd w:id="43"/>
      <w:r>
        <w:t>. Ví dụ về cây quyết định</w:t>
      </w:r>
      <w:bookmarkEnd w:id="44"/>
      <w:bookmarkEnd w:id="45"/>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6" w:name="_Ref306104924"/>
      <w:bookmarkStart w:id="47" w:name="_Toc311105283"/>
      <w:r>
        <w:t xml:space="preserve">Bảng </w:t>
      </w:r>
      <w:r>
        <w:fldChar w:fldCharType="begin"/>
      </w:r>
      <w:r>
        <w:instrText xml:space="preserve"> SEQ Bảng \* ARABIC </w:instrText>
      </w:r>
      <w:r>
        <w:fldChar w:fldCharType="separate"/>
      </w:r>
      <w:r>
        <w:t>2</w:t>
      </w:r>
      <w:r>
        <w:fldChar w:fldCharType="end"/>
      </w:r>
      <w:bookmarkEnd w:id="46"/>
      <w:r>
        <w:rPr>
          <w:lang w:val="en-US"/>
        </w:rPr>
        <w:t>. Ví dụ về bảng dữ liệu cần dự đoán phương tiện di chuyển</w:t>
      </w:r>
      <w:bookmarkEnd w:id="47"/>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8"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9" w:name="_Ref306374185"/>
      <w:r>
        <w:rPr>
          <w:lang w:val="en-US"/>
        </w:rPr>
        <w:t>Một số độ đo thông dụng</w:t>
      </w:r>
      <w:bookmarkEnd w:id="49"/>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50" w:name="OLE_LINK5"/>
      <w:bookmarkStart w:id="5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50"/>
    <w:bookmarkEnd w:id="5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m:t>
          </m:r>
          <m:r>
            <w:rPr>
              <w:rFonts w:ascii="Cambria Math" w:hAnsi="Cambria Math" w:cs="Times New Roman"/>
              <w:lang w:val="en-US"/>
            </w:rPr>
            <m:t>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2" w:name="OLE_LINK7"/>
      <w:bookmarkStart w:id="5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2"/>
      <w:bookmarkEnd w:id="5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4" w:name="OLE_LINK3"/>
      <w:bookmarkStart w:id="55" w:name="OLE_LINK4"/>
      <m:oMathPara>
        <m:oMathParaPr>
          <m:jc m:val="left"/>
        </m:oMathParaPr>
        <m:oMath>
          <m:r>
            <w:rPr>
              <w:rFonts w:ascii="Cambria Math" w:hAnsi="Cambria Math" w:cs="Times New Roman"/>
              <w:lang w:val="en-US"/>
            </w:rPr>
            <m:t>Entropy=</m:t>
          </m:r>
          <w:bookmarkEnd w:id="54"/>
          <w:bookmarkEnd w:id="5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6" w:name="OLE_LINK11"/>
          <w:bookmarkStart w:id="5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6"/>
          <w:bookmarkEnd w:id="5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60" w:name="_Ref306633886"/>
      <w:r>
        <w:rPr>
          <w:lang w:val="en-US"/>
        </w:rPr>
        <w:lastRenderedPageBreak/>
        <w:t>Lần lặp đầu tiên</w:t>
      </w:r>
      <w:bookmarkEnd w:id="6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1" w:name="OLE_LINK1"/>
      <w:bookmarkStart w:id="62" w:name="OLE_LINK2"/>
      <w:r>
        <w:rPr>
          <w:lang w:val="en-US"/>
        </w:rPr>
        <w:t>S</w:t>
      </w:r>
      <w:r w:rsidRPr="003F6EA9">
        <w:rPr>
          <w:vertAlign w:val="subscript"/>
          <w:lang w:val="en-US"/>
        </w:rPr>
        <w:t>i</w:t>
      </w:r>
      <w:bookmarkEnd w:id="61"/>
      <w:bookmarkEnd w:id="6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3"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4"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5"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6" w:name="OLE_LINK9"/>
      <w:bookmarkStart w:id="6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6"/>
      <w:bookmarkEnd w:id="6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8"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8"/>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9"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70"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1"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2"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2"/>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3"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3"/>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4"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5"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6"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7"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8"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9"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80"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80"/>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1" w:name="_Toc310954189"/>
      <w:bookmarkStart w:id="82" w:name="_Ref311361917"/>
      <w:r>
        <w:rPr>
          <w:lang w:val="en-US"/>
        </w:rPr>
        <w:t>Kiến trúc phần mềm</w:t>
      </w:r>
      <w:bookmarkEnd w:id="81"/>
      <w:bookmarkEnd w:id="82"/>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83" w:name="_Ref310943415"/>
      <w:bookmarkStart w:id="84" w:name="_Ref310943432"/>
      <w:bookmarkStart w:id="85" w:name="_Toc310954190"/>
      <w:r>
        <w:rPr>
          <w:lang w:val="en-US"/>
        </w:rPr>
        <w:t>Giải quyết bài toán kiến trúc</w:t>
      </w:r>
      <w:bookmarkEnd w:id="83"/>
      <w:bookmarkEnd w:id="84"/>
      <w:bookmarkEnd w:id="85"/>
    </w:p>
    <w:p w:rsidR="00A11C19" w:rsidRDefault="003E698C" w:rsidP="003E698C">
      <w:pPr>
        <w:pStyle w:val="Heading2"/>
        <w:rPr>
          <w:lang w:val="en-US"/>
        </w:rPr>
      </w:pPr>
      <w:bookmarkStart w:id="86" w:name="_Toc310954191"/>
      <w:bookmarkStart w:id="87" w:name="_Ref311633974"/>
      <w:bookmarkStart w:id="88" w:name="_Ref311633977"/>
      <w:r>
        <w:rPr>
          <w:lang w:val="en-US"/>
        </w:rPr>
        <w:t xml:space="preserve">Áp dụng </w:t>
      </w:r>
      <w:r w:rsidR="001D6BBE">
        <w:rPr>
          <w:lang w:val="en-US"/>
        </w:rPr>
        <w:t>lý thuyết và phương pháp</w:t>
      </w:r>
      <w:r w:rsidR="002373EA">
        <w:rPr>
          <w:lang w:val="en-US"/>
        </w:rPr>
        <w:t xml:space="preserve"> vào bài toán</w:t>
      </w:r>
      <w:bookmarkEnd w:id="86"/>
      <w:bookmarkEnd w:id="87"/>
      <w:bookmarkEnd w:id="88"/>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254F61" w:rsidRDefault="00823945" w:rsidP="00823945">
      <w:pPr>
        <w:ind w:left="720"/>
        <w:rPr>
          <w:lang w:val="en-US"/>
        </w:rPr>
      </w:pPr>
      <w:r>
        <w:rPr>
          <w:lang w:val="en-US"/>
        </w:rPr>
        <w:t xml:space="preserve">Nhu cầu và </w:t>
      </w:r>
      <w:r w:rsidR="006D291A">
        <w:rPr>
          <w:lang w:val="en-US"/>
        </w:rPr>
        <w:t>“</w:t>
      </w:r>
      <w:r>
        <w:rPr>
          <w:lang w:val="en-US"/>
        </w:rPr>
        <w:t>sản phẩm đáp ứng nhu cầu</w:t>
      </w:r>
      <w:r w:rsidR="006D291A">
        <w:rPr>
          <w:lang w:val="en-US"/>
        </w:rPr>
        <w:t>”</w:t>
      </w:r>
      <w:r>
        <w:rPr>
          <w:lang w:val="en-US"/>
        </w:rPr>
        <w:t xml:space="preserve"> được lưu trữ như sau</w:t>
      </w:r>
    </w:p>
    <w:p w:rsidR="006D291A" w:rsidRPr="00254F61" w:rsidRDefault="006D291A" w:rsidP="00823945">
      <w:pPr>
        <w:ind w:left="720"/>
        <w:rPr>
          <w:lang w:val="en-US"/>
        </w:rPr>
      </w:pPr>
    </w:p>
    <w:p w:rsidR="00254F61" w:rsidRDefault="00254F61" w:rsidP="00254F61">
      <w:pPr>
        <w:pStyle w:val="Heading3"/>
        <w:rPr>
          <w:lang w:val="en-US"/>
        </w:rPr>
      </w:pPr>
      <w:r>
        <w:rPr>
          <w:lang w:val="en-US"/>
        </w:rPr>
        <w:lastRenderedPageBreak/>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102DBA" w:rsidRDefault="00102DBA" w:rsidP="00102DBA">
      <w:pPr>
        <w:pStyle w:val="Heading3"/>
        <w:rPr>
          <w:lang w:val="en-US"/>
        </w:rPr>
      </w:pPr>
      <w:bookmarkStart w:id="112" w:name="_Toc310954210"/>
      <w:bookmarkStart w:id="113" w:name="OLE_LINK15"/>
      <w:bookmarkStart w:id="114" w:name="OLE_LINK16"/>
      <w:r>
        <w:rPr>
          <w:lang w:val="en-US"/>
        </w:rPr>
        <w:t>Matching tool</w:t>
      </w:r>
      <w:bookmarkEnd w:id="112"/>
    </w:p>
    <w:p w:rsidR="000F0D6D" w:rsidRPr="000F0D6D" w:rsidRDefault="000F0D6D" w:rsidP="000F0D6D">
      <w:pPr>
        <w:rPr>
          <w:lang w:val="en-US"/>
        </w:rPr>
      </w:pPr>
      <w:r>
        <w:rPr>
          <w:lang w:val="en-US"/>
        </w:rPr>
        <w:t xml:space="preserve">+ </w:t>
      </w:r>
    </w:p>
    <w:bookmarkEnd w:id="113"/>
    <w:bookmarkEnd w:id="114"/>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5FE" w:rsidRDefault="004B55FE" w:rsidP="00897824">
      <w:pPr>
        <w:spacing w:line="240" w:lineRule="auto"/>
      </w:pPr>
      <w:r>
        <w:separator/>
      </w:r>
    </w:p>
  </w:endnote>
  <w:endnote w:type="continuationSeparator" w:id="0">
    <w:p w:rsidR="004B55FE" w:rsidRDefault="004B55FE"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83478F" w:rsidRPr="0083478F">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4B55FE">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83478F">
            <w:t>Lý thuyết về nền tảng kiến trúc</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83478F" w:rsidRPr="0083478F">
            <w:rPr>
              <w:color w:val="FFFFFF" w:themeColor="background1"/>
            </w:rPr>
            <w:t>11</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5FE" w:rsidRDefault="004B55FE" w:rsidP="00897824">
      <w:pPr>
        <w:spacing w:line="240" w:lineRule="auto"/>
      </w:pPr>
      <w:r>
        <w:separator/>
      </w:r>
    </w:p>
  </w:footnote>
  <w:footnote w:type="continuationSeparator" w:id="0">
    <w:p w:rsidR="004B55FE" w:rsidRDefault="004B55FE"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4B55FE">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4B55FE">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0CA"/>
    <w:rsid w:val="00E565D9"/>
    <w:rsid w:val="00E62711"/>
    <w:rsid w:val="00E647DF"/>
    <w:rsid w:val="00E6563A"/>
    <w:rsid w:val="00E6577A"/>
    <w:rsid w:val="00E73F39"/>
    <w:rsid w:val="00E759F9"/>
    <w:rsid w:val="00E850E0"/>
    <w:rsid w:val="00E9283E"/>
    <w:rsid w:val="00E92F4D"/>
    <w:rsid w:val="00E93E27"/>
    <w:rsid w:val="00EA25BA"/>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35F40-C30E-441C-B0E4-7D1A2338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7878</TotalTime>
  <Pages>56</Pages>
  <Words>10813</Words>
  <Characters>61637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509</cp:revision>
  <dcterms:created xsi:type="dcterms:W3CDTF">2011-10-04T06:57:00Z</dcterms:created>
  <dcterms:modified xsi:type="dcterms:W3CDTF">2011-12-14T09:14:00Z</dcterms:modified>
  <cp:contentStatus/>
</cp:coreProperties>
</file>