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" w:hAnsi="Aptos" w:eastAsia="Aptos"/>
          <w:b/>
          <w:color w:val="137C8B"/>
          <w:sz w:val="18"/>
        </w:rPr>
        <w:t>SÁCH PHÁT TRIỂN BẢN THÂN  •  005/100</w:t>
      </w:r>
    </w:p>
    <w:p>
      <w:pPr>
        <w:keepNext/>
        <w:spacing w:after="40"/>
        <w:jc w:val="center"/>
      </w:pPr>
      <w:r>
        <w:rPr>
          <w:rFonts w:ascii="Aptos" w:hAnsi="Aptos" w:eastAsia="Aptos"/>
          <w:b/>
          <w:color w:val="17365D"/>
          <w:sz w:val="40"/>
        </w:rPr>
        <w:t>Sức mạnh của thói quen</w:t>
      </w:r>
    </w:p>
    <w:p>
      <w:pPr>
        <w:spacing w:after="200"/>
        <w:jc w:val="center"/>
      </w:pPr>
      <w:r>
        <w:rPr>
          <w:rFonts w:ascii="Aptos" w:hAnsi="Aptos" w:eastAsia="Aptos"/>
          <w:b w:val="0"/>
          <w:color w:val="5B6573"/>
          <w:sz w:val="20"/>
        </w:rPr>
        <w:t>The Power of Habit</w:t>
      </w:r>
    </w:p>
    <w:p>
      <w:pPr>
        <w:spacing w:after="120"/>
        <w:pBdr>
          <w:bottom w:val="single" w:sz="18" w:space="1" w:color="137C8B"/>
        </w:pBdr>
      </w:pPr>
    </w:p>
    <w:p>
      <w:pPr>
        <w:keepNext/>
        <w:spacing w:after="80"/>
      </w:pPr>
      <w:r>
        <w:rPr>
          <w:rFonts w:ascii="Aptos" w:hAnsi="Aptos" w:eastAsia="Aptos"/>
          <w:b/>
          <w:color w:val="17365D"/>
          <w:sz w:val="22"/>
        </w:rPr>
        <w:t>THÔNG TIN CHUNG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8208"/>
      </w:tblGrid>
      <w:tr>
        <w:tc>
          <w:tcPr>
            <w:tcW w:type="dxa" w:w="2189"/>
            <w:shd w:fill="EAF3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17365D"/>
                <w:sz w:val="19"/>
              </w:rPr>
              <w:t>Tên sách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color w:val="263746"/>
                <w:sz w:val="19"/>
              </w:rPr>
              <w:t>Sức mạnh của thói quen</w:t>
            </w:r>
          </w:p>
        </w:tc>
      </w:tr>
      <w:tr>
        <w:tc>
          <w:tcPr>
            <w:tcW w:type="dxa" w:w="2189"/>
            <w:shd w:fill="EAF3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17365D"/>
                <w:sz w:val="19"/>
              </w:rPr>
              <w:t>Tác giả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color w:val="263746"/>
                <w:sz w:val="19"/>
              </w:rPr>
              <w:t>Charles Duhigg</w:t>
            </w:r>
          </w:p>
        </w:tc>
      </w:tr>
      <w:tr>
        <w:tc>
          <w:tcPr>
            <w:tcW w:type="dxa" w:w="2189"/>
            <w:shd w:fill="EAF3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17365D"/>
                <w:sz w:val="19"/>
              </w:rPr>
              <w:t>Tên gốc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color w:val="263746"/>
                <w:sz w:val="19"/>
              </w:rPr>
              <w:t>The Power of Habit</w:t>
            </w:r>
          </w:p>
        </w:tc>
      </w:tr>
      <w:tr>
        <w:tc>
          <w:tcPr>
            <w:tcW w:type="dxa" w:w="2189"/>
            <w:shd w:fill="EAF3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17365D"/>
                <w:sz w:val="19"/>
              </w:rPr>
              <w:t>Năm xuất bản đầu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color w:val="263746"/>
                <w:sz w:val="19"/>
              </w:rPr>
              <w:t>2012</w:t>
            </w:r>
          </w:p>
        </w:tc>
      </w:tr>
      <w:tr>
        <w:tc>
          <w:tcPr>
            <w:tcW w:type="dxa" w:w="2189"/>
            <w:shd w:fill="EAF3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17365D"/>
                <w:sz w:val="19"/>
              </w:rPr>
              <w:t>Chủ đề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color w:val="263746"/>
                <w:sz w:val="19"/>
              </w:rPr>
              <w:t>Thói quen và hành vi</w:t>
            </w:r>
          </w:p>
        </w:tc>
      </w:tr>
      <w:tr>
        <w:tc>
          <w:tcPr>
            <w:tcW w:type="dxa" w:w="2189"/>
            <w:shd w:fill="EAF3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17365D"/>
                <w:sz w:val="19"/>
              </w:rPr>
              <w:t>Dòng sách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color w:val="263746"/>
                <w:sz w:val="19"/>
              </w:rPr>
              <w:t>Phi hư cấu / phát triển bản thân</w:t>
            </w:r>
          </w:p>
        </w:tc>
      </w:tr>
    </w:tbl>
    <w:p>
      <w:pPr>
        <w:keepNext/>
        <w:spacing w:before="160" w:after="60"/>
      </w:pPr>
      <w:r>
        <w:rPr>
          <w:rFonts w:ascii="Aptos" w:hAnsi="Aptos" w:eastAsia="Aptos"/>
          <w:b/>
          <w:color w:val="17365D"/>
          <w:sz w:val="22"/>
        </w:rPr>
        <w:t>MÔ TẢ NGẮN</w:t>
      </w:r>
    </w:p>
    <w:p>
      <w:pPr>
        <w:spacing w:line="252" w:lineRule="auto" w:after="140"/>
      </w:pPr>
      <w:r>
        <w:rPr>
          <w:rFonts w:ascii="Aptos" w:hAnsi="Aptos" w:eastAsia="Aptos"/>
          <w:b w:val="0"/>
          <w:color w:val="263746"/>
          <w:sz w:val="21"/>
        </w:rPr>
        <w:t>Tác giả mô tả vòng lặp thói quen gồm tín hiệu, hành vi và phần thưởng, đồng thời phân tích cách thói quen hình thành ở cá nhân, tổ chức và cộng đồng.</w:t>
      </w:r>
    </w:p>
    <w:p>
      <w:pPr>
        <w:keepNext/>
        <w:spacing w:after="60"/>
      </w:pPr>
      <w:r>
        <w:rPr>
          <w:rFonts w:ascii="Aptos" w:hAnsi="Aptos" w:eastAsia="Aptos"/>
          <w:b/>
          <w:color w:val="17365D"/>
          <w:sz w:val="22"/>
        </w:rPr>
        <w:t>Ý TƯỞNG CỐT LÕI</w:t>
      </w:r>
    </w:p>
    <w:p>
      <w:pPr>
        <w:spacing w:before="40" w:after="120"/>
        <w:ind w:left="259" w:right="216"/>
        <w:shd w:fill="F1F8F9"/>
      </w:pPr>
      <w:r>
        <w:rPr>
          <w:rFonts w:ascii="Aptos" w:hAnsi="Aptos" w:eastAsia="Aptos"/>
          <w:b/>
          <w:color w:val="137C8B"/>
          <w:sz w:val="21"/>
        </w:rPr>
        <w:t>Muốn thay đổi thói quen, hãy nhận diện tín hiệu và phần thưởng rồi thay hành vi.</w:t>
      </w:r>
    </w:p>
    <w:p>
      <w:pPr>
        <w:spacing w:before="60" w:after="0"/>
      </w:pPr>
      <w:r>
        <w:rPr>
          <w:rFonts w:ascii="Aptos" w:hAnsi="Aptos" w:eastAsia="Aptos"/>
          <w:b/>
          <w:color w:val="5B6573"/>
          <w:sz w:val="19"/>
        </w:rPr>
        <w:t xml:space="preserve">Gợi ý ứng dụng: </w:t>
      </w:r>
      <w:r>
        <w:rPr>
          <w:rFonts w:ascii="Aptos" w:hAnsi="Aptos" w:eastAsia="Aptos"/>
          <w:b w:val="0"/>
          <w:color w:val="5B6573"/>
          <w:sz w:val="19"/>
        </w:rPr>
        <w:t>Chọn một ý tưởng phù hợp, thử áp dụng trong một tuần và ghi lại điều hiệu quả/chưa hiệu quả.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8793A0"/>
        <w:sz w:val="16"/>
      </w:rPr>
      <w:t>Tài liệu giới thiệu sách • Năm xuất bản là năm của bản gốc hoặc mốc xấp xỉ với tác phẩm cổ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