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FF31D" w14:textId="77777777" w:rsidR="00A5305F" w:rsidRDefault="00A5305F" w:rsidP="00A5305F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</w:p>
    <w:p w14:paraId="746EA222" w14:textId="77777777" w:rsidR="00A5305F" w:rsidRDefault="00A5305F" w:rsidP="00A5305F">
      <w:pPr>
        <w:pStyle w:val="Heading2"/>
      </w:pPr>
      <w:r>
        <w:t xml:space="preserve">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</w:p>
    <w:p w14:paraId="534EE345" w14:textId="77777777" w:rsidR="00A5305F" w:rsidRDefault="00A5305F" w:rsidP="00A5305F"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14719DB8" w14:textId="77777777" w:rsidR="00A5305F" w:rsidRDefault="00A5305F" w:rsidP="00A5305F">
      <w:pPr>
        <w:pStyle w:val="Heading2"/>
      </w:pPr>
      <w:r>
        <w:t xml:space="preserve">2. </w:t>
      </w:r>
      <w:proofErr w:type="spellStart"/>
      <w:r>
        <w:t>Bảng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5305F" w14:paraId="3BDAD8E5" w14:textId="77777777" w:rsidTr="00A530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528A" w14:textId="77777777" w:rsidR="00A5305F" w:rsidRDefault="00A5305F">
            <w:pPr>
              <w:spacing w:after="0" w:line="240" w:lineRule="auto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68E7" w14:textId="77777777" w:rsidR="00A5305F" w:rsidRDefault="00A5305F">
            <w:pPr>
              <w:spacing w:after="0" w:line="240" w:lineRule="auto"/>
            </w:pPr>
            <w:r>
              <w:t xml:space="preserve">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278F" w14:textId="77777777" w:rsidR="00A5305F" w:rsidRDefault="00A5305F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50EC" w14:textId="77777777" w:rsidR="00A5305F" w:rsidRDefault="00A5305F">
            <w:pPr>
              <w:spacing w:after="0" w:line="24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3B82" w14:textId="77777777" w:rsidR="00A5305F" w:rsidRDefault="00A5305F">
            <w:pPr>
              <w:spacing w:after="0" w:line="240" w:lineRule="auto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</w:tc>
      </w:tr>
      <w:tr w:rsidR="00A5305F" w14:paraId="54DBA8D8" w14:textId="77777777" w:rsidTr="00A530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ADE5" w14:textId="77777777" w:rsidR="00A5305F" w:rsidRDefault="00A5305F">
            <w:pPr>
              <w:spacing w:after="0" w:line="240" w:lineRule="auto"/>
            </w:pPr>
            <w:r>
              <w:t>Google Drive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08D4" w14:textId="77777777" w:rsidR="00A5305F" w:rsidRDefault="00A5305F">
            <w:pPr>
              <w:spacing w:after="0" w:line="240" w:lineRule="auto"/>
            </w:pPr>
            <w:r>
              <w:t>15GB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704D" w14:textId="77777777" w:rsidR="00A5305F" w:rsidRDefault="00A5305F">
            <w:pPr>
              <w:spacing w:after="0" w:line="240" w:lineRule="auto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Gmail </w:t>
            </w:r>
            <w:proofErr w:type="spellStart"/>
            <w:r>
              <w:t>và</w:t>
            </w:r>
            <w:proofErr w:type="spellEnd"/>
            <w:r>
              <w:t xml:space="preserve"> Google Docs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1828" w14:textId="77777777" w:rsidR="00A5305F" w:rsidRDefault="00A5305F">
            <w:pPr>
              <w:spacing w:after="0" w:line="240" w:lineRule="auto"/>
            </w:pP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9CBC" w14:textId="77777777" w:rsidR="00A5305F" w:rsidRDefault="00A5305F">
            <w:pPr>
              <w:spacing w:after="0" w:line="240" w:lineRule="auto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rẻ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  <w:tr w:rsidR="00A5305F" w14:paraId="4828AA62" w14:textId="77777777" w:rsidTr="00A530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4A6D" w14:textId="77777777" w:rsidR="00A5305F" w:rsidRDefault="00A5305F">
            <w:pPr>
              <w:spacing w:after="0" w:line="240" w:lineRule="auto"/>
            </w:pPr>
            <w:r>
              <w:t>Dropbox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F6E9" w14:textId="77777777" w:rsidR="00A5305F" w:rsidRDefault="00A5305F">
            <w:pPr>
              <w:spacing w:after="0" w:line="240" w:lineRule="auto"/>
            </w:pPr>
            <w:r>
              <w:t>2GB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3523" w14:textId="77777777" w:rsidR="00A5305F" w:rsidRDefault="00A5305F">
            <w:pPr>
              <w:spacing w:after="0" w:line="240" w:lineRule="auto"/>
            </w:pP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chia </w:t>
            </w:r>
            <w:proofErr w:type="spellStart"/>
            <w:r>
              <w:t>sẻ</w:t>
            </w:r>
            <w:proofErr w:type="spellEnd"/>
            <w:r>
              <w:t xml:space="preserve"> file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8085" w14:textId="77777777" w:rsidR="00A5305F" w:rsidRDefault="00A5305F">
            <w:pPr>
              <w:spacing w:after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2B16" w14:textId="77777777" w:rsidR="00A5305F" w:rsidRDefault="00A5305F">
            <w:pPr>
              <w:spacing w:after="0" w:line="240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,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>.</w:t>
            </w:r>
          </w:p>
        </w:tc>
      </w:tr>
      <w:tr w:rsidR="00A5305F" w14:paraId="1EC75A86" w14:textId="77777777" w:rsidTr="00A530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3EB4" w14:textId="77777777" w:rsidR="00A5305F" w:rsidRDefault="00A5305F">
            <w:pPr>
              <w:spacing w:after="0" w:line="240" w:lineRule="auto"/>
            </w:pPr>
            <w:r>
              <w:t>OneDrive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55B6" w14:textId="77777777" w:rsidR="00A5305F" w:rsidRDefault="00A5305F">
            <w:pPr>
              <w:spacing w:after="0" w:line="240" w:lineRule="auto"/>
            </w:pPr>
            <w:r>
              <w:t>5GB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E42F" w14:textId="77777777" w:rsidR="00A5305F" w:rsidRDefault="00A5305F">
            <w:pPr>
              <w:spacing w:after="0" w:line="240" w:lineRule="auto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chẽ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Microsoft Office 365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BA56" w14:textId="77777777" w:rsidR="00A5305F" w:rsidRDefault="00A5305F">
            <w:pPr>
              <w:spacing w:after="0"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Microsoft 365,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5839" w14:textId="77777777" w:rsidR="00A5305F" w:rsidRDefault="00A5305F">
            <w:pPr>
              <w:spacing w:after="0" w:line="240" w:lineRule="auto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Office 365,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.</w:t>
            </w:r>
          </w:p>
        </w:tc>
      </w:tr>
    </w:tbl>
    <w:p w14:paraId="60E89C05" w14:textId="77777777" w:rsidR="00A5305F" w:rsidRDefault="00A5305F" w:rsidP="00A5305F"/>
    <w:p w14:paraId="64B8720D" w14:textId="77777777" w:rsidR="007C6C93" w:rsidRDefault="007C6C93"/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5F"/>
    <w:rsid w:val="003032B2"/>
    <w:rsid w:val="007C6C93"/>
    <w:rsid w:val="00A5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8C8D8"/>
  <w15:chartTrackingRefBased/>
  <w15:docId w15:val="{259A889A-455A-4202-9B04-BE8596C0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05F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05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05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05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05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05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05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05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05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05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05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05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05F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3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0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5305F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2025-10-06T07:59:00Z</dcterms:created>
  <dcterms:modified xsi:type="dcterms:W3CDTF">2025-10-06T07:59:00Z</dcterms:modified>
</cp:coreProperties>
</file>