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FD8" w:rsidRDefault="00477FD8" w:rsidP="00477FD8">
      <w:pPr>
        <w:pStyle w:val="para"/>
        <w:numPr>
          <w:ilvl w:val="0"/>
          <w:numId w:val="1"/>
        </w:numPr>
        <w:shd w:val="clear" w:color="auto" w:fill="FFFFFF"/>
        <w:spacing w:before="120" w:beforeAutospacing="0" w:after="120" w:afterAutospacing="0"/>
        <w:jc w:val="both"/>
        <w:rPr>
          <w:rFonts w:ascii="Arial" w:hAnsi="Arial" w:cs="Arial"/>
          <w:color w:val="555555"/>
          <w:sz w:val="21"/>
          <w:szCs w:val="21"/>
        </w:rPr>
      </w:pPr>
      <w:r>
        <w:rPr>
          <w:rStyle w:val="Strong"/>
          <w:rFonts w:ascii="Arial" w:hAnsi="Arial" w:cs="Arial"/>
          <w:color w:val="555555"/>
          <w:sz w:val="21"/>
          <w:szCs w:val="21"/>
        </w:rPr>
        <w:t>Kích thước ban đầu</w:t>
      </w:r>
      <w:r>
        <w:rPr>
          <w:rFonts w:ascii="Arial" w:hAnsi="Arial" w:cs="Arial"/>
          <w:color w:val="555555"/>
          <w:sz w:val="21"/>
          <w:szCs w:val="21"/>
        </w:rPr>
        <w:t>(Initial size) : là kích thước khởi tạo của tập tin dữ liệu khi cơ sở dữ liệu mới được tạo lập. Đơn vị tính là MegaByte (MB). Thông thường kích thước ban đầu của một cơ sở dữ liệu mới tối thiểu phải bằng với kích thước của cơ sở dữ liệu Model, bởi vì Microsoft SQL Server sẽ lấy cơ sở dữ liệu Model làm khuôn dạng mẫu khi hình thành một cơ sở dữ liệu mới.</w:t>
      </w:r>
    </w:p>
    <w:p w:rsidR="00477FD8" w:rsidRDefault="00477FD8" w:rsidP="00477FD8">
      <w:pPr>
        <w:pStyle w:val="para"/>
        <w:numPr>
          <w:ilvl w:val="0"/>
          <w:numId w:val="1"/>
        </w:numPr>
        <w:shd w:val="clear" w:color="auto" w:fill="FFFFFF"/>
        <w:spacing w:before="120" w:beforeAutospacing="0" w:after="120" w:afterAutospacing="0"/>
        <w:jc w:val="both"/>
        <w:rPr>
          <w:rFonts w:ascii="Arial" w:hAnsi="Arial" w:cs="Arial"/>
          <w:color w:val="555555"/>
          <w:sz w:val="21"/>
          <w:szCs w:val="21"/>
        </w:rPr>
      </w:pPr>
      <w:r>
        <w:rPr>
          <w:rStyle w:val="Strong"/>
          <w:rFonts w:ascii="Arial" w:hAnsi="Arial" w:cs="Arial"/>
          <w:color w:val="555555"/>
          <w:sz w:val="21"/>
          <w:szCs w:val="21"/>
        </w:rPr>
        <w:t>Việc tăng trưởng kích thước tập tin dữ liệu </w:t>
      </w:r>
      <w:r>
        <w:rPr>
          <w:rFonts w:ascii="Arial" w:hAnsi="Arial" w:cs="Arial"/>
          <w:color w:val="555555"/>
          <w:sz w:val="21"/>
          <w:szCs w:val="21"/>
        </w:rPr>
        <w:t>(File growth) : là các qui định cho việc tăng trưởng tự động kích thước tập tin dữ liệu, bởi vì các dữ liệu sẽ được lưu trữ ngày càng nhiều hơn so với kích thước ban đầu khi tạo lập. Việc tăng trưởng sẽ tự động làm tăng kích thước tập tin dữ liệu theo từng MB hoặc theo tỷ lệ phần trăm (by percent) của kích thước hiện hành khi các dữ liệu bên trong Microsoft SQL Server lưu trữ gần đầy so với kích thước tập tin vật lý hiện thời. Mặc định kích thước tập tin dữ liệu sẽ được tăng tự động 10% khi dữ liệu lưu trữ gần đầy.</w:t>
      </w:r>
    </w:p>
    <w:p w:rsidR="00477FD8" w:rsidRDefault="00477FD8" w:rsidP="00477FD8">
      <w:pPr>
        <w:pStyle w:val="para"/>
        <w:numPr>
          <w:ilvl w:val="0"/>
          <w:numId w:val="1"/>
        </w:numPr>
        <w:shd w:val="clear" w:color="auto" w:fill="FFFFFF"/>
        <w:spacing w:before="120" w:beforeAutospacing="0" w:after="120" w:afterAutospacing="0"/>
        <w:jc w:val="both"/>
        <w:rPr>
          <w:rFonts w:ascii="Arial" w:hAnsi="Arial" w:cs="Arial"/>
          <w:color w:val="555555"/>
          <w:sz w:val="21"/>
          <w:szCs w:val="21"/>
        </w:rPr>
      </w:pPr>
      <w:r>
        <w:rPr>
          <w:rStyle w:val="Strong"/>
          <w:rFonts w:ascii="Arial" w:hAnsi="Arial" w:cs="Arial"/>
          <w:color w:val="555555"/>
          <w:sz w:val="21"/>
          <w:szCs w:val="21"/>
        </w:rPr>
        <w:t>Kích thước tối đa tập tin dữ liệu </w:t>
      </w:r>
      <w:r>
        <w:rPr>
          <w:rFonts w:ascii="Arial" w:hAnsi="Arial" w:cs="Arial"/>
          <w:color w:val="555555"/>
          <w:sz w:val="21"/>
          <w:szCs w:val="21"/>
        </w:rPr>
        <w:t>(Maximum file size) : là việc qui định sự tăng trưởng tự động kích thước của các tập tin dữ liệu nhưng có giới hạn (restrict file growth) đến MB nào đó hoặc là không có giới hạn (un-restrict file growth). Trong trường hợp nếu các bạn chọn có giới hạn kích thước của tập tin dữ liệu thì chúng ta phải biết tự thêm vào các tập tin dữ liệu mới khi dữ liệu lưu trữ đã bằng với kích thước tối đa của tập tin dữ liệu. Các tập tin dữ liệu mới này chính là loại tập tin thứ yếu (Secondary data file) và chúng ta có thể lưu trữ các tập tin vật lý này tại các đĩa cứng khác có bên trong Microsoft SQL Server. Đây cũng là một trong nét đặc trưng của mô hình cơ sở dữ liệu phân tán (distributed database). Đối với các CSDL thực tế, việc xác định các tham số về kích thước ban đầu rất quan trọng vì nhiều lý do. Để đảm bảo có đủ không gian lưu trữ dữ liệu, bạn cần dành trước cho CSDL phòng khi những ứng hay CSDL khác sử dụng hết đĩa cứng. CSDL có kích thước nhỏ cũng sẽ ảnh hưởng tới tốc độ do SQL Server cần phải thực hiện nhiều lần thao tác mở rộng kích thước tập tin CSDL khi có dữ liệu thêm mới. Ngoài ra, đa số các dữ liệu trong CSDL thực tế theo thời gian không thể xoá bỏ mà cần phải lưu trữ (backup) lại trước. Việc lưu trữ và phục hồi (restore) dữ liệu cũng ảnh hưởng bởi kích thước các tập tin do chúng phải đủ nhỏ để lưu trên các đĩa CD- ROM hay băng từ. Các bước mà chúng tôi mô tả bên dưới sẽ giúp các bạn tạo ra một cơ sở dữ liệu mới bằng tiện ích Enterprise Manager.</w:t>
      </w:r>
    </w:p>
    <w:p w:rsidR="00F039F8" w:rsidRDefault="00F039F8">
      <w:bookmarkStart w:id="0" w:name="_GoBack"/>
      <w:bookmarkEnd w:id="0"/>
    </w:p>
    <w:sectPr w:rsidR="00F03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9B5F94"/>
    <w:multiLevelType w:val="hybridMultilevel"/>
    <w:tmpl w:val="FC2005D4"/>
    <w:lvl w:ilvl="0" w:tplc="0409000B">
      <w:start w:val="1"/>
      <w:numFmt w:val="bullet"/>
      <w:lvlText w:val=""/>
      <w:lvlJc w:val="left"/>
      <w:pPr>
        <w:tabs>
          <w:tab w:val="num" w:pos="1437"/>
        </w:tabs>
        <w:ind w:left="1437" w:hanging="360"/>
      </w:pPr>
      <w:rPr>
        <w:rFonts w:ascii="Wingdings" w:hAnsi="Wingdings" w:hint="default"/>
      </w:rPr>
    </w:lvl>
    <w:lvl w:ilvl="1" w:tplc="0409000D">
      <w:start w:val="1"/>
      <w:numFmt w:val="bullet"/>
      <w:lvlText w:val=""/>
      <w:lvlJc w:val="left"/>
      <w:pPr>
        <w:tabs>
          <w:tab w:val="num" w:pos="2157"/>
        </w:tabs>
        <w:ind w:left="2157" w:hanging="360"/>
      </w:pPr>
      <w:rPr>
        <w:rFonts w:ascii="Wingdings" w:hAnsi="Wingdings" w:hint="default"/>
      </w:rPr>
    </w:lvl>
    <w:lvl w:ilvl="2" w:tplc="07267938" w:tentative="1">
      <w:start w:val="1"/>
      <w:numFmt w:val="bullet"/>
      <w:lvlText w:val=""/>
      <w:lvlJc w:val="left"/>
      <w:pPr>
        <w:tabs>
          <w:tab w:val="num" w:pos="2877"/>
        </w:tabs>
        <w:ind w:left="2877" w:hanging="360"/>
      </w:pPr>
      <w:rPr>
        <w:rFonts w:ascii="Wingdings" w:hAnsi="Wingdings" w:hint="default"/>
      </w:rPr>
    </w:lvl>
    <w:lvl w:ilvl="3" w:tplc="FCB8E8A6" w:tentative="1">
      <w:start w:val="1"/>
      <w:numFmt w:val="bullet"/>
      <w:lvlText w:val=""/>
      <w:lvlJc w:val="left"/>
      <w:pPr>
        <w:tabs>
          <w:tab w:val="num" w:pos="3597"/>
        </w:tabs>
        <w:ind w:left="3597" w:hanging="360"/>
      </w:pPr>
      <w:rPr>
        <w:rFonts w:ascii="Wingdings" w:hAnsi="Wingdings" w:hint="default"/>
      </w:rPr>
    </w:lvl>
    <w:lvl w:ilvl="4" w:tplc="C1A673BA" w:tentative="1">
      <w:start w:val="1"/>
      <w:numFmt w:val="bullet"/>
      <w:lvlText w:val=""/>
      <w:lvlJc w:val="left"/>
      <w:pPr>
        <w:tabs>
          <w:tab w:val="num" w:pos="4317"/>
        </w:tabs>
        <w:ind w:left="4317" w:hanging="360"/>
      </w:pPr>
      <w:rPr>
        <w:rFonts w:ascii="Wingdings" w:hAnsi="Wingdings" w:hint="default"/>
      </w:rPr>
    </w:lvl>
    <w:lvl w:ilvl="5" w:tplc="1DB4E12E" w:tentative="1">
      <w:start w:val="1"/>
      <w:numFmt w:val="bullet"/>
      <w:lvlText w:val=""/>
      <w:lvlJc w:val="left"/>
      <w:pPr>
        <w:tabs>
          <w:tab w:val="num" w:pos="5037"/>
        </w:tabs>
        <w:ind w:left="5037" w:hanging="360"/>
      </w:pPr>
      <w:rPr>
        <w:rFonts w:ascii="Wingdings" w:hAnsi="Wingdings" w:hint="default"/>
      </w:rPr>
    </w:lvl>
    <w:lvl w:ilvl="6" w:tplc="556EE3DE" w:tentative="1">
      <w:start w:val="1"/>
      <w:numFmt w:val="bullet"/>
      <w:lvlText w:val=""/>
      <w:lvlJc w:val="left"/>
      <w:pPr>
        <w:tabs>
          <w:tab w:val="num" w:pos="5757"/>
        </w:tabs>
        <w:ind w:left="5757" w:hanging="360"/>
      </w:pPr>
      <w:rPr>
        <w:rFonts w:ascii="Wingdings" w:hAnsi="Wingdings" w:hint="default"/>
      </w:rPr>
    </w:lvl>
    <w:lvl w:ilvl="7" w:tplc="5C7C9670" w:tentative="1">
      <w:start w:val="1"/>
      <w:numFmt w:val="bullet"/>
      <w:lvlText w:val=""/>
      <w:lvlJc w:val="left"/>
      <w:pPr>
        <w:tabs>
          <w:tab w:val="num" w:pos="6477"/>
        </w:tabs>
        <w:ind w:left="6477" w:hanging="360"/>
      </w:pPr>
      <w:rPr>
        <w:rFonts w:ascii="Wingdings" w:hAnsi="Wingdings" w:hint="default"/>
      </w:rPr>
    </w:lvl>
    <w:lvl w:ilvl="8" w:tplc="F37203F4" w:tentative="1">
      <w:start w:val="1"/>
      <w:numFmt w:val="bullet"/>
      <w:lvlText w:val=""/>
      <w:lvlJc w:val="left"/>
      <w:pPr>
        <w:tabs>
          <w:tab w:val="num" w:pos="7197"/>
        </w:tabs>
        <w:ind w:left="719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FD8"/>
    <w:rsid w:val="00477FD8"/>
    <w:rsid w:val="008D25BF"/>
    <w:rsid w:val="00F03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B05D1C-1831-47EA-865E-3366CB97F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7FD8"/>
    <w:rPr>
      <w:b/>
      <w:bCs/>
    </w:rPr>
  </w:style>
  <w:style w:type="paragraph" w:customStyle="1" w:styleId="para">
    <w:name w:val="para"/>
    <w:basedOn w:val="Normal"/>
    <w:rsid w:val="00477FD8"/>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2020-05-21T07:23:00Z</dcterms:created>
  <dcterms:modified xsi:type="dcterms:W3CDTF">2020-05-21T09:20:00Z</dcterms:modified>
</cp:coreProperties>
</file>