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cs="Times New Roman"/>
          <w:b/>
          <w:color w:val="000000"/>
          <w:sz w:val="32"/>
          <w:lang w:val="vi-VN"/>
        </w:rPr>
        <w:t>CHƯƠNG 2. TỔNG QUAN NGHIÊN CỨU VÀ CƠ SỞ KHOA HỌC</w:t>
      </w:r>
    </w:p>
    <w:p>
      <w:pPr>
        <w:pStyle w:val="Heading2"/>
      </w:pPr>
      <w:r>
        <w:rPr>
          <w:rFonts w:ascii="Times New Roman" w:hAnsi="Times New Roman" w:eastAsia="Times New Roman" w:cs="Times New Roman"/>
          <w:b/>
          <w:color w:val="000000"/>
          <w:sz w:val="26"/>
          <w:lang w:val="vi-VN"/>
        </w:rPr>
        <w:t>2.1. Giới thiệu chương</w:t>
      </w:r>
    </w:p>
    <w:p>
      <w:pPr>
        <w:spacing w:line="360" w:lineRule="auto" w:before="0" w:after="0"/>
        <w:ind w:firstLine="567"/>
        <w:jc w:val="both"/>
      </w:pPr>
      <w:r>
        <w:rPr>
          <w:rFonts w:ascii="Times New Roman" w:hAnsi="Times New Roman" w:eastAsia="Times New Roman" w:cs="Times New Roman"/>
          <w:color w:val="000000"/>
          <w:sz w:val="26"/>
          <w:lang w:val="vi-VN"/>
        </w:rPr>
        <w:t>Chương này tổng hợp cơ sở khoa học cho việc đặc trưng hóa ứng xử uốn phụ thuộc áp suất của một bó dây TiNi có cấu hình xác định. Hai thành phần cần được phân biệt là kết cấu chịu uốn và nguồn áp suất dẫn động bằng hợp kim nhớ hình dạng (shape memory alloy, SMA). Phạm vi tổng quan gồm cơ chế giam giữ, tiếp xúc và ma sát, đặc tính nhiệt–cơ của TiNi, cùng các mô hình có thể dùng làm đối chứng. Nguồn lò xo SMA–piston được xem xét ở mức nhiệm vụ hỗ trợ và tích hợp; đáp ứng kết cấu vẫn có thể được khảo sát bằng nguồn áp suất bên ngoài.</w:t>
      </w:r>
    </w:p>
    <w:p>
      <w:pPr>
        <w:spacing w:line="360" w:lineRule="auto" w:before="0" w:after="0"/>
        <w:ind w:firstLine="567"/>
        <w:jc w:val="both"/>
      </w:pPr>
      <w:r>
        <w:rPr>
          <w:rFonts w:ascii="Times New Roman" w:hAnsi="Times New Roman" w:eastAsia="Times New Roman" w:cs="Times New Roman"/>
          <w:color w:val="000000"/>
          <w:sz w:val="26"/>
          <w:lang w:val="vi-VN"/>
        </w:rPr>
        <w:t>Tổng quan được tổ chức theo quan hệ giữa kích thích, đường truyền lực và đại lượng quan sát. Các kết quả thực nghiệm được diễn giải trong phạm vi vật liệu, hình học, tải và điều kiện biên của từng nghiên cứu. Mô hình hoặc phép thử trên hệ tương tự cung cấp cơ sở tham chiếu, nhưng không thay thế cho kiểm chứng trên bó TiNi. Cách tiếp cận này giúp phân biệt điều đã được thiết lập trong các kiến trúc liên quan với vấn đề cần nhận dạng hoặc đặc trưng hóa riêng cho MP1-R.</w:t>
      </w:r>
    </w:p>
    <w:p>
      <w:pPr>
        <w:spacing w:line="360" w:lineRule="auto" w:before="0" w:after="0"/>
        <w:ind w:firstLine="567"/>
        <w:jc w:val="both"/>
      </w:pPr>
      <w:r>
        <w:rPr>
          <w:rFonts w:ascii="Times New Roman" w:hAnsi="Times New Roman" w:eastAsia="Times New Roman" w:cs="Times New Roman"/>
          <w:color w:val="000000"/>
          <w:sz w:val="26"/>
          <w:lang w:val="vi-VN"/>
        </w:rPr>
        <w:t>Phần cuối chương kết nối chuỗi từ áp suất đến đáp ứng uốn và xác định giới hạn suy luận tại mỗi mắt xích. Trọng tâm là ánh xạ từ phản lực hướng tâm đến lực pháp tuyến tiếp xúc (contact normal force) cục bộ tại tiếp diện dây–dây (wire–wire) và dây–ống bao (wire–sleeve). Từ đó, chương dẫn đến một câu hỏi nghiên cứu chính và hai câu hỏi phụ, đồng thời giữ các cách giải thích vật liệu, tiếp xúc thông thường và tương tác bổ sung như những khả năng cần phân biệt bằng quan sát.</w:t>
      </w:r>
    </w:p>
    <w:p>
      <w:pPr>
        <w:pStyle w:val="Heading2"/>
      </w:pPr>
      <w:r>
        <w:rPr>
          <w:rFonts w:ascii="Times New Roman" w:hAnsi="Times New Roman" w:eastAsia="Times New Roman" w:cs="Times New Roman"/>
          <w:b/>
          <w:color w:val="000000"/>
          <w:sz w:val="26"/>
          <w:lang w:val="vi-VN"/>
        </w:rPr>
        <w:t>2.2. Cơ chế thay đổi độ cứng dựa trên giam giữ và áp suất</w:t>
      </w:r>
    </w:p>
    <w:p>
      <w:pPr>
        <w:spacing w:line="360" w:lineRule="auto" w:before="0" w:after="0"/>
        <w:ind w:firstLine="567"/>
        <w:jc w:val="both"/>
      </w:pPr>
      <w:r>
        <w:rPr>
          <w:rFonts w:ascii="Times New Roman" w:hAnsi="Times New Roman" w:eastAsia="Times New Roman" w:cs="Times New Roman"/>
          <w:color w:val="000000"/>
          <w:sz w:val="26"/>
          <w:lang w:val="vi-VN"/>
        </w:rPr>
        <w:t>Trong các kết cấu biến đổi độ cứng, giam giữ có thể hạn chế chuyển động tương đối của nhiều phần tử thông qua bao mềm, môi trường hạt hoặc lực ép cơ học. Ứng xử dính–trượt (stick–slip) thay đổi đáp ứng chịu tải của toàn cụm, nhưng đường truyền tải pháp tuyến phụ thuộc cách bố trí từng kiến trúc [1]–[3]. Vì vậy, sự thay đổi lực–độ võng hoặc mô men–độ cong không tự nó xác định lực tiếp xúc cục bộ hay tiếp diện chi phối.</w:t>
      </w:r>
    </w:p>
    <w:p>
      <w:pPr>
        <w:spacing w:line="360" w:lineRule="auto" w:before="0" w:after="0"/>
        <w:ind w:firstLine="567"/>
        <w:jc w:val="both"/>
      </w:pPr>
      <w:r>
        <w:rPr>
          <w:rFonts w:ascii="Times New Roman" w:hAnsi="Times New Roman" w:eastAsia="Times New Roman" w:cs="Times New Roman"/>
          <w:color w:val="000000"/>
          <w:sz w:val="26"/>
          <w:lang w:val="vi-VN"/>
        </w:rPr>
        <w:t>Bai và cộng sự đã khảo sát bộ chấp hành mềm dùng bó dây hoặc sợi không kim loại trong một bao kín, với so sánh trạng thái hút chân không và nhả giam giữ. Công trình này cho thấy ma sát giữa các phần tử có thể làm thay đổi khả năng chịu uốn và xoắn của một kiến trúc wire-jamming [1]. Tuy nhiên, vật liệu, bao bọc và đường tải của nghiên cứu khác với bó dây TiNi chịu áp suất hướng ra ngoài; lực giữa các sợi, lực màng và ảnh hưởng của sắp xếp phần tử không được tách độc lập. Vì vậy, nguồn này thiết lập khả năng điều chỉnh độ cứng theo kiến trúc, chứ không cung cấp hệ số chuyển áp suất–lực cho MP1-R.</w:t>
      </w:r>
    </w:p>
    <w:p>
      <w:pPr>
        <w:spacing w:line="360" w:lineRule="auto" w:before="0" w:after="0"/>
        <w:ind w:firstLine="567"/>
        <w:jc w:val="both"/>
      </w:pPr>
      <w:r>
        <w:rPr>
          <w:rFonts w:ascii="Times New Roman" w:hAnsi="Times New Roman" w:eastAsia="Times New Roman" w:cs="Times New Roman"/>
          <w:color w:val="000000"/>
          <w:sz w:val="26"/>
          <w:lang w:val="vi-VN"/>
        </w:rPr>
        <w:t>Caro và Carmichael phân loại các cơ chế thay đổi độ cứng của kết cấu giam giữ nhiều lớp, gồm ma sát, cản trở chuyển động bằng hình học và những cơ chế khác [4]. Phạm vi bài tổng quan tập trung vào cấu trúc lớp; nó không bao quát các hệ hạt hoặc sợi. Nguồn này hữu ích để định vị cơ chế và thuật ngữ, còn các mệnh đề về thí nghiệm hay mô hình cụ thể cần dựa trên nghiên cứu gốc. Sự phân biệt này tránh dùng một tổng quan lớp làm bằng chứng lặp lại độc lập cho bó dây.</w:t>
      </w:r>
    </w:p>
    <w:p>
      <w:pPr>
        <w:spacing w:line="360" w:lineRule="auto" w:before="0" w:after="0"/>
        <w:ind w:firstLine="567"/>
        <w:jc w:val="both"/>
      </w:pPr>
      <w:r>
        <w:rPr>
          <w:rFonts w:ascii="Times New Roman" w:hAnsi="Times New Roman" w:eastAsia="Times New Roman" w:cs="Times New Roman"/>
          <w:color w:val="000000"/>
          <w:sz w:val="26"/>
          <w:lang w:val="vi-VN"/>
        </w:rPr>
        <w:t>Các thí nghiệm trên hệ hạt của Liu và cộng sự bổ sung một đường giam giữ khác với bao hút chân không của Bai và cộng sự: áp suất dương được dùng để điều chỉnh đáp ứng của cụm hạt–túi [2]. Đối chiếu hai hệ cho thấy áp suất dương và hút chân không đều có thể đi kèm thay đổi ứng xử uốn, nhưng vật liệu phần tử, hướng phản lực và độ mềm bao khác nhau [1], [2]. Bằng chứng vì vậy xác lập hiệu ứng trong từng kiến trúc, chứ không xác lập một quan hệ áp suất–độ cứng phổ quát cho bó TiNi.</w:t>
      </w:r>
    </w:p>
    <w:p>
      <w:pPr>
        <w:spacing w:line="360" w:lineRule="auto" w:before="0" w:after="0"/>
        <w:ind w:firstLine="567"/>
        <w:jc w:val="both"/>
      </w:pPr>
      <w:r>
        <w:rPr>
          <w:rFonts w:ascii="Times New Roman" w:hAnsi="Times New Roman" w:eastAsia="Times New Roman" w:cs="Times New Roman"/>
          <w:color w:val="000000"/>
          <w:sz w:val="26"/>
          <w:lang w:val="vi-VN"/>
        </w:rPr>
        <w:t>So với môi trường hạt, chuỗi sợi nylon chịu áp suất dương của Zhang và Yao gần hơn với MP1-R về câu hỏi cơ học nhiều phần tử. Công trình kết hợp mô hình các nhánh dính, trượt một phần và trượt hoàn toàn với thí nghiệm uốn; độ nhạy theo áp suất khác nhau giữa các nhánh [3]. Tuy nhiên, chuỗi dùng sợi nylon, các phần liên kết cứng và túi bơm phồng, trong khi MP1-R dùng bó TiNi với đường phản lực và tiếp diện chưa được đồng nhất. Một phần tham số được nhận dạng từ đáp ứng tổng thể. Do đó, cách phân nhánh là cơ sở tham chiếu phù hợp, còn hệ số truyền áp suất và lực tiếp xúc không được chuyển trực tiếp sang cấu hình mới.</w:t>
      </w:r>
    </w:p>
    <w:p>
      <w:pPr>
        <w:spacing w:line="360" w:lineRule="auto" w:before="0" w:after="0"/>
        <w:ind w:firstLine="567"/>
        <w:jc w:val="both"/>
      </w:pPr>
      <w:r>
        <w:rPr>
          <w:rFonts w:ascii="Times New Roman" w:hAnsi="Times New Roman" w:eastAsia="Times New Roman" w:cs="Times New Roman"/>
          <w:color w:val="000000"/>
          <w:sz w:val="26"/>
          <w:lang w:val="vi-VN"/>
        </w:rPr>
        <w:t>Mô hình liên tục của Zhang, Yao, Zhao và Wei xét dầm nhiều lớp polyvinyl chloride (PVC) dưới hút chân không, thay vì sợi chịu áp suất dương [5]. Mô hình dùng ngưỡng ma sát để mô tả vùng dính–trượt và được đối chiếu với phần tử hữu hạn cùng đáp ứng toàn cục của mẫu. Hạn chế liên quan đến ứng suất pháp tuyến ngang, hiệu ứng đầu mút và vùng trượt ở biến dạng lớn cho thấy mức đơn giản hóa đường tiếp xúc ảnh hưởng khả năng dự đoán. Công trình này cung cấp tương tự lý thuyết–cơ học cho MP1-R; nó không xác nhận bó TiNi, giam giữ sợi áp suất dương hoặc lực pháp tuyến cục bộ của hệ đề xuất.</w:t>
      </w:r>
    </w:p>
    <w:p>
      <w:pPr>
        <w:keepNext/>
        <w:spacing w:line="288" w:lineRule="auto" w:before="120" w:after="80"/>
        <w:ind w:firstLine="0"/>
        <w:jc w:val="center"/>
      </w:pPr>
      <w:r>
        <w:rPr>
          <w:rFonts w:ascii="Times New Roman" w:hAnsi="Times New Roman" w:eastAsia="Times New Roman" w:cs="Times New Roman"/>
          <w:b/>
          <w:color w:val="000000"/>
          <w:sz w:val="24"/>
          <w:lang w:val="vi-VN"/>
        </w:rPr>
        <w:t>Bảng 2.1. So sánh các đường truyền giam giữ trong các kiến trúc đã được thẩm định</w:t>
      </w:r>
    </w:p>
    <w:tbl>
      <w:tblPr>
        <w:tblStyle w:val="TableGrid"/>
        <w:tblW w:type="auto" w:w="0"/>
        <w:jc w:val="center"/>
        <w:tblLook w:firstColumn="1" w:firstRow="1" w:lastColumn="0" w:lastRow="0" w:noHBand="0" w:noVBand="1" w:val="04A0"/>
      </w:tblPr>
      <w:tblGrid>
        <w:gridCol w:w="2197"/>
        <w:gridCol w:w="2197"/>
        <w:gridCol w:w="2197"/>
        <w:gridCol w:w="2197"/>
      </w:tblGrid>
      <w:tr>
        <w:trPr>
          <w:cantSplit/>
          <w:tblHeader w:val="true"/>
        </w:trPr>
        <w:tc>
          <w:tcPr>
            <w:tcW w:type="dxa" w:w="2197"/>
            <w:vAlign w:val="top"/>
          </w:tcPr>
          <w:p>
            <w:pPr>
              <w:spacing w:line="240" w:lineRule="auto" w:before="60" w:after="60"/>
              <w:ind w:firstLine="0"/>
              <w:jc w:val="left"/>
            </w:pPr>
            <w:r>
              <w:rPr>
                <w:rFonts w:ascii="Times New Roman" w:hAnsi="Times New Roman" w:eastAsia="Times New Roman" w:cs="Times New Roman"/>
                <w:b/>
                <w:color w:val="000000"/>
                <w:sz w:val="22"/>
                <w:lang w:val="vi-VN"/>
              </w:rPr>
              <w:t>Kiến trúc</w:t>
            </w:r>
          </w:p>
        </w:tc>
        <w:tc>
          <w:tcPr>
            <w:tcW w:type="dxa" w:w="2197"/>
            <w:vAlign w:val="top"/>
          </w:tcPr>
          <w:p>
            <w:pPr>
              <w:spacing w:line="240" w:lineRule="auto" w:before="60" w:after="60"/>
              <w:ind w:firstLine="0"/>
              <w:jc w:val="left"/>
            </w:pPr>
            <w:r>
              <w:rPr>
                <w:rFonts w:ascii="Times New Roman" w:hAnsi="Times New Roman" w:eastAsia="Times New Roman" w:cs="Times New Roman"/>
                <w:b/>
                <w:color w:val="000000"/>
                <w:sz w:val="22"/>
                <w:lang w:val="vi-VN"/>
              </w:rPr>
              <w:t>Tác nhân giam giữ</w:t>
            </w:r>
          </w:p>
        </w:tc>
        <w:tc>
          <w:tcPr>
            <w:tcW w:type="dxa" w:w="2197"/>
            <w:vAlign w:val="top"/>
          </w:tcPr>
          <w:p>
            <w:pPr>
              <w:spacing w:line="240" w:lineRule="auto" w:before="60" w:after="60"/>
              <w:ind w:firstLine="0"/>
              <w:jc w:val="left"/>
            </w:pPr>
            <w:r>
              <w:rPr>
                <w:rFonts w:ascii="Times New Roman" w:hAnsi="Times New Roman" w:eastAsia="Times New Roman" w:cs="Times New Roman"/>
                <w:b/>
                <w:color w:val="000000"/>
                <w:sz w:val="22"/>
                <w:lang w:val="vi-VN"/>
              </w:rPr>
              <w:t>Đáp ứng chính</w:t>
            </w:r>
          </w:p>
        </w:tc>
        <w:tc>
          <w:tcPr>
            <w:tcW w:type="dxa" w:w="2197"/>
            <w:vAlign w:val="top"/>
          </w:tcPr>
          <w:p>
            <w:pPr>
              <w:spacing w:line="240" w:lineRule="auto" w:before="60" w:after="60"/>
              <w:ind w:firstLine="0"/>
              <w:jc w:val="left"/>
            </w:pPr>
            <w:r>
              <w:rPr>
                <w:rFonts w:ascii="Times New Roman" w:hAnsi="Times New Roman" w:eastAsia="Times New Roman" w:cs="Times New Roman"/>
                <w:b/>
                <w:color w:val="000000"/>
                <w:sz w:val="22"/>
                <w:lang w:val="vi-VN"/>
              </w:rPr>
              <w:t>Giới hạn khi chuyển sang MP1-R</w:t>
            </w:r>
          </w:p>
        </w:tc>
      </w:tr>
      <w:tr>
        <w:trPr>
          <w:cantSplit/>
        </w:trPr>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Bó dây/sợi không kim loại [1]</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Hút chân không qua bao mềm</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Lực–độ võng, mô men–góc xoắn</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Không phải TiNi; tiếp diện và lực màng chưa tách độc lập</w:t>
            </w:r>
          </w:p>
        </w:tc>
      </w:tr>
      <w:tr>
        <w:trPr>
          <w:cantSplit/>
        </w:trPr>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Giam giữ hạt [2]</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Áp suất dương làm nén môi trường hạt</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Uốn của cụm hạt–túi</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Lực hạt–biên và độ mềm túi phụ thuộc kiến trúc</w:t>
            </w:r>
          </w:p>
        </w:tc>
      </w:tr>
      <w:tr>
        <w:trPr>
          <w:cantSplit/>
        </w:trPr>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Giam giữ sợi [3]</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Túi bơm phồng áp suất dương và thành phản lực</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Nhánh dính–trượt và tải tới hạn</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Tham số hiệu dụng và phản lực cục bộ chưa được đo độc lập</w:t>
            </w:r>
          </w:p>
        </w:tc>
      </w:tr>
      <w:tr>
        <w:trPr>
          <w:cantSplit/>
        </w:trPr>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Layer-jamming liên tục [5]</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Hút chân không giữa các lớp PVC</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Ứng suất, vùng trượt và tải–độ võng</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Tương tự cơ học; không phải bó sợi áp suất dương hoặc TiNi</w:t>
            </w:r>
          </w:p>
        </w:tc>
      </w:tr>
      <w:tr>
        <w:trPr>
          <w:cantSplit/>
        </w:trPr>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MP1-R</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Áp suất gần mẫu và phản lực hướng tâm dự kiến</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Mô men–độ cong, trượt cục bộ và phụ thuộc trạng thái TiNi</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Ánh xạ áp suất–phản lực–lực pháp tuyến chưa được xác định</w:t>
            </w:r>
          </w:p>
        </w:tc>
      </w:tr>
    </w:tbl>
    <w:p>
      <w:pPr>
        <w:spacing w:line="288" w:lineRule="auto" w:before="0" w:after="120"/>
        <w:ind w:firstLine="0"/>
        <w:jc w:val="both"/>
      </w:pPr>
      <w:r>
        <w:rPr>
          <w:rFonts w:ascii="Times New Roman" w:hAnsi="Times New Roman" w:eastAsia="Times New Roman" w:cs="Times New Roman"/>
          <w:i/>
          <w:color w:val="000000"/>
          <w:sz w:val="22"/>
          <w:lang w:val="vi-VN"/>
        </w:rPr>
        <w:t>Các kết quả được diễn giải trong phạm vi từng kiến trúc gốc; riêng mô hình lớp PVC là tương tự lý thuyết–cơ học. Dòng MP1-R mô tả miền cần kiểm chứng, không phải kết quả đã có.</w:t>
      </w:r>
    </w:p>
    <w:p>
      <w:pPr>
        <w:spacing w:line="360" w:lineRule="auto" w:before="0" w:after="0"/>
        <w:ind w:firstLine="567"/>
        <w:jc w:val="both"/>
      </w:pPr>
      <w:r>
        <w:rPr>
          <w:rFonts w:ascii="Times New Roman" w:hAnsi="Times New Roman" w:eastAsia="Times New Roman" w:cs="Times New Roman"/>
          <w:color w:val="000000"/>
          <w:sz w:val="26"/>
          <w:lang w:val="vi-VN"/>
        </w:rPr>
        <w:t>So sánh trên cho thấy từ “áp suất” chỉ mô tả biến kích thích ở một vị trí nào đó trong hệ. Để suy ra biến dạng uốn, cần biết áp suất tác động lên màng hoặc thành nào, thành đó tạo phản lực ra sao, phản lực phân bố lên các phần tử thế nào, và các tiếp diện có trượt hay không. Vì vậy, MP1-R không đặt mục tiêu tìm một quy luật áp suất–độ cứng chung; mục tiêu phù hợp hơn là đặc trưng hóa quan hệ trong một tiết diện, vật liệu và lịch sử tải đã khóa.</w:t>
      </w:r>
    </w:p>
    <w:p>
      <w:pPr>
        <w:pStyle w:val="Heading2"/>
      </w:pPr>
      <w:r>
        <w:rPr>
          <w:rFonts w:ascii="Times New Roman" w:hAnsi="Times New Roman" w:eastAsia="Times New Roman" w:cs="Times New Roman"/>
          <w:b/>
          <w:color w:val="000000"/>
          <w:sz w:val="26"/>
          <w:lang w:val="vi-VN"/>
        </w:rPr>
        <w:t>2.3. Cơ học tiếp xúc, ma sát và dính–trượt trong kết cấu nhiều phần tử</w:t>
      </w:r>
    </w:p>
    <w:p>
      <w:pPr>
        <w:spacing w:line="360" w:lineRule="auto" w:before="0" w:after="0"/>
        <w:ind w:firstLine="567"/>
        <w:jc w:val="both"/>
      </w:pPr>
      <w:r>
        <w:rPr>
          <w:rFonts w:ascii="Times New Roman" w:hAnsi="Times New Roman" w:eastAsia="Times New Roman" w:cs="Times New Roman"/>
          <w:color w:val="000000"/>
          <w:sz w:val="26"/>
          <w:lang w:val="vi-VN"/>
        </w:rPr>
        <w:t>Trong mô hình ma sát kiểu Coulomb, độ lớn lực tiếp tuyến bị giới hạn bởi tích của lực pháp tuyến với hệ số ma sát. Cách biểu diễn này được dùng trong mô hình sợi và dầm nhiều lớp đã khảo sát [3], [5]. Đối với một tiếp diện quy ước i, giới hạn tối thiểu được viết là:</w:t>
      </w:r>
    </w:p>
    <w:p>
      <w:pPr>
        <w:spacing w:line="360" w:lineRule="auto" w:before="0" w:after="0"/>
        <w:ind w:firstLine="0"/>
        <w:jc w:val="center"/>
      </w:pPr>
      <m:oMath>
        <m:d>
          <m:dPr>
            <m:begChr m:val="|"/>
            <m:endChr m:val="|"/>
          </m:dPr>
          <m:e>
            <m:sSub>
              <m:e>
                <m:r>
                  <w:rPr>
                    <w:rFonts w:ascii="Times New Roman" w:hAnsi="Times New Roman"/>
                    <w:sz w:val="26"/>
                    <w:color w:val="000000"/>
                  </w:rPr>
                  <m:t>F</m:t>
                </m:r>
              </m:e>
              <m:sub>
                <m:r>
                  <w:rPr>
                    <w:rFonts w:ascii="Times New Roman" w:hAnsi="Times New Roman"/>
                    <w:sz w:val="26"/>
                    <w:color w:val="000000"/>
                  </w:rPr>
                  <m:t>t,i</m:t>
                </m:r>
              </m:sub>
            </m:sSub>
          </m:e>
        </m:d>
        <m:r>
          <w:rPr>
            <w:rFonts w:ascii="Times New Roman" w:hAnsi="Times New Roman"/>
            <w:sz w:val="26"/>
            <w:color w:val="000000"/>
          </w:rPr>
          <m:t> ≤ </m:t>
        </m:r>
        <m:sSub>
          <m:e>
            <m:r>
              <w:rPr>
                <w:rFonts w:ascii="Times New Roman" w:hAnsi="Times New Roman"/>
                <w:sz w:val="26"/>
                <w:color w:val="000000"/>
              </w:rPr>
              <m:t>μ</m:t>
            </m:r>
          </m:e>
          <m:sub>
            <m:r>
              <w:rPr>
                <w:rFonts w:ascii="Times New Roman" w:hAnsi="Times New Roman"/>
                <w:sz w:val="26"/>
                <w:color w:val="000000"/>
              </w:rPr>
              <m:t>i</m:t>
            </m:r>
          </m:sub>
        </m:sSub>
        <m:r>
          <w:rPr>
            <w:rFonts w:ascii="Times New Roman" w:hAnsi="Times New Roman"/>
            <w:sz w:val="26"/>
            <w:color w:val="000000"/>
          </w:rPr>
          <m:t> </m:t>
        </m:r>
        <m:sSub>
          <m:e>
            <m:r>
              <w:rPr>
                <w:rFonts w:ascii="Times New Roman" w:hAnsi="Times New Roman"/>
                <w:sz w:val="26"/>
                <w:color w:val="000000"/>
              </w:rPr>
              <m:t>N</m:t>
            </m:r>
          </m:e>
          <m:sub>
            <m:r>
              <w:rPr>
                <w:rFonts w:ascii="Times New Roman" w:hAnsi="Times New Roman"/>
                <w:sz w:val="26"/>
                <w:color w:val="000000"/>
              </w:rPr>
              <m:t>i</m:t>
            </m:r>
          </m:sub>
        </m:sSub>
      </m:oMath>
      <w:r>
        <w:rPr>
          <w:rFonts w:ascii="Times New Roman" w:hAnsi="Times New Roman" w:eastAsia="Times New Roman" w:cs="Times New Roman"/>
          <w:color w:val="000000"/>
          <w:sz w:val="26"/>
          <w:lang w:val="vi-VN"/>
        </w:rPr>
        <w:t xml:space="preserve">     (2.1)</w:t>
      </w:r>
    </w:p>
    <w:p>
      <w:pPr>
        <w:spacing w:line="360" w:lineRule="auto" w:before="0" w:after="0"/>
        <w:ind w:firstLine="567"/>
        <w:jc w:val="both"/>
      </w:pPr>
      <w:r>
        <w:rPr>
          <w:rFonts w:ascii="Times New Roman" w:hAnsi="Times New Roman" w:eastAsia="Times New Roman" w:cs="Times New Roman"/>
          <w:color w:val="000000"/>
          <w:sz w:val="26"/>
          <w:lang w:val="vi-VN"/>
        </w:rPr>
        <w:t>Trong đó Fₜ,ᵢ là lực tiếp tuyến tại tiếp diện i, Nᵢ là lực pháp tuyến và μᵢ là hệ số ma sát hiệu dụng của tiếp diện đó. Đẳng thức ở biên giới hạn chỉ mô tả điều kiện trượt trong giả thiết mô hình, không có nghĩa lực ma sát luôn bằng μᵢNᵢ. Áp suất chất lưu p, có đơn vị lực trên diện tích, cũng không đồng nhất với Nᵢ, có đơn vị lực. Việc chuyển từ p sang Nᵢ đòi hỏi đường phản lực, diện tích truyền tải và phân bố tiếp xúc phù hợp; đây là phần chưa được thiết lập cho bó TiNi [2], [3], [5].</w:t>
      </w:r>
    </w:p>
    <w:p>
      <w:pPr>
        <w:spacing w:line="360" w:lineRule="auto" w:before="0" w:after="0"/>
        <w:ind w:firstLine="567"/>
        <w:jc w:val="both"/>
      </w:pPr>
      <w:r>
        <w:rPr>
          <w:rFonts w:ascii="Times New Roman" w:hAnsi="Times New Roman" w:eastAsia="Times New Roman" w:cs="Times New Roman"/>
          <w:color w:val="000000"/>
          <w:sz w:val="26"/>
          <w:lang w:val="vi-VN"/>
        </w:rPr>
        <w:t>Trong mô hình sợi áp suất dương, Zhang và Yao giới hạn lực cắt hoặc ngưỡng trượt bằng một tham số liên quan đến áp suất, nhưng phản lực thành và tiếp diện sợi–thành vẫn là một phần của giả thiết kiến trúc [3]. Vì vậy, kết quả của họ phù hợp với diễn giải “áp suất có thể điều kiện hóa khả năng trượt” trong hệ đã xác định. Nó không chứng minh rằng mọi cấu hình bó dây đều có cùng phân bố N, cũng không chứng minh ma sát là cơ chế duy nhất của mọi nhánh uốn.</w:t>
      </w:r>
    </w:p>
    <w:p>
      <w:pPr>
        <w:spacing w:line="360" w:lineRule="auto" w:before="0" w:after="0"/>
        <w:ind w:firstLine="567"/>
        <w:jc w:val="both"/>
      </w:pPr>
      <w:r>
        <w:rPr>
          <w:rFonts w:ascii="Times New Roman" w:hAnsi="Times New Roman" w:eastAsia="Times New Roman" w:cs="Times New Roman"/>
          <w:color w:val="000000"/>
          <w:sz w:val="26"/>
          <w:lang w:val="vi-VN"/>
        </w:rPr>
        <w:t>Trong mô hình layer-jamming liên tục, Zhang và cộng sự phân biệt ứng suất pháp tuyến dọc trục với ứng suất cắt giữa các lớp, dùng ngưỡng ma sát phụ thuộc tích μp để mô tả vùng trượt [5]. Cách mô tả này hữu ích cho MP1-R ở cấp độ mô hình: một mô hình đối chứng có thể cần các trạng thái dính, trượt một phần và trượt hoàn toàn. Tuy nhiên, p trong mô hình PVC là áp suất giam giữ của kiến trúc đó; nó không phải phép đo trực tiếp N của một tiếp diện dây–dây hoặc dây–ống bao trong bó TiNi.</w:t>
      </w:r>
    </w:p>
    <w:p>
      <w:pPr>
        <w:spacing w:line="360" w:lineRule="auto" w:before="0" w:after="0"/>
        <w:ind w:firstLine="567"/>
        <w:jc w:val="both"/>
      </w:pPr>
      <w:r>
        <w:rPr>
          <w:rFonts w:ascii="Times New Roman" w:hAnsi="Times New Roman" w:eastAsia="Times New Roman" w:cs="Times New Roman"/>
          <w:color w:val="000000"/>
          <w:sz w:val="26"/>
          <w:lang w:val="vi-VN"/>
        </w:rPr>
        <w:t>Ở dây cáp thép ngắn, Barsi, Carboni và Lacarbonara xây dựng mô hình cơ học và đối chiếu các giới hạn độ cứng bằng thí nghiệm uốn [6]. Khác với các mô hình áp suất của sợi và lớp, đường tải ở đây chịu ảnh hưởng của hình học cáp và điều kiện đầu mút, còn trạng thái trượt được dùng để xác định các giới hạn đáp ứng [3], [5], [6]. Kết quả tạo cơ sở cho một mô hình đối chứng về độ cứng, nhưng không cung cấp luật đầy đủ cho vòng trễ hoặc phân bố áp suất–tiếp xúc của MP1-R.</w:t>
      </w:r>
    </w:p>
    <w:p>
      <w:pPr>
        <w:spacing w:line="360" w:lineRule="auto" w:before="0" w:after="0"/>
        <w:ind w:firstLine="567"/>
        <w:jc w:val="both"/>
      </w:pPr>
      <w:r>
        <w:rPr>
          <w:rFonts w:ascii="Times New Roman" w:hAnsi="Times New Roman" w:eastAsia="Times New Roman" w:cs="Times New Roman"/>
          <w:color w:val="000000"/>
          <w:sz w:val="26"/>
          <w:lang w:val="vi-VN"/>
        </w:rPr>
        <w:t>Vahidi và cộng sự kết hợp mô hình vật liệu SMA với tiếp xúc ma sát trong mô phỏng cáp xoắn đơn và xoắn kép [7]. Công trình chứng minh rằng chuyển pha và tiếp xúc có thể cùng được đưa vào một mô hình số thông thường, thay vì mặc nhiên cần một luật tương tác mới. Tuy nhiên, đáp ứng mô phỏng thuộc miền kéo của cáp xoắn, không phải uốn ngang của bó chịu áp suất gần mẫu; nó cũng không phải một thí nghiệm riêng xác nhận bó TiNi của MP1-R. Khả năng dự đoán trong cấu hình đề xuất vẫn cần được kiểm tra.</w:t>
      </w:r>
    </w:p>
    <w:p>
      <w:pPr>
        <w:spacing w:line="360" w:lineRule="auto" w:before="0" w:after="0"/>
        <w:ind w:firstLine="567"/>
        <w:jc w:val="both"/>
      </w:pPr>
      <w:r>
        <w:rPr>
          <w:rFonts w:ascii="Times New Roman" w:hAnsi="Times New Roman" w:eastAsia="Times New Roman" w:cs="Times New Roman"/>
          <w:color w:val="000000"/>
          <w:sz w:val="26"/>
          <w:lang w:val="vi-VN"/>
        </w:rPr>
        <w:t>Độ cứng uốn (bending stiffness) cần được khai báo bằng một đại lượng vận hành cụ thể. Độ dốc lực–độ võng kF = dF/dδ có đơn vị N/m, trong đó F là lực ngoài và δ là độ võng; tỷ số F/δ là độ cứng cát tuyến, không luôn bằng độ dốc. Với mô men M và độ cong κ, dM/dκ là độ cứng tiếp tuyến, còn M/κ là độ cứng cát tuyến; cả hai có đơn vị N·m². Các thước đo này khác với tổn hao trong phân tích cơ học động (dynamic mechanical analysis, DMA) và công vòng trễ [3], [6], [8], [9]. Do điều kiện tải và định nghĩa khác nhau, không thể gộp chúng thành một chỉ số độ cứng hoặc tiêu tán chung.</w:t>
      </w:r>
    </w:p>
    <w:p>
      <w:pPr>
        <w:keepNext/>
        <w:spacing w:line="288" w:lineRule="auto" w:before="120" w:after="80"/>
        <w:ind w:firstLine="0"/>
        <w:jc w:val="center"/>
      </w:pPr>
      <w:r>
        <w:rPr>
          <w:rFonts w:ascii="Times New Roman" w:hAnsi="Times New Roman" w:eastAsia="Times New Roman" w:cs="Times New Roman"/>
          <w:b/>
          <w:color w:val="000000"/>
          <w:sz w:val="24"/>
          <w:lang w:val="vi-VN"/>
        </w:rPr>
        <w:t>Bảng 2.2. Kỷ luật diễn giải các đại lượng cơ học</w:t>
      </w:r>
    </w:p>
    <w:tbl>
      <w:tblPr>
        <w:tblStyle w:val="TableGrid"/>
        <w:tblW w:type="auto" w:w="0"/>
        <w:jc w:val="center"/>
        <w:tblLook w:firstColumn="1" w:firstRow="1" w:lastColumn="0" w:lastRow="0" w:noHBand="0" w:noVBand="1" w:val="04A0"/>
      </w:tblPr>
      <w:tblGrid>
        <w:gridCol w:w="2197"/>
        <w:gridCol w:w="2197"/>
        <w:gridCol w:w="2197"/>
        <w:gridCol w:w="2197"/>
      </w:tblGrid>
      <w:tr>
        <w:trPr>
          <w:cantSplit/>
          <w:tblHeader w:val="true"/>
        </w:trPr>
        <w:tc>
          <w:tcPr>
            <w:tcW w:type="dxa" w:w="2197"/>
            <w:vAlign w:val="top"/>
          </w:tcPr>
          <w:p>
            <w:pPr>
              <w:spacing w:line="240" w:lineRule="auto" w:before="60" w:after="60"/>
              <w:ind w:firstLine="0"/>
              <w:jc w:val="left"/>
            </w:pPr>
            <w:r>
              <w:rPr>
                <w:rFonts w:ascii="Times New Roman" w:hAnsi="Times New Roman" w:eastAsia="Times New Roman" w:cs="Times New Roman"/>
                <w:b/>
                <w:color w:val="000000"/>
                <w:sz w:val="22"/>
                <w:lang w:val="vi-VN"/>
              </w:rPr>
              <w:t>Đại lượng</w:t>
            </w:r>
          </w:p>
        </w:tc>
        <w:tc>
          <w:tcPr>
            <w:tcW w:type="dxa" w:w="2197"/>
            <w:vAlign w:val="top"/>
          </w:tcPr>
          <w:p>
            <w:pPr>
              <w:spacing w:line="240" w:lineRule="auto" w:before="60" w:after="60"/>
              <w:ind w:firstLine="0"/>
              <w:jc w:val="left"/>
            </w:pPr>
            <w:r>
              <w:rPr>
                <w:rFonts w:ascii="Times New Roman" w:hAnsi="Times New Roman" w:eastAsia="Times New Roman" w:cs="Times New Roman"/>
                <w:b/>
                <w:color w:val="000000"/>
                <w:sz w:val="22"/>
                <w:lang w:val="vi-VN"/>
              </w:rPr>
              <w:t>Định nghĩa vận hành</w:t>
            </w:r>
          </w:p>
        </w:tc>
        <w:tc>
          <w:tcPr>
            <w:tcW w:type="dxa" w:w="2197"/>
            <w:vAlign w:val="top"/>
          </w:tcPr>
          <w:p>
            <w:pPr>
              <w:spacing w:line="240" w:lineRule="auto" w:before="60" w:after="60"/>
              <w:ind w:firstLine="0"/>
              <w:jc w:val="left"/>
            </w:pPr>
            <w:r>
              <w:rPr>
                <w:rFonts w:ascii="Times New Roman" w:hAnsi="Times New Roman" w:eastAsia="Times New Roman" w:cs="Times New Roman"/>
                <w:b/>
                <w:color w:val="000000"/>
                <w:sz w:val="22"/>
                <w:lang w:val="vi-VN"/>
              </w:rPr>
              <w:t>Có thể suy ra</w:t>
            </w:r>
          </w:p>
        </w:tc>
        <w:tc>
          <w:tcPr>
            <w:tcW w:type="dxa" w:w="2197"/>
            <w:vAlign w:val="top"/>
          </w:tcPr>
          <w:p>
            <w:pPr>
              <w:spacing w:line="240" w:lineRule="auto" w:before="60" w:after="60"/>
              <w:ind w:firstLine="0"/>
              <w:jc w:val="left"/>
            </w:pPr>
            <w:r>
              <w:rPr>
                <w:rFonts w:ascii="Times New Roman" w:hAnsi="Times New Roman" w:eastAsia="Times New Roman" w:cs="Times New Roman"/>
                <w:b/>
                <w:color w:val="000000"/>
                <w:sz w:val="22"/>
                <w:lang w:val="vi-VN"/>
              </w:rPr>
              <w:t>Không được suy ra trực tiếp</w:t>
            </w:r>
          </w:p>
        </w:tc>
      </w:tr>
      <w:tr>
        <w:trPr>
          <w:cantSplit/>
        </w:trPr>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Độ cứng F–δ</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kF = dF/dδ; cát tuyến F/δ, đơn vị N/m</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Đáp ứng cụm trong điều kiện gá và miền tải đã nêu</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Độ cứng M–κ hoặc tiêu tán cục bộ</w:t>
            </w:r>
          </w:p>
        </w:tc>
      </w:tr>
      <w:tr>
        <w:trPr>
          <w:cantSplit/>
        </w:trPr>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Độ cứng M–κ</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Tiếp tuyến dM/dκ hoặc cát tuyến M/κ, đơn vị N·m²</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Ứng xử uốn của đoạn mẫu được đo</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Lực pháp tuyến hoặc tiếp diện chi phối</w:t>
            </w:r>
          </w:p>
        </w:tc>
      </w:tr>
      <w:tr>
        <w:trPr>
          <w:cantSplit/>
        </w:trPr>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Tổn hao DMA</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Đáp ứng động theo tần số, nhiệt độ; thí dụ tỷ số mô đun mất mát và mô đun tích trữ</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Đáp ứng tiêu tán trong điều kiện phép đo</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Tỷ phần ma sát trong phép uốn chậm</w:t>
            </w:r>
          </w:p>
        </w:tc>
      </w:tr>
      <w:tr>
        <w:trPr>
          <w:cantSplit/>
        </w:trPr>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Công vòng trễ</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∮F dδ hoặc ∮M dθ; θ là góc quay, đơn vị rad</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Công tổng hợp theo tọa độ tải–chuyển vị đã khai báo</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Tỷ phần riêng của chuyển pha, trượt hoặc ống bao</w:t>
            </w:r>
          </w:p>
        </w:tc>
      </w:tr>
      <w:tr>
        <w:trPr>
          <w:cantSplit/>
        </w:trPr>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Lực cản trượt</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Lực để tạo chuyển động tương đối được kiểm soát</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Lực cản của tiếp diện được kích thích [10], [11]</w:t>
            </w:r>
          </w:p>
        </w:tc>
        <w:tc>
          <w:tcPr>
            <w:tcW w:type="dxa" w:w="2197"/>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μ và N riêng rẽ khi chưa có thông tin độc lập</w:t>
            </w:r>
          </w:p>
        </w:tc>
      </w:tr>
    </w:tbl>
    <w:p>
      <w:pPr>
        <w:spacing w:line="288" w:lineRule="auto" w:before="0" w:after="120"/>
        <w:ind w:firstLine="0"/>
        <w:jc w:val="both"/>
      </w:pPr>
      <w:r>
        <w:rPr>
          <w:rFonts w:ascii="Times New Roman" w:hAnsi="Times New Roman" w:eastAsia="Times New Roman" w:cs="Times New Roman"/>
          <w:i/>
          <w:color w:val="000000"/>
          <w:sz w:val="22"/>
          <w:lang w:val="vi-VN"/>
        </w:rPr>
        <w:t>M có đơn vị N·m, κ có đơn vị m⁻¹. Diện tích ∮M dκ có đơn vị N và, khi độ cong đồng nhất, tương ứng công trên một đơn vị chiều dài; không tự nó là tổng năng lượng của mẫu. Các thước đo trong bảng phải được tách khi so sánh [3], [6], [8], [9].</w:t>
      </w:r>
    </w:p>
    <w:p>
      <w:pPr>
        <w:spacing w:line="360" w:lineRule="auto" w:before="0" w:after="0"/>
        <w:ind w:firstLine="567"/>
        <w:jc w:val="both"/>
      </w:pPr>
      <w:r>
        <w:rPr>
          <w:rFonts w:ascii="Times New Roman" w:hAnsi="Times New Roman" w:eastAsia="Times New Roman" w:cs="Times New Roman"/>
          <w:color w:val="000000"/>
          <w:sz w:val="26"/>
          <w:lang w:val="vi-VN"/>
        </w:rPr>
        <w:t>Tổng hợp các mô hình sợi, lớp và cáp cho thấy quan hệ giữa trạng thái dính–trượt với độ cứng phụ thuộc đường tải và điều kiện biên [3], [5], [6]. Cần phân biệt bốn mức kết luận: ma sát hiện diện; lực pháp tuyến cục bộ đã biết; tiếp diện chi phối đã được nhận dạng; và toàn bộ vòng trễ đã được phân rã. Bằng chứng về mức đầu trong một hệ liên quan không tự động thiết lập ba mức sau cho MP1-R. Mô hình dự đoán đường cong tổng thể vì vậy cần được đối chiếu với quan sát cục bộ trước khi dùng để quy kết cơ chế.</w:t>
      </w:r>
    </w:p>
    <w:p>
      <w:pPr>
        <w:pStyle w:val="Heading2"/>
      </w:pPr>
      <w:r>
        <w:rPr>
          <w:rFonts w:ascii="Times New Roman" w:hAnsi="Times New Roman" w:eastAsia="Times New Roman" w:cs="Times New Roman"/>
          <w:b/>
          <w:color w:val="000000"/>
          <w:sz w:val="26"/>
          <w:lang w:val="vi-VN"/>
        </w:rPr>
        <w:t>2.4. Nhận dạng tương tác dây–dây và dây–ống bao</w:t>
      </w:r>
    </w:p>
    <w:p>
      <w:pPr>
        <w:spacing w:line="360" w:lineRule="auto" w:before="0" w:after="0"/>
        <w:ind w:firstLine="567"/>
        <w:jc w:val="both"/>
      </w:pPr>
      <w:r>
        <w:rPr>
          <w:rFonts w:ascii="Times New Roman" w:hAnsi="Times New Roman" w:eastAsia="Times New Roman" w:cs="Times New Roman"/>
          <w:color w:val="000000"/>
          <w:sz w:val="26"/>
          <w:lang w:val="vi-VN"/>
        </w:rPr>
        <w:t>Đối với bó dây được đề xuất, tiếp diện dây–dây và dây–ống bao là hai đường lực cản cần được xem xét khi hình học đã xác định. Các phép thử riêng cho lớp cáp và cho dây trong ống tạo tiền lệ để khảo sát từng họ tiếp diện [10], [11]. Chuyển động đầu mút, độ mềm ống bao và thay đổi cách sắp xếp dây cũng cần được kiểm soát trong MP1-R; nếu chỉ có đường cong uốn tổng thể, những khả năng này chưa được phân biệt.</w:t>
      </w:r>
    </w:p>
    <w:p>
      <w:pPr>
        <w:spacing w:line="360" w:lineRule="auto" w:before="0" w:after="0"/>
        <w:ind w:firstLine="567"/>
        <w:jc w:val="both"/>
      </w:pPr>
      <w:r>
        <w:rPr>
          <w:rFonts w:ascii="Times New Roman" w:hAnsi="Times New Roman" w:eastAsia="Times New Roman" w:cs="Times New Roman"/>
          <w:color w:val="000000"/>
          <w:sz w:val="26"/>
          <w:lang w:val="vi-VN"/>
        </w:rPr>
        <w:t>Jeon và cộng sự đo lực kéo một dây trong vùng tiếp xúc dây–ống cao su, đồng thời khảo sát đáp ứng uốn của robot có nhiều dây làm khung chịu lực và lò xo SMA ép theo chu vi [10]. Phép kéo dây bổ sung một quan sát tiếp diện ngoài đáp ứng uốn. Tuy nhiên, lực đo là lực cản tích hợp; hệ số ma sát, lực pháp tuyến và tổn hao phụ chưa được tách độc lập. Kết quả thiết lập phép đo và điều biến lực cản trong hệ đã thử, còn việc áp dụng nó để nhận dạng dây–ống bao trong MP1-R chỉ là một tương tự phương pháp.</w:t>
      </w:r>
    </w:p>
    <w:p>
      <w:pPr>
        <w:spacing w:line="360" w:lineRule="auto" w:before="0" w:after="0"/>
        <w:ind w:firstLine="567"/>
        <w:jc w:val="both"/>
      </w:pPr>
      <w:r>
        <w:rPr>
          <w:rFonts w:ascii="Times New Roman" w:hAnsi="Times New Roman" w:eastAsia="Times New Roman" w:cs="Times New Roman"/>
          <w:color w:val="000000"/>
          <w:sz w:val="26"/>
          <w:lang w:val="vi-VN"/>
        </w:rPr>
        <w:t>Trong khi Jeon và cộng sự xét tiếp diện dây–ống, Liu dùng mẫu cáp cắt chọn lọc để kích thích trượt giữa các lớp dây kề nhau và đo lực cản trượt tĩnh [11]. Hai phép thử tác động lên các tiếp diện khác nhau, nên có thể gợi ý cách bổ sung quan sát nhưng không phải hai phép đo cùng một đường truyền tải [10], [11]. Ở thí nghiệm của Liu, lực pháp tuyến và áp suất trung bình được suy ra từ hệ số ma sát mượn từ tài liệu cùng diện tích tiếp xúc xấp xỉ. Vì vậy, lực cản trượt được đo trực tiếp, còn ánh xạ lực pháp tuyến chưa được hiệu chuẩn độc lập.</w:t>
      </w:r>
    </w:p>
    <w:p>
      <w:pPr>
        <w:spacing w:line="360" w:lineRule="auto" w:before="0" w:after="0"/>
        <w:ind w:firstLine="567"/>
        <w:jc w:val="both"/>
      </w:pPr>
      <w:r>
        <w:rPr>
          <w:rFonts w:ascii="Times New Roman" w:hAnsi="Times New Roman" w:eastAsia="Times New Roman" w:cs="Times New Roman"/>
          <w:color w:val="000000"/>
          <w:sz w:val="26"/>
          <w:lang w:val="vi-VN"/>
        </w:rPr>
        <w:t>Những tiền lệ này hỗ trợ việc bổ sung các ràng buộc tiếp diện và quan sát cục bộ để nhận dạng hệ thống (system identification) [10], [11]. Chúng không chứng minh một khoảng trống tri thức khoa học về ma sát chưa được biết. Đối với MP1-R, mục tiêu phù hợp là nhận dạng hoặc đặt cận đóng góp của các đường lực cản. Nếu dữ liệu chưa đủ để phân biệt, cần báo cáo giới hạn nhận dạng thay vì gán một nhánh tổng thể cho một tiếp diện duy nhất.</w:t>
      </w:r>
    </w:p>
    <w:p>
      <w:pPr>
        <w:spacing w:line="360" w:lineRule="auto" w:before="0" w:after="0"/>
        <w:ind w:firstLine="567"/>
        <w:jc w:val="both"/>
      </w:pPr>
      <w:r>
        <w:rPr>
          <w:rFonts w:ascii="Times New Roman" w:hAnsi="Times New Roman" w:eastAsia="Times New Roman" w:cs="Times New Roman"/>
          <w:color w:val="000000"/>
          <w:sz w:val="26"/>
          <w:lang w:val="vi-VN"/>
        </w:rPr>
        <w:t>Việc liên hệ chuyển tiếp trên đường lực–độ võng với khởi phát trượt cũng cần một kiểm tra riêng. Các mô hình dính–trượt cung cấp diễn giải cơ học cho dạng nhánh [3], [5], nhưng không biến dạng nhánh thành phép đo trực tiếp chuyển động tương đối. Đối với MP1-R, quan sát trượt, biến dạng dây và chuyển động ống bao hoặc đầu mút phải hỗ trợ sự quy kết; khi thiếu chúng, chuyển tiếp chỉ được mô tả ở mức hiện tượng học.</w:t>
      </w:r>
    </w:p>
    <w:p>
      <w:pPr>
        <w:pStyle w:val="Heading2"/>
      </w:pPr>
      <w:r>
        <w:rPr>
          <w:rFonts w:ascii="Times New Roman" w:hAnsi="Times New Roman" w:eastAsia="Times New Roman" w:cs="Times New Roman"/>
          <w:b/>
          <w:color w:val="000000"/>
          <w:sz w:val="26"/>
          <w:lang w:val="vi-VN"/>
        </w:rPr>
        <w:t>2.5. Đặc tính nhiệt–cơ của TiNi trong kết cấu dây</w:t>
      </w:r>
    </w:p>
    <w:p>
      <w:pPr>
        <w:spacing w:line="360" w:lineRule="auto" w:before="0" w:after="0"/>
        <w:ind w:firstLine="567"/>
        <w:jc w:val="both"/>
      </w:pPr>
      <w:r>
        <w:rPr>
          <w:rFonts w:ascii="Times New Roman" w:hAnsi="Times New Roman" w:eastAsia="Times New Roman" w:cs="Times New Roman"/>
          <w:color w:val="000000"/>
          <w:sz w:val="26"/>
          <w:lang w:val="vi-VN"/>
        </w:rPr>
        <w:t>TiNi, cũng thường được viết là NiTi, có thể thể hiện siêu đàn hồi (superelasticity) nhờ chuyển pha chịu tải và hồi phục khi dỡ tải trong miền nhiệt–cơ phù hợp. Các phép thử cáp và phần tử thành phần cho thấy đáp ứng thay đổi theo trạng thái và lịch sử [12], [13]. Hiệu ứng nhớ hình dạng (shape memory effect) được khai thác ở bộ chấp hành SMA theo một đường nhiệt–cơ khác [14]. Vì vậy, tên vật liệu TiNi không đủ để khẳng định chuyển pha đang hoạt động trong mọi miền uốn; cùng lô dây cần được đặc trưng trong miền biến dạng, nhiệt độ và lịch sử thực sự tiếp cận.</w:t>
      </w:r>
    </w:p>
    <w:p>
      <w:pPr>
        <w:spacing w:line="360" w:lineRule="auto" w:before="0" w:after="0"/>
        <w:ind w:firstLine="567"/>
        <w:jc w:val="both"/>
      </w:pPr>
      <w:r>
        <w:rPr>
          <w:rFonts w:ascii="Times New Roman" w:hAnsi="Times New Roman" w:eastAsia="Times New Roman" w:cs="Times New Roman"/>
          <w:color w:val="000000"/>
          <w:sz w:val="26"/>
          <w:lang w:val="vi-VN"/>
        </w:rPr>
        <w:t>Reedlunn, Daly và Shaw khảo sát gần đẳng nhiệt các cấu trúc cáp TiNi 7×7 và 1×27 cùng các mẫu thành phần, sử dụng quan sát biến dạng và nhiệt để đối chiếu đáp ứng phụ thuộc trạng thái [12], [13]. Tương quan ảnh số (digital image correlation, DIC) giúp nhận biết trường biến dạng không đồng đều bên cạnh đại lượng tải tổng thể. Các kết quả hỗ trợ tính nhạy trạng thái trong miền kéo đã thử, nhưng không xác lập ngưỡng chuyển pha hoặc tỷ phần tổn hao của bó chịu uốn dưới áp suất. Do đó, chúng định hướng kiểm soát vật liệu, không cung cấp tham số chuyển trực tiếp sang MP1-R.</w:t>
      </w:r>
    </w:p>
    <w:p>
      <w:pPr>
        <w:spacing w:line="360" w:lineRule="auto" w:before="0" w:after="0"/>
        <w:ind w:firstLine="567"/>
        <w:jc w:val="both"/>
      </w:pPr>
      <w:r>
        <w:rPr>
          <w:rFonts w:ascii="Times New Roman" w:hAnsi="Times New Roman" w:eastAsia="Times New Roman" w:cs="Times New Roman"/>
          <w:color w:val="000000"/>
          <w:sz w:val="26"/>
          <w:lang w:val="vi-VN"/>
        </w:rPr>
        <w:t>Ở cấp mô hình, Kang và cộng sự xây dựng phần tử hữu hạn cho cáp SMA siêu đàn hồi có xét biến đổi vật liệu theo pha [15]. Khác với mô hình tiếp xúc ma sát của Vahidi và cộng sự [7], công trình này đơn giản hóa tiếp xúc và không triển khai ma sát Coulomb như một thành phần được kiểm tra độc lập. Hai cách tiếp cận cho thấy việc xét chuyển pha và việc xét lực cản tiếp diện là những lựa chọn mô hình khác nhau; sự phù hợp của một mô hình vật liệu chưa xác nhận tương tác ma sát–áp suất trong MP1-R.</w:t>
      </w:r>
    </w:p>
    <w:p>
      <w:pPr>
        <w:spacing w:line="360" w:lineRule="auto" w:before="0" w:after="0"/>
        <w:ind w:firstLine="567"/>
        <w:jc w:val="both"/>
      </w:pPr>
      <w:r>
        <w:rPr>
          <w:rFonts w:ascii="Times New Roman" w:hAnsi="Times New Roman" w:eastAsia="Times New Roman" w:cs="Times New Roman"/>
          <w:color w:val="000000"/>
          <w:sz w:val="26"/>
          <w:lang w:val="vi-VN"/>
        </w:rPr>
        <w:t>Các bằng chứng về tiêu tán cũng cần được phân biệt theo vật liệu và phép đo. Carboni và Lacarbonara khảo sát cáp hỗn hợp NiTiNOL–thép trong bộ hấp thụ dao động, trong khi Liu và cộng sự dùng DMA và chu kỳ nhiệt cho vi sợi TiNi bện [8], [16]. Công trình thứ nhất liên hệ vòng trễ tổng hợp với ma sát và chuyển pha; công trình thứ hai cho thấy giảm chấn phụ thuộc nhiệt độ và cấu trúc bện. Sự đồng hiện của các khả năng mất mát là cơ sở để giữ nhiều cách giải thích, nhưng các phép đo này không phân tách độc lập tổn hao chuyển pha với ma sát và không tương đương công uốn chậm của bó dây.</w:t>
      </w:r>
    </w:p>
    <w:p>
      <w:pPr>
        <w:spacing w:line="360" w:lineRule="auto" w:before="0" w:after="0"/>
        <w:ind w:firstLine="567"/>
        <w:jc w:val="both"/>
      </w:pPr>
      <w:r>
        <w:rPr>
          <w:rFonts w:ascii="Times New Roman" w:hAnsi="Times New Roman" w:eastAsia="Times New Roman" w:cs="Times New Roman"/>
          <w:color w:val="000000"/>
          <w:sz w:val="26"/>
          <w:lang w:val="vi-VN"/>
        </w:rPr>
        <w:t>Narjabadifam và cộng sự kết hợp thử nghiệm dây cáp thép với mô phỏng dây cáp SMA [17]. Phần thử nghiệm vật lý chủ yếu cung cấp đối chiếu cho dây thép, còn đáp ứng SMA được đánh giá bằng mô hình số và các tham số vật liệu tương ứng. Vì vậy, nguồn này hỗ trợ cách xây dựng mô hình tiếp xúc và kiểm tra điều kiện biên, nhưng không thể được trích dẫn như một kiểm chứng thực nghiệm độc lập cho chuyển pha của dây TiNi trong uốn áp suất.</w:t>
      </w:r>
    </w:p>
    <w:p>
      <w:pPr>
        <w:spacing w:line="360" w:lineRule="auto" w:before="0" w:after="0"/>
        <w:ind w:firstLine="567"/>
        <w:jc w:val="both"/>
      </w:pPr>
      <w:r>
        <w:rPr>
          <w:rFonts w:ascii="Times New Roman" w:hAnsi="Times New Roman" w:eastAsia="Times New Roman" w:cs="Times New Roman"/>
          <w:color w:val="000000"/>
          <w:sz w:val="26"/>
          <w:lang w:val="vi-VN"/>
        </w:rPr>
        <w:t>Tổng hợp thí nghiệm cáp, mô hình số và phép đo giảm chấn cho phép giữ cả nhánh vật liệu lẫn nhánh tiếp xúc trong diễn giải [7], [8], [12], [13], [15]–[17]. Tuy nhiên, bằng chứng cho sự cùng tồn tại của tổn hao không đủ để xác định tỷ phần riêng trong MP1-R. Nhiệt độ, biến dạng cục bộ, lịch sử chu kỳ và ràng buộc tiếp diện là các quan sát cần thiết nếu muốn đưa ra tuyên bố cơ chế vượt quá vòng trễ tổng hợp.</w:t>
      </w:r>
    </w:p>
    <w:p>
      <w:pPr>
        <w:pStyle w:val="Heading2"/>
      </w:pPr>
      <w:r>
        <w:rPr>
          <w:rFonts w:ascii="Times New Roman" w:hAnsi="Times New Roman" w:eastAsia="Times New Roman" w:cs="Times New Roman"/>
          <w:b/>
          <w:color w:val="000000"/>
          <w:sz w:val="26"/>
          <w:lang w:val="vi-VN"/>
        </w:rPr>
        <w:t>2.6. Phân biệt cơ chế vật liệu và cơ chế tiếp xúc</w:t>
      </w:r>
    </w:p>
    <w:p>
      <w:pPr>
        <w:spacing w:line="360" w:lineRule="auto" w:before="0" w:after="0"/>
        <w:ind w:firstLine="567"/>
        <w:jc w:val="both"/>
      </w:pPr>
      <w:r>
        <w:rPr>
          <w:rFonts w:ascii="Times New Roman" w:hAnsi="Times New Roman" w:eastAsia="Times New Roman" w:cs="Times New Roman"/>
          <w:color w:val="000000"/>
          <w:sz w:val="26"/>
          <w:lang w:val="vi-VN"/>
        </w:rPr>
        <w:t>Ba cách giải thích được giữ để đánh giá trong MP1-R. H0a-R xem đáp ứng có thể được giải thích chủ yếu bởi trạng thái nhiệt–cơ của TiNi. H0b-R xem tiếp xúc, ma sát, dính–trượt, điều kiện biên và mô hình vật liệu có xét chuyển pha là đủ trong nguyên tắc, không cần luật cấu thành mới. H1-R chỉ được xem xét có điều kiện: một tương tác áp suất–tiếp xúc–vật liệu bổ sung phải được nhận dạng và cần thiết về dự đoán sau khi các cách giải thích đơn giản hơn cùng ảnh hưởng gây nhiễu đã được giới hạn.</w:t>
      </w:r>
    </w:p>
    <w:p>
      <w:pPr>
        <w:spacing w:line="360" w:lineRule="auto" w:before="0" w:after="0"/>
        <w:ind w:firstLine="567"/>
        <w:jc w:val="both"/>
      </w:pPr>
      <w:r>
        <w:rPr>
          <w:rFonts w:ascii="Times New Roman" w:hAnsi="Times New Roman" w:eastAsia="Times New Roman" w:cs="Times New Roman"/>
          <w:color w:val="000000"/>
          <w:sz w:val="26"/>
          <w:lang w:val="vi-VN"/>
        </w:rPr>
        <w:t>Với bằng chứng hiện có, H0a-R và H0b-R đều là các giải thích còn khả thi, còn H1-R chưa thể được phân biệt. Tính nhạy trạng thái của TiNi được ghi nhận trong những miền đã thử [8], [12], [13], [15], [16], đồng thời mô hình tiếp xúc, ma sát và giới hạn độ cứng đã có cơ sở trong các hệ liên quan [3], [5]–[7], [15]. Các kết quả này chưa buộc phải chọn tương tác bổ sung cho bó TiNi. Luận văn vẫn có kết quả hợp lệ nếu mô hình thông thường dự đoán tốt hoặc chuyển pha không hoạt động trong miền khảo sát.</w:t>
      </w:r>
    </w:p>
    <w:p>
      <w:pPr>
        <w:spacing w:line="360" w:lineRule="auto" w:before="0" w:after="0"/>
        <w:ind w:firstLine="567"/>
        <w:jc w:val="both"/>
      </w:pPr>
      <w:r>
        <w:rPr>
          <w:rFonts w:ascii="Times New Roman" w:hAnsi="Times New Roman" w:eastAsia="Times New Roman" w:cs="Times New Roman"/>
          <w:color w:val="000000"/>
          <w:sz w:val="26"/>
          <w:lang w:val="vi-VN"/>
        </w:rPr>
        <w:t>Hệ quả phương pháp là mô hình đối chứng phải được khóa trước khi thử nghiệm giữ lại. Việc không tìm thấy một phương trình viết đúng cho tiết diện MP1-R không phải bằng chứng rằng cơ học hiện có không đủ. Một mô hình bổ sung chỉ có thể được xem xét nếu sai số trên dữ liệu giữ lại lặp lại, vượt qua bất định đo, tồn tại trên đường tải dành riêng cho kiểm tra, và có biến trạng thái nhận dạng được thay vì chỉ tái khớp tham số.</w:t>
      </w:r>
    </w:p>
    <w:p>
      <w:pPr>
        <w:pStyle w:val="Heading2"/>
      </w:pPr>
      <w:r>
        <w:rPr>
          <w:rFonts w:ascii="Times New Roman" w:hAnsi="Times New Roman" w:eastAsia="Times New Roman" w:cs="Times New Roman"/>
          <w:b/>
          <w:color w:val="000000"/>
          <w:sz w:val="26"/>
          <w:lang w:val="vi-VN"/>
        </w:rPr>
        <w:t>2.7. SMA như nguồn dẫn động tạo áp suất</w:t>
      </w:r>
    </w:p>
    <w:p>
      <w:pPr>
        <w:spacing w:line="360" w:lineRule="auto" w:before="0" w:after="0"/>
        <w:ind w:firstLine="567"/>
        <w:jc w:val="both"/>
      </w:pPr>
      <w:r>
        <w:rPr>
          <w:rFonts w:ascii="Times New Roman" w:hAnsi="Times New Roman" w:eastAsia="Times New Roman" w:cs="Times New Roman"/>
          <w:color w:val="000000"/>
          <w:sz w:val="26"/>
          <w:lang w:val="vi-VN"/>
        </w:rPr>
        <w:t>SMA dùng để dẫn động nguồn áp suất là một vấn đề khác với TiNi dùng làm phần tử chịu lực. Pierce và Mascaro đã trình bày một bơm chất lỏng được dẫn động bởi dây SMA, trong đó chuyển vị của bộ chấp hành được liên kết với động lực nhiệt–lưu chất và thể tích dịch chuyển [14]. Nguồn này thiết lập tiền lệ SMA–chất lỏng, nhưng kiến trúc bơm và điều kiện làm mát không phải nguồn áp suất lò xo–piston của MP1-R.</w:t>
      </w:r>
    </w:p>
    <w:p>
      <w:pPr>
        <w:spacing w:line="360" w:lineRule="auto" w:before="0" w:after="0"/>
        <w:ind w:firstLine="567"/>
        <w:jc w:val="both"/>
      </w:pPr>
      <w:r>
        <w:rPr>
          <w:rFonts w:ascii="Times New Roman" w:hAnsi="Times New Roman" w:eastAsia="Times New Roman" w:cs="Times New Roman"/>
          <w:color w:val="000000"/>
          <w:sz w:val="26"/>
          <w:lang w:val="vi-VN"/>
        </w:rPr>
        <w:t>Huynh và cộng sự tích hợp vi bơm với bộ chấp hành mềm có phần giam giữ để chuyển độ cứng [18]. Trong kiến trúc này, hút chân không phục vụ giam giữ, còn áp suất dương phục vụ uốn; hai chức năng không được đánh đồng. Kết quả cung cấp tiền lệ tích hợp nguồn áp suất và kết cấu, nhưng việc hiệu chuẩn nguồn tách rời cũng giới hạn suy luận áp suất ngay tại cụm. Nó không xác nhận miền vận hành của lò xo–piston hoặc đáp ứng bó TiNi của MP1-R.</w:t>
      </w:r>
    </w:p>
    <w:p>
      <w:pPr>
        <w:spacing w:line="360" w:lineRule="auto" w:before="0" w:after="0"/>
        <w:ind w:firstLine="567"/>
        <w:jc w:val="both"/>
      </w:pPr>
      <w:r>
        <w:rPr>
          <w:rFonts w:ascii="Times New Roman" w:hAnsi="Times New Roman" w:eastAsia="Times New Roman" w:cs="Times New Roman"/>
          <w:color w:val="000000"/>
          <w:sz w:val="26"/>
          <w:lang w:val="vi-VN"/>
        </w:rPr>
        <w:t>Jeon và cộng sự cung cấp thêm một ví dụ trong đó SMA thay đổi lực ép tại tiếp diện dây–cao su [10]. Trong trường hợp đó, SMA là bộ điều biến ma sát của cơ cấu robot, không phải bằng chứng rằng dây kết cấu đã chuyển pha theo cùng lịch sử nhiệt. MP1-R vì vậy phải ghi riêng nhiệt độ, lực–hành trình, tốc độ đáp ứng và lịch sử của lò xo SMA; không được dùng kết quả của lò xo làm đại diện trực tiếp cho trạng thái của dây TiNi.</w:t>
      </w:r>
    </w:p>
    <w:p>
      <w:pPr>
        <w:pStyle w:val="Heading2"/>
      </w:pPr>
      <w:r>
        <w:rPr>
          <w:rFonts w:ascii="Times New Roman" w:hAnsi="Times New Roman" w:eastAsia="Times New Roman" w:cs="Times New Roman"/>
          <w:b/>
          <w:color w:val="000000"/>
          <w:sz w:val="26"/>
          <w:lang w:val="vi-VN"/>
        </w:rPr>
        <w:t>2.8. Tách nguồn kích thích và đáp ứng kết cấu</w:t>
      </w:r>
    </w:p>
    <w:p>
      <w:pPr>
        <w:spacing w:line="360" w:lineRule="auto" w:before="0" w:after="0"/>
        <w:ind w:firstLine="567"/>
        <w:jc w:val="both"/>
      </w:pPr>
      <w:r>
        <w:rPr>
          <w:rFonts w:ascii="Times New Roman" w:hAnsi="Times New Roman" w:eastAsia="Times New Roman" w:cs="Times New Roman"/>
          <w:color w:val="000000"/>
          <w:sz w:val="26"/>
          <w:lang w:val="vi-VN"/>
        </w:rPr>
        <w:t>Đề xuất Bench A dùng nguồn áp suất ngoài có kiểm soát để đặc trưng hóa kết cấu trước. Mục đích của Bench A là tạo một can thiệp áp suất đã biết gần mẫu, đo mô men–độ cong hoặc đại lượng độ cứng khai báo, và kiểm soát nhiệt độ, lịch sử tải, cách sắp xếp dây, ống bao và chuyển động đầu mút. Đây là cách tách câu hỏi “kết cấu phản ứng ra sao khi áp suất được áp đặt” khỏi câu hỏi “nguồn áp suất tạo ra áp suất như thế nào”.</w:t>
      </w:r>
    </w:p>
    <w:p>
      <w:pPr>
        <w:spacing w:line="360" w:lineRule="auto" w:before="0" w:after="0"/>
        <w:ind w:firstLine="567"/>
        <w:jc w:val="both"/>
      </w:pPr>
      <w:r>
        <w:rPr>
          <w:rFonts w:ascii="Times New Roman" w:hAnsi="Times New Roman" w:eastAsia="Times New Roman" w:cs="Times New Roman"/>
          <w:color w:val="000000"/>
          <w:sz w:val="26"/>
          <w:lang w:val="vi-VN"/>
        </w:rPr>
        <w:t>Bench B dùng lò xo SMA, piston và mạch chất lưu để kiểm tra nguồn tích hợp. Các nguồn SMA–chất lỏng [14] và hệ vi bơm–jamming [18] cho thấy việc ghép bộ chấp hành với mạch chất lưu là khả thi về nguyên tắc, nhưng các thông số động, tổn thất phớt làm kín, độ mềm mạch và trễ nhiệt phụ thuộc thiết kế. Vì vậy, Bench B cần được kiểm tra trên cùng thước đo áp suất gần mẫu, không được suy ra từ áp suất nguồn duy nhất.</w:t>
      </w:r>
    </w:p>
    <w:p>
      <w:pPr>
        <w:spacing w:line="360" w:lineRule="auto" w:before="0" w:after="0"/>
        <w:ind w:firstLine="567"/>
        <w:jc w:val="both"/>
      </w:pPr>
      <w:r>
        <w:rPr>
          <w:rFonts w:ascii="Times New Roman" w:hAnsi="Times New Roman" w:eastAsia="Times New Roman" w:cs="Times New Roman"/>
          <w:color w:val="000000"/>
          <w:sz w:val="26"/>
          <w:lang w:val="vi-VN"/>
        </w:rPr>
        <w:t>Khi hai bench được so sánh ở áp suất, nhiệt độ, tải, lịch sử và hình học tương ứng, sự phù hợp của đáp ứng tích hợp với đáp ứng từ Bench A có thể hỗ trợ kết luận về khả năng tích hợp. Nếu hai đáp ứng khác nhau ở điều kiện chưa ghép cặp, khác biệt đó chỉ chỉ ra một vấn đề nguồn hoặc truyền áp suất; nó không chứng minh H1-R. Tách bench là lý do thiết kế cho nhận dạng, không phải một tuyên bố mới lạ về kiến trúc.</w:t>
      </w:r>
    </w:p>
    <w:p>
      <w:pPr>
        <w:pStyle w:val="Heading2"/>
      </w:pPr>
      <w:r>
        <w:rPr>
          <w:rFonts w:ascii="Times New Roman" w:hAnsi="Times New Roman" w:eastAsia="Times New Roman" w:cs="Times New Roman"/>
          <w:b/>
          <w:color w:val="000000"/>
          <w:sz w:val="26"/>
          <w:lang w:val="vi-VN"/>
        </w:rPr>
        <w:t>2.9. Các mô hình cơ học hiện có và vai trò của mô hình đối chứng</w:t>
      </w:r>
    </w:p>
    <w:p>
      <w:pPr>
        <w:spacing w:line="360" w:lineRule="auto" w:before="0" w:after="0"/>
        <w:ind w:firstLine="567"/>
        <w:jc w:val="both"/>
      </w:pPr>
      <w:r>
        <w:rPr>
          <w:rFonts w:ascii="Times New Roman" w:hAnsi="Times New Roman" w:eastAsia="Times New Roman" w:cs="Times New Roman"/>
          <w:color w:val="000000"/>
          <w:sz w:val="26"/>
          <w:lang w:val="vi-VN"/>
        </w:rPr>
        <w:t>Các mô hình hiện có khác nhau ở phần cơ học chúng giữ lại. Mô hình sợi nylon áp suất dương và mô hình dầm lớp PVC mô tả nhánh hoặc vùng dính–trượt nhưng có đường giam giữ khác nhau [3], [5]. Mô hình cáp thép cung cấp giới hạn độ cứng trong điều kiện hình học và biên đã định [6], còn các mô hình cáp SMA xét chuyển pha với mức mô tả tiếp xúc khác nhau [7], [15], [17]. Như vậy, đã có các thành phần cơ học thích hợp cho mô hình đối chứng; sự tồn tại của chúng chưa đồng nghĩa khả năng dự đoán được kiểm chứng cho bó TiNi chịu áp suất.</w:t>
      </w:r>
    </w:p>
    <w:p>
      <w:pPr>
        <w:spacing w:line="360" w:lineRule="auto" w:before="0" w:after="0"/>
        <w:ind w:firstLine="567"/>
        <w:jc w:val="both"/>
      </w:pPr>
      <w:r>
        <w:rPr>
          <w:rFonts w:ascii="Times New Roman" w:hAnsi="Times New Roman" w:eastAsia="Times New Roman" w:cs="Times New Roman"/>
          <w:color w:val="000000"/>
          <w:sz w:val="26"/>
          <w:lang w:val="vi-VN"/>
        </w:rPr>
        <w:t>Các mô hình này không có cùng phạm vi. Chúng khác về vật liệu, số phần tử, cách tạo áp suất, điều kiện đầu mút, định nghĩa độ cứng, và mức độ quan sát lực tiếp xúc. Do đó, MP1-R không nên trộn các tham số của chúng thành một “mô hình chuẩn” duy nhất. Mô hình đối chứng cần được khóa với một cấu trúc rõ ràng: biến vào là áp suất gần mẫu, nhiệt độ, lịch sử tải và hình học; đầu ra là đường M–κ hoặc chỉ số độ cứng đã khai báo; tham số được nhận dạng trên tập hiệu chuẩn; đánh giá cuối cùng dùng đường tải dành riêng và bất định đo.</w:t>
      </w:r>
    </w:p>
    <w:p>
      <w:pPr>
        <w:spacing w:line="360" w:lineRule="auto" w:before="0" w:after="0"/>
        <w:ind w:firstLine="567"/>
        <w:jc w:val="both"/>
      </w:pPr>
      <w:r>
        <w:rPr>
          <w:rFonts w:ascii="Times New Roman" w:hAnsi="Times New Roman" w:eastAsia="Times New Roman" w:cs="Times New Roman"/>
          <w:color w:val="000000"/>
          <w:sz w:val="26"/>
          <w:lang w:val="vi-VN"/>
        </w:rPr>
        <w:t>Một quy trình như vậy phân biệt hiệu chỉnh với kiểm chứng. Nếu mô hình phù hợp với các đường giữ lại trong giới hạn đã định, H0b-R được hỗ trợ và đây là một kết quả hợp lệ về miền hiệu lực của cơ học thông thường. Nếu mô hình không phù hợp, cần kiểm tra trước các khả năng rò rỉ tham số, chuyển động ống bao, nhiệt độ, cách sắp xếp dây, sai khác áp suất nguồn–mẫu và sai số đo. Chỉ phần dư lặp lại sau các kiểm soát này mới tạo cơ sở có điều kiện cho H1-R; sự thất bại của một giản lược đơn lẻ không đủ để yêu cầu luật cấu thành mới.</w:t>
      </w:r>
    </w:p>
    <w:p>
      <w:pPr>
        <w:pStyle w:val="Heading2"/>
      </w:pPr>
      <w:r>
        <w:rPr>
          <w:rFonts w:ascii="Times New Roman" w:hAnsi="Times New Roman" w:eastAsia="Times New Roman" w:cs="Times New Roman"/>
          <w:b/>
          <w:color w:val="000000"/>
          <w:sz w:val="26"/>
          <w:lang w:val="vi-VN"/>
        </w:rPr>
        <w:t>2.10. Tổng hợp bằng chứng và giới hạn suy luận</w:t>
      </w:r>
    </w:p>
    <w:p>
      <w:pPr>
        <w:spacing w:line="360" w:lineRule="auto" w:before="0" w:after="0"/>
        <w:ind w:firstLine="567"/>
        <w:jc w:val="both"/>
      </w:pPr>
      <w:r>
        <w:rPr>
          <w:rFonts w:ascii="Times New Roman" w:hAnsi="Times New Roman" w:eastAsia="Times New Roman" w:cs="Times New Roman"/>
          <w:color w:val="000000"/>
          <w:sz w:val="26"/>
          <w:lang w:val="vi-VN"/>
        </w:rPr>
        <w:t>Những kết quả đã được thiết lập cần được giữ trong miền kiểm chứng của chúng: giam giữ làm thay đổi đáp ứng uốn ở các hệ sợi và hạt đã thử [1]–[3]; trạng thái trượt tạo các giới hạn hoặc nhánh đáp ứng ở cáp thép và kết cấu nhiều lớp [5], [6]; TiNi có đáp ứng nhạy trạng thái trong các phép kéo đã khảo sát [12], [13]; và dẫn động SMA–chất lỏng đã có tiền lệ [14]. Các mô hình tiếp xúc có xét vật liệu chuyển pha cũng đã tồn tại [7], [17]. Từ các kết quả này có thể xây dựng đối chứng và phép so sánh, nhưng khả năng chuyển sang một đường phản lực mới chỉ được hỗ trợ ở mức phụ thuộc kiến trúc.</w:t>
      </w:r>
    </w:p>
    <w:p>
      <w:pPr>
        <w:spacing w:line="360" w:lineRule="auto" w:before="0" w:after="0"/>
        <w:ind w:firstLine="567"/>
        <w:jc w:val="both"/>
      </w:pPr>
      <w:r>
        <w:rPr>
          <w:rFonts w:ascii="Times New Roman" w:hAnsi="Times New Roman" w:eastAsia="Times New Roman" w:cs="Times New Roman"/>
          <w:color w:val="000000"/>
          <w:sz w:val="26"/>
          <w:lang w:val="vi-VN"/>
        </w:rPr>
        <w:t>Chuỗi cơ học làm khung cho MP1-R gồm: áp suất chất lưu → đáp ứng màng hoặc vỏ → phản lực hướng tâm → lực pháp tuyến cục bộ → giới hạn lực ma sát → trạng thái trượt → đáp ứng uốn. Các hệ áp suất dương cung cấp bằng chứng về kích thích và đáp ứng toàn cục [2], [3]; các mô hình cáp và lớp bổ sung cơ sở cho giới hạn trượt và độ cứng [5], [6]. Việc nối các phần này thành chuỗi hoàn chỉnh của MP1-R vẫn cần những giả thiết truyền tải và quan sát riêng, như được giới hạn trong Bảng 2.3.</w:t>
      </w:r>
    </w:p>
    <w:p>
      <w:pPr>
        <w:keepNext/>
        <w:spacing w:line="288" w:lineRule="auto" w:before="120" w:after="80"/>
        <w:ind w:firstLine="0"/>
        <w:jc w:val="center"/>
      </w:pPr>
      <w:r>
        <w:rPr>
          <w:rFonts w:ascii="Times New Roman" w:hAnsi="Times New Roman" w:eastAsia="Times New Roman" w:cs="Times New Roman"/>
          <w:b/>
          <w:color w:val="000000"/>
          <w:sz w:val="24"/>
          <w:lang w:val="vi-VN"/>
        </w:rPr>
        <w:t>Bảng 2.3. Trạng thái bằng chứng của chuỗi nhân quả MP1-R</w:t>
      </w:r>
    </w:p>
    <w:tbl>
      <w:tblPr>
        <w:tblStyle w:val="TableGrid"/>
        <w:tblW w:type="auto" w:w="0"/>
        <w:jc w:val="center"/>
        <w:tblLook w:firstColumn="1" w:firstRow="1" w:lastColumn="0" w:lastRow="0" w:noHBand="0" w:noVBand="1" w:val="04A0"/>
      </w:tblPr>
      <w:tblGrid>
        <w:gridCol w:w="2929"/>
        <w:gridCol w:w="2929"/>
        <w:gridCol w:w="2929"/>
      </w:tblGrid>
      <w:tr>
        <w:trPr>
          <w:cantSplit/>
          <w:tblHeader w:val="true"/>
        </w:trPr>
        <w:tc>
          <w:tcPr>
            <w:tcW w:type="dxa" w:w="2929"/>
            <w:vAlign w:val="top"/>
          </w:tcPr>
          <w:p>
            <w:pPr>
              <w:spacing w:line="240" w:lineRule="auto" w:before="60" w:after="60"/>
              <w:ind w:firstLine="0"/>
              <w:jc w:val="left"/>
            </w:pPr>
            <w:r>
              <w:rPr>
                <w:rFonts w:ascii="Times New Roman" w:hAnsi="Times New Roman" w:eastAsia="Times New Roman" w:cs="Times New Roman"/>
                <w:b/>
                <w:color w:val="000000"/>
                <w:sz w:val="22"/>
                <w:lang w:val="vi-VN"/>
              </w:rPr>
              <w:t>Liên kết</w:t>
            </w:r>
          </w:p>
        </w:tc>
        <w:tc>
          <w:tcPr>
            <w:tcW w:type="dxa" w:w="2929"/>
            <w:vAlign w:val="top"/>
          </w:tcPr>
          <w:p>
            <w:pPr>
              <w:spacing w:line="240" w:lineRule="auto" w:before="60" w:after="60"/>
              <w:ind w:firstLine="0"/>
              <w:jc w:val="left"/>
            </w:pPr>
            <w:r>
              <w:rPr>
                <w:rFonts w:ascii="Times New Roman" w:hAnsi="Times New Roman" w:eastAsia="Times New Roman" w:cs="Times New Roman"/>
                <w:b/>
                <w:color w:val="000000"/>
                <w:sz w:val="22"/>
                <w:lang w:val="vi-VN"/>
              </w:rPr>
              <w:t>Trạng thái</w:t>
            </w:r>
          </w:p>
        </w:tc>
        <w:tc>
          <w:tcPr>
            <w:tcW w:type="dxa" w:w="2929"/>
            <w:vAlign w:val="top"/>
          </w:tcPr>
          <w:p>
            <w:pPr>
              <w:spacing w:line="240" w:lineRule="auto" w:before="60" w:after="60"/>
              <w:ind w:firstLine="0"/>
              <w:jc w:val="left"/>
            </w:pPr>
            <w:r>
              <w:rPr>
                <w:rFonts w:ascii="Times New Roman" w:hAnsi="Times New Roman" w:eastAsia="Times New Roman" w:cs="Times New Roman"/>
                <w:b/>
                <w:color w:val="000000"/>
                <w:sz w:val="22"/>
                <w:lang w:val="vi-VN"/>
              </w:rPr>
              <w:t>Cơ sở và giới hạn</w:t>
            </w:r>
          </w:p>
        </w:tc>
      </w:tr>
      <w:tr>
        <w:trPr>
          <w:cantSplit/>
        </w:trPr>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Áp suất chất lưu → đáp ứng màng/vỏ</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Phụ thuộc mô hình</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Đường áp suất phụ thuộc bao, túi và mạch; chưa có ánh xạ chung cho MP1-R [2], [3], [18].</w:t>
            </w:r>
          </w:p>
        </w:tc>
      </w:tr>
      <w:tr>
        <w:trPr>
          <w:cantSplit/>
        </w:trPr>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Màng/vỏ → phản lực hướng tâm</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Được suy luận</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Cần kiểm tra giả thiết truyền phản lực theo độ mềm, hình học và điều kiện biên [2], [3], [5].</w:t>
            </w:r>
          </w:p>
        </w:tc>
      </w:tr>
      <w:tr>
        <w:trPr>
          <w:cantSplit/>
        </w:trPr>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Phản lực hướng tâm → lực pháp tuyến dây–dây/dây–ống bao</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Chưa được thiết lập</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Áp suất và lực cản tổng hợp chưa xác định duy nhất lực pháp tuyến cục bộ [2], [3], [5], [11]. Đây là mắt xích yếu nhất.</w:t>
            </w:r>
          </w:p>
        </w:tc>
      </w:tr>
      <w:tr>
        <w:trPr>
          <w:cantSplit/>
        </w:trPr>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Lực pháp tuyến → giới hạn lực ma sát</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Phụ thuộc mô hình</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Luật Coulomb cung cấp một giả thiết; μ và N của tiếp diện MP1-R chưa được tách [3], [5], [10].</w:t>
            </w:r>
          </w:p>
        </w:tc>
      </w:tr>
      <w:tr>
        <w:trPr>
          <w:cantSplit/>
        </w:trPr>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Giới hạn lực ma sát → trạng thái trượt</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Phụ thuộc mô hình</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Ngưỡng và vùng dính–trượt còn phụ thuộc tải, vật liệu và biên [3], [5], [6].</w:t>
            </w:r>
          </w:p>
        </w:tc>
      </w:tr>
      <w:tr>
        <w:trPr>
          <w:cantSplit/>
        </w:trPr>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Trạng thái trượt → đáp ứng uốn</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Được hỗ trợ một phần</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Mô hình và phép đo tổng thể hỗ trợ sự liên hệ trong các hệ đã thử; trường trượt cục bộ của MP1-R chưa được xác nhận [3], [5], [6], [10].</w:t>
            </w:r>
          </w:p>
        </w:tc>
      </w:tr>
    </w:tbl>
    <w:p>
      <w:pPr>
        <w:spacing w:line="288" w:lineRule="auto" w:before="0" w:after="120"/>
        <w:ind w:firstLine="0"/>
        <w:jc w:val="both"/>
      </w:pPr>
      <w:r>
        <w:rPr>
          <w:rFonts w:ascii="Times New Roman" w:hAnsi="Times New Roman" w:eastAsia="Times New Roman" w:cs="Times New Roman"/>
          <w:i/>
          <w:color w:val="000000"/>
          <w:sz w:val="22"/>
          <w:lang w:val="vi-VN"/>
        </w:rPr>
        <w:t>Bảng tổng hợp mức hỗ trợ từng liên kết; không coi chuỗi hoàn chỉnh là kết quả đã kiểm chứng trên MP1-R. Mắt xích yếu nhất là phản lực hướng tâm → lực pháp tuyến tiếp xúc cục bộ.</w:t>
      </w:r>
    </w:p>
    <w:p>
      <w:pPr>
        <w:spacing w:line="360" w:lineRule="auto" w:before="0" w:after="0"/>
        <w:ind w:firstLine="567"/>
        <w:jc w:val="both"/>
      </w:pPr>
      <w:r>
        <w:rPr>
          <w:rFonts w:ascii="Times New Roman" w:hAnsi="Times New Roman" w:eastAsia="Times New Roman" w:cs="Times New Roman"/>
          <w:color w:val="000000"/>
          <w:sz w:val="26"/>
          <w:lang w:val="vi-VN"/>
        </w:rPr>
        <w:t>Bảng 2.3 cho phép phân biệt điều đã được thiết lập với liên hệ có thể bảo vệ và vấn đề chưa xác định. Sự hiện diện của hiệu ứng áp suất hoặc ma sát trong một kiến trúc liên quan không làm cho lực tiếp xúc cục bộ của MP1-R trở thành đại lượng đã biết. Tương tự, một mô hình dự đoán được một nhánh toàn cục không tự động chứng minh phân bố trượt tại từng dây.</w:t>
      </w:r>
    </w:p>
    <w:p>
      <w:pPr>
        <w:pStyle w:val="Heading2"/>
      </w:pPr>
      <w:r>
        <w:rPr>
          <w:rFonts w:ascii="Times New Roman" w:hAnsi="Times New Roman" w:eastAsia="Times New Roman" w:cs="Times New Roman"/>
          <w:b/>
          <w:color w:val="000000"/>
          <w:sz w:val="26"/>
          <w:lang w:val="vi-VN"/>
        </w:rPr>
        <w:t>2.11. Những vấn đề chưa được xác định và nhu cầu đặc trưng hóa cho MP1-R</w:t>
      </w:r>
    </w:p>
    <w:p>
      <w:pPr>
        <w:spacing w:line="360" w:lineRule="auto" w:before="0" w:after="0"/>
        <w:ind w:firstLine="567"/>
        <w:jc w:val="both"/>
      </w:pPr>
      <w:r>
        <w:rPr>
          <w:rFonts w:ascii="Times New Roman" w:hAnsi="Times New Roman" w:eastAsia="Times New Roman" w:cs="Times New Roman"/>
          <w:color w:val="000000"/>
          <w:sz w:val="26"/>
          <w:lang w:val="vi-VN"/>
        </w:rPr>
        <w:t>Bằng chứng đã được thẩm định không đủ để khẳng định một khoảng trống tri thức khoa học có tính khái quát cho hướng này. Phạm vi luận văn vì vậy được đặt ở hai nhu cầu đặc trưng hóa thực nghiệm, năm yêu cầu nhận dạng hệ thống, một nhu cầu xác nhận kỹ thuật nguồn và một nhu cầu xác nhận tích hợp. Việc quan hệ chưa được xác định cho một cấu hình cụ thể không đồng nghĩa quan hệ đó chưa được biết trong khoa học nói chung.</w:t>
      </w:r>
    </w:p>
    <w:p>
      <w:pPr>
        <w:spacing w:line="360" w:lineRule="auto" w:before="0" w:after="0"/>
        <w:ind w:firstLine="567"/>
        <w:jc w:val="both"/>
      </w:pPr>
      <w:r>
        <w:rPr>
          <w:rFonts w:ascii="Times New Roman" w:hAnsi="Times New Roman" w:eastAsia="Times New Roman" w:cs="Times New Roman"/>
          <w:color w:val="000000"/>
          <w:sz w:val="26"/>
          <w:lang w:val="vi-VN"/>
        </w:rPr>
        <w:t>Thứ nhất, tiết diện, mặt phản lực, cách sắp xếp dây và các ứng viên dây–dây/dây–ống bao phải được cố định trước khi diễn giải dữ liệu. Đây là tiền đề dự án, không phải khoảng trống. Sau khi hình học được khóa, MP1-R cần xác định hoặc đặt cận cho truyền áp suất đến lực tiếp xúc cục bộ, đồng thời tách ảnh hưởng của ống bao, cách sắp xếp dây, đầu mút và chuyển động phản lực. Đây là yêu cầu nhận dạng hệ thống; kết quả có thể là một ánh xạ định lượng hoặc một cận không đủ để nhận dạng duy nhất.</w:t>
      </w:r>
    </w:p>
    <w:p>
      <w:pPr>
        <w:spacing w:line="360" w:lineRule="auto" w:before="0" w:after="0"/>
        <w:ind w:firstLine="567"/>
        <w:jc w:val="both"/>
      </w:pPr>
      <w:r>
        <w:rPr>
          <w:rFonts w:ascii="Times New Roman" w:hAnsi="Times New Roman" w:eastAsia="Times New Roman" w:cs="Times New Roman"/>
          <w:color w:val="000000"/>
          <w:sz w:val="26"/>
          <w:lang w:val="vi-VN"/>
        </w:rPr>
        <w:t>Thứ hai, đóng góp của tiếp diện dây–dây, dây–ống bao và chuyển động ống bao hoặc đầu mút cần được đánh giá bằng quan sát độc lập. Các phép thử lực cản tiếp diện có tiền lệ ở hệ dây–ống và lớp cáp [10], [11], nhưng chưa cho phép suy ra sự chi phối của một tiếp diện trong MP1-R chỉ từ uốn tổng thể. Đây là yêu cầu nhận dạng hệ thống. Nếu quan sát chưa đủ, luận văn cần báo cáo cận hoặc giới hạn nhận dạng, thay vì chuyển giới hạn đo thành tuyên bố về một cơ chế chưa biết.</w:t>
      </w:r>
    </w:p>
    <w:p>
      <w:pPr>
        <w:spacing w:line="360" w:lineRule="auto" w:before="0" w:after="0"/>
        <w:ind w:firstLine="567"/>
        <w:jc w:val="both"/>
      </w:pPr>
      <w:r>
        <w:rPr>
          <w:rFonts w:ascii="Times New Roman" w:hAnsi="Times New Roman" w:eastAsia="Times New Roman" w:cs="Times New Roman"/>
          <w:color w:val="000000"/>
          <w:sz w:val="26"/>
          <w:lang w:val="vi-VN"/>
        </w:rPr>
        <w:t>Thứ ba, cần đặc trưng xem chuyển pha của cùng lô TiNi có hoạt động trong miền biến dạng, nhiệt độ và lịch sử thực tế hay không. Tính nhạy trạng thái được thiết lập trong các phép thử cáp, thành phần và vi sợi đã khảo sát [8], [12], [13], còn hoạt tính trong miền uốn áp suất của MP1-R chưa được xác định. Nhu cầu này là đặc trưng hóa thực nghiệm. Phân tách chuyển pha, ma sát và tổn hao ống bao là yêu cầu nhận dạng bổ sung, chỉ khả thi khi có các quan sát độc lập đủ để phân biệt.</w:t>
      </w:r>
    </w:p>
    <w:p>
      <w:pPr>
        <w:spacing w:line="360" w:lineRule="auto" w:before="0" w:after="0"/>
        <w:ind w:firstLine="567"/>
        <w:jc w:val="both"/>
      </w:pPr>
      <w:r>
        <w:rPr>
          <w:rFonts w:ascii="Times New Roman" w:hAnsi="Times New Roman" w:eastAsia="Times New Roman" w:cs="Times New Roman"/>
          <w:color w:val="000000"/>
          <w:sz w:val="26"/>
          <w:lang w:val="vi-VN"/>
        </w:rPr>
        <w:t>Thứ tư, các mô hình thông thường cung cấp đối chứng cơ học [5]–[7], [15], [17], nhưng khả năng dự đoán cho cấu hình MP1-R chưa được kiểm tra định lượng trên đường tải dành riêng. Nhu cầu đặc trưng hóa hiệu lực mô hình này không phải tuyên bố rằng cơ học thông thường đã bị bác bỏ. Một phần dư lặp lại chỉ liên quan đến H1-R sau khi đã kiểm soát hình học, biên, nhiệt và tiếp diện; sự cần thiết của một hạng tử tương tác mới hiện chưa được chứng minh.</w:t>
      </w:r>
    </w:p>
    <w:p>
      <w:pPr>
        <w:spacing w:line="360" w:lineRule="auto" w:before="0" w:after="0"/>
        <w:ind w:firstLine="567"/>
        <w:jc w:val="both"/>
      </w:pPr>
      <w:r>
        <w:rPr>
          <w:rFonts w:ascii="Times New Roman" w:hAnsi="Times New Roman" w:eastAsia="Times New Roman" w:cs="Times New Roman"/>
          <w:color w:val="000000"/>
          <w:sz w:val="26"/>
          <w:lang w:val="vi-VN"/>
        </w:rPr>
        <w:t>Cuối cùng, nguồn SMA–piston cần được đặc trưng hóa về miền áp suất–thể tích có thể đạt và hồi phục, sau đó so sánh với Bench A dưới điều kiện ghép cặp. Đây là nhu cầu xác nhận kỹ thuật và tích hợp. Khác biệt của một lò xo, piston hoặc đường ống so với nghiên cứu trước không tự nó là cơ chế khoa học mới.</w:t>
      </w:r>
    </w:p>
    <w:p>
      <w:pPr>
        <w:keepNext/>
        <w:spacing w:line="288" w:lineRule="auto" w:before="120" w:after="80"/>
        <w:ind w:firstLine="0"/>
        <w:jc w:val="center"/>
      </w:pPr>
      <w:r>
        <w:rPr>
          <w:rFonts w:ascii="Times New Roman" w:hAnsi="Times New Roman" w:eastAsia="Times New Roman" w:cs="Times New Roman"/>
          <w:b/>
          <w:color w:val="000000"/>
          <w:sz w:val="24"/>
          <w:lang w:val="vi-VN"/>
        </w:rPr>
        <w:t>Bảng 2.4. Bản đồ vấn đề còn lại và cách diễn đạt được phép</w:t>
      </w:r>
    </w:p>
    <w:tbl>
      <w:tblPr>
        <w:tblStyle w:val="TableGrid"/>
        <w:tblW w:type="auto" w:w="0"/>
        <w:jc w:val="center"/>
        <w:tblLook w:firstColumn="1" w:firstRow="1" w:lastColumn="0" w:lastRow="0" w:noHBand="0" w:noVBand="1" w:val="04A0"/>
      </w:tblPr>
      <w:tblGrid>
        <w:gridCol w:w="2929"/>
        <w:gridCol w:w="2929"/>
        <w:gridCol w:w="2929"/>
      </w:tblGrid>
      <w:tr>
        <w:trPr>
          <w:cantSplit/>
          <w:tblHeader w:val="true"/>
        </w:trPr>
        <w:tc>
          <w:tcPr>
            <w:tcW w:type="dxa" w:w="2929"/>
            <w:vAlign w:val="top"/>
          </w:tcPr>
          <w:p>
            <w:pPr>
              <w:spacing w:line="240" w:lineRule="auto" w:before="60" w:after="60"/>
              <w:ind w:firstLine="0"/>
              <w:jc w:val="left"/>
            </w:pPr>
            <w:r>
              <w:rPr>
                <w:rFonts w:ascii="Times New Roman" w:hAnsi="Times New Roman" w:eastAsia="Times New Roman" w:cs="Times New Roman"/>
                <w:b/>
                <w:color w:val="000000"/>
                <w:sz w:val="22"/>
                <w:lang w:val="vi-VN"/>
              </w:rPr>
              <w:t>Vấn đề</w:t>
            </w:r>
          </w:p>
        </w:tc>
        <w:tc>
          <w:tcPr>
            <w:tcW w:type="dxa" w:w="2929"/>
            <w:vAlign w:val="top"/>
          </w:tcPr>
          <w:p>
            <w:pPr>
              <w:spacing w:line="240" w:lineRule="auto" w:before="60" w:after="60"/>
              <w:ind w:firstLine="0"/>
              <w:jc w:val="left"/>
            </w:pPr>
            <w:r>
              <w:rPr>
                <w:rFonts w:ascii="Times New Roman" w:hAnsi="Times New Roman" w:eastAsia="Times New Roman" w:cs="Times New Roman"/>
                <w:b/>
                <w:color w:val="000000"/>
                <w:sz w:val="22"/>
                <w:lang w:val="vi-VN"/>
              </w:rPr>
              <w:t>Phân loại chính</w:t>
            </w:r>
          </w:p>
        </w:tc>
        <w:tc>
          <w:tcPr>
            <w:tcW w:type="dxa" w:w="2929"/>
            <w:vAlign w:val="top"/>
          </w:tcPr>
          <w:p>
            <w:pPr>
              <w:spacing w:line="240" w:lineRule="auto" w:before="60" w:after="60"/>
              <w:ind w:firstLine="0"/>
              <w:jc w:val="left"/>
            </w:pPr>
            <w:r>
              <w:rPr>
                <w:rFonts w:ascii="Times New Roman" w:hAnsi="Times New Roman" w:eastAsia="Times New Roman" w:cs="Times New Roman"/>
                <w:b/>
                <w:color w:val="000000"/>
                <w:sz w:val="22"/>
                <w:lang w:val="vi-VN"/>
              </w:rPr>
              <w:t>Cách diễn đạt được phép</w:t>
            </w:r>
          </w:p>
        </w:tc>
      </w:tr>
      <w:tr>
        <w:trPr>
          <w:cantSplit/>
        </w:trPr>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Hình học và mặt phản lực</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Tiền đề xác định cấu hình</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Cần cố định trước khi diễn giải; không phải khoảng trống khoa học.</w:t>
            </w:r>
          </w:p>
        </w:tc>
      </w:tr>
      <w:tr>
        <w:trPr>
          <w:cantSplit/>
        </w:trPr>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Truyền áp suất–tiếp xúc; ảnh hưởng biên</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Nhận dạng hệ thống</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Xác định hoặc đặt cận truyền lực, độ mềm ống bao và chuyển động đầu mút.</w:t>
            </w:r>
          </w:p>
        </w:tc>
      </w:tr>
      <w:tr>
        <w:trPr>
          <w:cantSplit/>
        </w:trPr>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Tiếp diện và trượt cục bộ</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Nhận dạng hệ thống</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Nhận dạng hoặc đặt cận đường lực cản; chưa đủ quan sát thì báo cáo giới hạn nhận dạng.</w:t>
            </w:r>
          </w:p>
        </w:tc>
      </w:tr>
      <w:tr>
        <w:trPr>
          <w:cantSplit/>
        </w:trPr>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Chuyển pha cùng lô</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Đặc trưng hóa thực nghiệm</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Kiểm tra hoạt tính chuyển pha trong miền tiếp cận.</w:t>
            </w:r>
          </w:p>
        </w:tc>
      </w:tr>
      <w:tr>
        <w:trPr>
          <w:cantSplit/>
        </w:trPr>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Phân tách các nguồn tiêu tán</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Nhận dạng hệ thống</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Chỉ quy kết tỷ phần khi có quan sát độc lập đủ mạnh.</w:t>
            </w:r>
          </w:p>
        </w:tc>
      </w:tr>
      <w:tr>
        <w:trPr>
          <w:cantSplit/>
        </w:trPr>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Hiệu lực mô hình đối chứng</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Đặc trưng hóa thực nghiệm</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Kiểm tra mô hình khóa trên đường tải dành riêng.</w:t>
            </w:r>
          </w:p>
        </w:tc>
      </w:tr>
      <w:tr>
        <w:trPr>
          <w:cantSplit/>
        </w:trPr>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Hạng tử tương tác bổ sung</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Chưa chứng minh là khoảng trống</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Chỉ xem xét khi phần dư lặp lại, được nhận dạng và có giá trị dự đoán.</w:t>
            </w:r>
          </w:p>
        </w:tc>
      </w:tr>
      <w:tr>
        <w:trPr>
          <w:cantSplit/>
        </w:trPr>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Nguồn SMA–piston</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Xác nhận kỹ thuật</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Đặc trưng miền áp suất–thể tích và hồi phục dưới tải kết nối.</w:t>
            </w:r>
          </w:p>
        </w:tc>
      </w:tr>
      <w:tr>
        <w:trPr>
          <w:cantSplit/>
        </w:trPr>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Đáp ứng tích hợp</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Xác nhận tích hợp</w:t>
            </w:r>
          </w:p>
        </w:tc>
        <w:tc>
          <w:tcPr>
            <w:tcW w:type="dxa" w:w="2929"/>
            <w:vAlign w:val="top"/>
          </w:tcPr>
          <w:p>
            <w:pPr>
              <w:spacing w:line="240" w:lineRule="auto" w:before="60" w:after="60"/>
              <w:ind w:firstLine="0"/>
              <w:jc w:val="left"/>
            </w:pPr>
            <w:r>
              <w:rPr>
                <w:rFonts w:ascii="Times New Roman" w:hAnsi="Times New Roman" w:eastAsia="Times New Roman" w:cs="Times New Roman"/>
                <w:b w:val="0"/>
                <w:color w:val="000000"/>
                <w:sz w:val="22"/>
                <w:lang w:val="vi-VN"/>
              </w:rPr>
              <w:t>So sánh với nguồn ngoài dưới điều kiện ghép cặp.</w:t>
            </w:r>
          </w:p>
        </w:tc>
      </w:tr>
    </w:tbl>
    <w:p>
      <w:pPr>
        <w:spacing w:line="288" w:lineRule="auto" w:before="0" w:after="120"/>
        <w:ind w:firstLine="0"/>
        <w:jc w:val="both"/>
      </w:pPr>
      <w:r>
        <w:rPr>
          <w:rFonts w:ascii="Times New Roman" w:hAnsi="Times New Roman" w:eastAsia="Times New Roman" w:cs="Times New Roman"/>
          <w:i/>
          <w:color w:val="000000"/>
          <w:sz w:val="22"/>
          <w:lang w:val="vi-VN"/>
        </w:rPr>
        <w:t>Các phân loại trên không phải là tuyên bố về khoảng trống văn liệu rộng hơn MP1-R.</w:t>
      </w:r>
    </w:p>
    <w:p>
      <w:pPr>
        <w:pStyle w:val="Heading2"/>
      </w:pPr>
      <w:r>
        <w:rPr>
          <w:rFonts w:ascii="Times New Roman" w:hAnsi="Times New Roman" w:eastAsia="Times New Roman" w:cs="Times New Roman"/>
          <w:b/>
          <w:color w:val="000000"/>
          <w:sz w:val="26"/>
          <w:lang w:val="vi-VN"/>
        </w:rPr>
        <w:t>2.12. Định hướng nghiên cứu của luận văn</w:t>
      </w:r>
    </w:p>
    <w:p>
      <w:pPr>
        <w:spacing w:line="360" w:lineRule="auto" w:before="0" w:after="0"/>
        <w:ind w:firstLine="567"/>
        <w:jc w:val="both"/>
      </w:pPr>
      <w:r>
        <w:rPr>
          <w:rFonts w:ascii="Times New Roman" w:hAnsi="Times New Roman" w:eastAsia="Times New Roman" w:cs="Times New Roman"/>
          <w:color w:val="000000"/>
          <w:sz w:val="26"/>
          <w:lang w:val="vi-VN"/>
        </w:rPr>
        <w:t>Từ tổng quan trên, câu hỏi nghiên cứu chính được khóa ở dạng: với hình học bó TiNi, lô vật liệu và lịch sử tải cố định, áp suất gần mẫu thay đổi đáp ứng uốn như thế nào, và mô hình tiếp xúc/ma sát/chuyển pha thông thường đã khóa dự đoán các đường áp suất–độ cong giữ lại chính xác đến đâu? Câu hỏi này gắn đặc trưng hóa định lượng với phân biệt mô hình, không yêu cầu H1-R phải đúng.</w:t>
      </w:r>
    </w:p>
    <w:p>
      <w:pPr>
        <w:spacing w:line="360" w:lineRule="auto" w:before="0" w:after="0"/>
        <w:ind w:firstLine="567"/>
        <w:jc w:val="both"/>
      </w:pPr>
      <w:r>
        <w:rPr>
          <w:rFonts w:ascii="Times New Roman" w:hAnsi="Times New Roman" w:eastAsia="Times New Roman" w:cs="Times New Roman"/>
          <w:color w:val="000000"/>
          <w:sz w:val="26"/>
          <w:lang w:val="vi-VN"/>
        </w:rPr>
        <w:t>Câu hỏi phụ thứ nhất hỏi đường lực cản nào có thể được nhận dạng hoặc đặt cận: dây–dây, dây–ống bao hay chuyển động ống bao/đầu mút. Câu hỏi phụ thứ hai hỏi TiNi cùng lô có chuyển pha trong miền biến dạng–nhiệt độ–lịch sử được tiếp cận hay không, và cần kiểm soát trạng thái vật liệu nào để diễn giải đáp ứng. Hai câu hỏi phụ này định nghĩa gánh nặng quan sát cho các tuyên bố cơ chế; chúng không biến mọi kết quả chưa đo được thành khoảng trống khoa học.</w:t>
      </w:r>
    </w:p>
    <w:p>
      <w:pPr>
        <w:spacing w:line="360" w:lineRule="auto" w:before="0" w:after="0"/>
        <w:ind w:firstLine="567"/>
        <w:jc w:val="both"/>
      </w:pPr>
      <w:r>
        <w:rPr>
          <w:rFonts w:ascii="Times New Roman" w:hAnsi="Times New Roman" w:eastAsia="Times New Roman" w:cs="Times New Roman"/>
          <w:color w:val="000000"/>
          <w:sz w:val="26"/>
          <w:lang w:val="vi-VN"/>
        </w:rPr>
        <w:t>Đóng góp chính là đặc trưng hóa định lượng đáp ứng uốn phụ thuộc áp suất của bó TiNi đã định với mô hình đối chứng thông thường được khóa. Nhận dạng tiếp diện, trượt cục bộ và kiểm tra khả năng dự đoán là các đóng góp thứ cấp; xác nhận nguồn SMA–piston và tích hợp là nhiệm vụ hỗ trợ. Hạng tử tương tác bổ sung chỉ là mở rộng có điều kiện, phụ thuộc phần dư lặp lại cùng bằng chứng nhận dạng và cải thiện dự đoán trên dữ liệu giữ lại.</w:t>
      </w:r>
    </w:p>
    <w:p>
      <w:pPr>
        <w:spacing w:line="360" w:lineRule="auto" w:before="0" w:after="0"/>
        <w:ind w:firstLine="567"/>
        <w:jc w:val="both"/>
      </w:pPr>
      <w:r>
        <w:rPr>
          <w:rFonts w:ascii="Times New Roman" w:hAnsi="Times New Roman" w:eastAsia="Times New Roman" w:cs="Times New Roman"/>
          <w:color w:val="000000"/>
          <w:sz w:val="26"/>
          <w:lang w:val="vi-VN"/>
        </w:rPr>
        <w:t>Theo phạm vi này, tiêu đề làm việc là “Đặc trưng hóa ứng xử uốn phụ thuộc áp suất của bó dây TiNi với nguồn áp suất dẫn động bằng lò xo SMA”. Luận văn không cần H1-R được hỗ trợ: mô hình thông thường dự đoán tốt, chuyển pha không hoạt động hoặc hiệu ứng áp suất không vượt bất định đo vẫn là kết quả hợp lệ trong miền được kiểm soát.</w:t>
      </w:r>
    </w:p>
    <w:p>
      <w:pPr>
        <w:pStyle w:val="Heading1"/>
        <w:pageBreakBefore/>
      </w:pPr>
      <w:r>
        <w:rPr>
          <w:rFonts w:ascii="Times New Roman" w:hAnsi="Times New Roman" w:eastAsia="Times New Roman" w:cs="Times New Roman"/>
          <w:b/>
          <w:color w:val="000000"/>
          <w:sz w:val="32"/>
          <w:lang w:val="vi-VN"/>
        </w:rPr>
        <w:t>TÀI LIỆU THAM KHẢO</w:t>
      </w:r>
    </w:p>
    <w:p>
      <w:pPr>
        <w:spacing w:line="360" w:lineRule="auto" w:before="0" w:after="0"/>
        <w:ind w:left="454" w:hanging="454"/>
        <w:jc w:val="both"/>
      </w:pPr>
      <w:r>
        <w:rPr>
          <w:rFonts w:ascii="Times New Roman" w:hAnsi="Times New Roman" w:eastAsia="Times New Roman" w:cs="Times New Roman"/>
          <w:color w:val="000000"/>
          <w:sz w:val="26"/>
          <w:lang w:val="vi-VN"/>
        </w:rPr>
        <w:t>[1] L. Bai, H. Yan, J. Li, J. Shan, and P. Hou, “Detachable Soft Actuators with Tunable Stiffness Based on Wire Jamming,” Applied Sciences, vol. 12, no. 7, Art. no. 3582, 2022, doi: 10.3390/app12073582.</w:t>
      </w:r>
    </w:p>
    <w:p>
      <w:pPr>
        <w:spacing w:line="360" w:lineRule="auto" w:before="0" w:after="0"/>
        <w:ind w:left="454" w:hanging="454"/>
        <w:jc w:val="both"/>
      </w:pPr>
      <w:r>
        <w:rPr>
          <w:rFonts w:ascii="Times New Roman" w:hAnsi="Times New Roman" w:eastAsia="Times New Roman" w:cs="Times New Roman"/>
          <w:color w:val="000000"/>
          <w:sz w:val="26"/>
          <w:lang w:val="vi-VN"/>
        </w:rPr>
        <w:t>[2] T. Liu, H. Xia, D.-Y. Lee, A. Firouzeh, Y.-L. Park, and K.-J. Cho, “A Positive Pressure Jamming Based Variable Stiffness Structure and its Application on Wearable Robots,” IEEE Robotics and Automation Letters, vol. 6, no. 4, pp. 8078–8085, 2021, doi: 10.1109/LRA.2021.3097255.</w:t>
      </w:r>
    </w:p>
    <w:p>
      <w:pPr>
        <w:spacing w:line="360" w:lineRule="auto" w:before="0" w:after="0"/>
        <w:ind w:left="454" w:hanging="454"/>
        <w:jc w:val="both"/>
      </w:pPr>
      <w:r>
        <w:rPr>
          <w:rFonts w:ascii="Times New Roman" w:hAnsi="Times New Roman" w:eastAsia="Times New Roman" w:cs="Times New Roman"/>
          <w:color w:val="000000"/>
          <w:sz w:val="26"/>
          <w:lang w:val="vi-VN"/>
        </w:rPr>
        <w:t>[3] S. Zhang and J. Yao, “A variable stiffness omnidirectional chain based on positive-pressure fiber jamming,” Mechanical Sciences, vol. 17, pp. 481–493, 2026, doi: 10.5194/ms-17-481-2026.</w:t>
      </w:r>
    </w:p>
    <w:p>
      <w:pPr>
        <w:spacing w:line="360" w:lineRule="auto" w:before="0" w:after="0"/>
        <w:ind w:left="454" w:hanging="454"/>
        <w:jc w:val="both"/>
      </w:pPr>
      <w:r>
        <w:rPr>
          <w:rFonts w:ascii="Times New Roman" w:hAnsi="Times New Roman" w:eastAsia="Times New Roman" w:cs="Times New Roman"/>
          <w:color w:val="000000"/>
          <w:sz w:val="26"/>
          <w:lang w:val="vi-VN"/>
        </w:rPr>
        <w:t>[4] F. Caro and M. G. Carmichael, “A Review of Mechanisms to Vary the Stiffness of Laminar Jamming Structures and Their Applications in Robotics,” Actuators, vol. 13, no. 2, Art. no. 64, 2024, doi: 10.3390/act13020064.</w:t>
      </w:r>
    </w:p>
    <w:p>
      <w:pPr>
        <w:spacing w:line="360" w:lineRule="auto" w:before="0" w:after="0"/>
        <w:ind w:left="454" w:hanging="454"/>
        <w:jc w:val="both"/>
      </w:pPr>
      <w:r>
        <w:rPr>
          <w:rFonts w:ascii="Times New Roman" w:hAnsi="Times New Roman" w:eastAsia="Times New Roman" w:cs="Times New Roman"/>
          <w:color w:val="000000"/>
          <w:sz w:val="26"/>
          <w:lang w:val="vi-VN"/>
        </w:rPr>
        <w:t>[5] S. Zhang, J. Yao, W. Zhao, and C. Wei, “A continuum-based model for a layer jamming beam,” Mechanical Sciences, vol. 16, pp. 821–830, 2025, doi: 10.5194/ms-16-821-2025.</w:t>
      </w:r>
    </w:p>
    <w:p>
      <w:pPr>
        <w:spacing w:line="360" w:lineRule="auto" w:before="0" w:after="0"/>
        <w:ind w:left="454" w:hanging="454"/>
        <w:jc w:val="both"/>
      </w:pPr>
      <w:r>
        <w:rPr>
          <w:rFonts w:ascii="Times New Roman" w:hAnsi="Times New Roman" w:eastAsia="Times New Roman" w:cs="Times New Roman"/>
          <w:color w:val="000000"/>
          <w:sz w:val="26"/>
          <w:lang w:val="vi-VN"/>
        </w:rPr>
        <w:t>[6] F. Barsi, B. Carboni, and W. Lacarbonara, “A new mechanical model of short wire ropes: Theory and experimental validation,” Engineering Structures, vol. 323, Art. no. 119217, 2025, doi: 10.1016/j.engstruct.2024.119217.</w:t>
      </w:r>
    </w:p>
    <w:p>
      <w:pPr>
        <w:spacing w:line="360" w:lineRule="auto" w:before="0" w:after="0"/>
        <w:ind w:left="454" w:hanging="454"/>
        <w:jc w:val="both"/>
      </w:pPr>
      <w:r>
        <w:rPr>
          <w:rFonts w:ascii="Times New Roman" w:hAnsi="Times New Roman" w:eastAsia="Times New Roman" w:cs="Times New Roman"/>
          <w:color w:val="000000"/>
          <w:sz w:val="26"/>
          <w:lang w:val="vi-VN"/>
        </w:rPr>
        <w:t>[7] S. Vahidi, J. Arghavani, E. Choi, and A. Ostadrahimi, “Mechanical response of single and double-helix SMA wire ropes,” Mechanics of Advanced Materials and Structures, early access, Aug. 3, 2021, doi: 10.1080/15376494.2021.1955313.</w:t>
      </w:r>
    </w:p>
    <w:p>
      <w:pPr>
        <w:spacing w:line="360" w:lineRule="auto" w:before="0" w:after="0"/>
        <w:ind w:left="454" w:hanging="454"/>
        <w:jc w:val="both"/>
      </w:pPr>
      <w:r>
        <w:rPr>
          <w:rFonts w:ascii="Times New Roman" w:hAnsi="Times New Roman" w:eastAsia="Times New Roman" w:cs="Times New Roman"/>
          <w:color w:val="000000"/>
          <w:sz w:val="26"/>
          <w:lang w:val="vi-VN"/>
        </w:rPr>
        <w:t>[8] Y. Liu, Y. Zeng, Y. Liu, Y. Xiao, T. Zhou, J. Du, et al., “High damping capacity with a wide temperature window in braided NiTi microfilaments,” Materials Letters, vol. 424, Art. no. 141544, 2026, doi: 10.1016/j.matlet.2026.141544.</w:t>
      </w:r>
    </w:p>
    <w:p>
      <w:pPr>
        <w:spacing w:line="360" w:lineRule="auto" w:before="0" w:after="0"/>
        <w:ind w:left="454" w:hanging="454"/>
        <w:jc w:val="both"/>
      </w:pPr>
      <w:r>
        <w:rPr>
          <w:rFonts w:ascii="Times New Roman" w:hAnsi="Times New Roman" w:eastAsia="Times New Roman" w:cs="Times New Roman"/>
          <w:color w:val="000000"/>
          <w:sz w:val="26"/>
          <w:lang w:val="vi-VN"/>
        </w:rPr>
        <w:t>[9] B. Lin, S. Song, and J. Wang, “Variable stiffness methods of flexible robots for minimally invasive surgery: A review,” Biomimetic Intelligence and Robotics, vol. 4, Art. no. 100168, 2024, doi: 10.1016/j.birob.2024.100168.</w:t>
      </w:r>
    </w:p>
    <w:p>
      <w:pPr>
        <w:spacing w:line="360" w:lineRule="auto" w:before="0" w:after="0"/>
        <w:ind w:left="454" w:hanging="454"/>
        <w:jc w:val="both"/>
      </w:pPr>
      <w:r>
        <w:rPr>
          <w:rFonts w:ascii="Times New Roman" w:hAnsi="Times New Roman" w:eastAsia="Times New Roman" w:cs="Times New Roman"/>
          <w:color w:val="000000"/>
          <w:sz w:val="26"/>
          <w:lang w:val="vi-VN"/>
        </w:rPr>
        <w:t>[10] H. Jeon, Q. N. Le, S. Jeong, S. Jang, H. Jung, H. Chang, et al., “Towards a Snake-Like Flexible Robot With Variable Stiffness Using an SMA Spring-Based Friction Change Mechanism,” IEEE Robotics and Automation Letters, vol. 7, no. 3, pp. 6582–6589, 2022, doi: 10.1109/LRA.2022.3174363.</w:t>
      </w:r>
    </w:p>
    <w:p>
      <w:pPr>
        <w:spacing w:line="360" w:lineRule="auto" w:before="0" w:after="0"/>
        <w:ind w:left="454" w:hanging="454"/>
        <w:jc w:val="both"/>
      </w:pPr>
      <w:r>
        <w:rPr>
          <w:rFonts w:ascii="Times New Roman" w:hAnsi="Times New Roman" w:eastAsia="Times New Roman" w:cs="Times New Roman"/>
          <w:color w:val="000000"/>
          <w:sz w:val="26"/>
          <w:lang w:val="vi-VN"/>
        </w:rPr>
        <w:t>[11] X. Liu, “Cable Vibration Considering Internal Friction,” M.S. thesis, Department of Mechanical Engineering, University of Hawaiʻi, Aug. 2004.</w:t>
      </w:r>
    </w:p>
    <w:p>
      <w:pPr>
        <w:spacing w:line="360" w:lineRule="auto" w:before="0" w:after="0"/>
        <w:ind w:left="454" w:hanging="454"/>
        <w:jc w:val="both"/>
      </w:pPr>
      <w:r>
        <w:rPr>
          <w:rFonts w:ascii="Times New Roman" w:hAnsi="Times New Roman" w:eastAsia="Times New Roman" w:cs="Times New Roman"/>
          <w:color w:val="000000"/>
          <w:sz w:val="26"/>
          <w:lang w:val="vi-VN"/>
        </w:rPr>
        <w:t>[12] B. Reedlunn, S. Daly, and J. Shaw, “Superelastic shape memory alloy cables: Part I – Isothermal tension experiments,” International Journal of Solids and Structures, 2013, doi: 10.1016/j.ijsolstr.2013.03.013.</w:t>
      </w:r>
    </w:p>
    <w:p>
      <w:pPr>
        <w:spacing w:line="360" w:lineRule="auto" w:before="0" w:after="0"/>
        <w:ind w:left="454" w:hanging="454"/>
        <w:jc w:val="both"/>
      </w:pPr>
      <w:r>
        <w:rPr>
          <w:rFonts w:ascii="Times New Roman" w:hAnsi="Times New Roman" w:eastAsia="Times New Roman" w:cs="Times New Roman"/>
          <w:color w:val="000000"/>
          <w:sz w:val="26"/>
          <w:lang w:val="vi-VN"/>
        </w:rPr>
        <w:t>[13] B. Reedlunn, S. Daly, and J. Shaw, “Superelastic shape memory alloy cables: Part II – Subcomponent isothermal responses,” International Journal of Solids and Structures, 2013, doi: 10.1016/j.ijsolstr.2013.03.015.</w:t>
      </w:r>
    </w:p>
    <w:p>
      <w:pPr>
        <w:spacing w:line="360" w:lineRule="auto" w:before="0" w:after="0"/>
        <w:ind w:left="454" w:hanging="454"/>
        <w:jc w:val="both"/>
      </w:pPr>
      <w:r>
        <w:rPr>
          <w:rFonts w:ascii="Times New Roman" w:hAnsi="Times New Roman" w:eastAsia="Times New Roman" w:cs="Times New Roman"/>
          <w:color w:val="000000"/>
          <w:sz w:val="26"/>
          <w:lang w:val="vi-VN"/>
        </w:rPr>
        <w:t>[14] M. D. Pierce and S. A. Mascaro, “A Biologically Inspired Wet Shape Memory Alloy Actuated Robotic Pump,” IEEE/ASME Transactions on Mechatronics, vol. 18, no. 2, pp. 536–546, 2013, doi: 10.1109/TMECH.2012.2211032.</w:t>
      </w:r>
    </w:p>
    <w:p>
      <w:pPr>
        <w:spacing w:line="360" w:lineRule="auto" w:before="0" w:after="0"/>
        <w:ind w:left="454" w:hanging="454"/>
        <w:jc w:val="both"/>
      </w:pPr>
      <w:r>
        <w:rPr>
          <w:rFonts w:ascii="Times New Roman" w:hAnsi="Times New Roman" w:eastAsia="Times New Roman" w:cs="Times New Roman"/>
          <w:color w:val="000000"/>
          <w:sz w:val="26"/>
          <w:lang w:val="vi-VN"/>
        </w:rPr>
        <w:t>[15] Z. Kang, Z. Wang, B. Zhou, and S. Xue, “Finite Element Method for Mechanical Behavior of Shape Memory Alloy Superelastic Cables,” Journal of Mechanical Engineering, vol. 56, no. 14, pp. 65–72, 2020, doi: 10.3901/JME.2020.14.065.</w:t>
      </w:r>
    </w:p>
    <w:p>
      <w:pPr>
        <w:spacing w:line="360" w:lineRule="auto" w:before="0" w:after="0"/>
        <w:ind w:left="454" w:hanging="454"/>
        <w:jc w:val="both"/>
      </w:pPr>
      <w:r>
        <w:rPr>
          <w:rFonts w:ascii="Times New Roman" w:hAnsi="Times New Roman" w:eastAsia="Times New Roman" w:cs="Times New Roman"/>
          <w:color w:val="000000"/>
          <w:sz w:val="26"/>
          <w:lang w:val="vi-VN"/>
        </w:rPr>
        <w:t>[16] B. Carboni and W. Lacarbonara, “Nonlinear Vibration Absorber with Pinched Hysteresis: Theory and Experiments,” Journal of Engineering Mechanics, Art. no. 04016023, 2016, doi: 10.1061/(ASCE)EM.1943-7889.0001072.</w:t>
      </w:r>
    </w:p>
    <w:p>
      <w:pPr>
        <w:spacing w:line="360" w:lineRule="auto" w:before="0" w:after="0"/>
        <w:ind w:left="454" w:hanging="454"/>
        <w:jc w:val="both"/>
      </w:pPr>
      <w:r>
        <w:rPr>
          <w:rFonts w:ascii="Times New Roman" w:hAnsi="Times New Roman" w:eastAsia="Times New Roman" w:cs="Times New Roman"/>
          <w:color w:val="000000"/>
          <w:sz w:val="26"/>
          <w:lang w:val="vi-VN"/>
        </w:rPr>
        <w:t>[17] P. Narjabadifam, N. Fazlalipour, S. Mollaei, M. Momeni, A. S. Watandoust, M. Chavoshi, et al., “Experimental-Numerical Assessment of Mechanical Behavior of Laboratory-Made Steel and NiTi Shape Memory Alloy Wire Ropes,” Buildings, vol. 14, no. 6, Art. no. 1567, 2024, doi: 10.3390/buildings14061567.</w:t>
      </w:r>
    </w:p>
    <w:p>
      <w:pPr>
        <w:spacing w:line="360" w:lineRule="auto" w:before="0" w:after="0"/>
        <w:ind w:left="454" w:hanging="454"/>
        <w:jc w:val="both"/>
      </w:pPr>
      <w:r>
        <w:rPr>
          <w:rFonts w:ascii="Times New Roman" w:hAnsi="Times New Roman" w:eastAsia="Times New Roman" w:cs="Times New Roman"/>
          <w:color w:val="000000"/>
          <w:sz w:val="26"/>
          <w:lang w:val="vi-VN"/>
        </w:rPr>
        <w:t>[18] H. H. Huynh, D. Han, K. Yoshida, M. De Volder, and J.-w. Kim, “Soft actuator with switchable stiffness using a micropump-activated jamming system,” Sensors and Actuators A: Physical, vol. 338, Art. no. 113449, 2022, doi: 10.1016/j.sna.2022.113449.</w:t>
      </w:r>
    </w:p>
    <w:sectPr w:rsidR="00FC693F" w:rsidRPr="0006063C" w:rsidSect="00034616">
      <w:headerReference w:type="default" r:id="rId9"/>
      <w:pgSz w:w="11906" w:h="16838"/>
      <w:pgMar w:top="1701" w:right="1134" w:bottom="1701" w:left="1984" w:header="737" w:footer="73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0" w:after="0"/>
      <w:ind w:firstLine="0"/>
      <w:jc w:val="center"/>
    </w:pPr>
    <w:r>
      <w:rPr>
        <w:rFonts w:ascii="Times New Roman" w:hAnsi="Times New Roman" w:eastAsia="Times New Roman" w:cs="Times New Roman"/>
        <w:color w:val="000000"/>
        <w:sz w:val="26"/>
        <w:lang w:val="vi-VN"/>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567"/>
      <w:jc w:val="both"/>
    </w:pPr>
    <w:rPr>
      <w:rFonts w:ascii="Times New Roman" w:hAnsi="Times New Roman" w:eastAsia="Times New Roman" w:cs="Times New Roman"/>
      <w:color w:val="000000"/>
      <w:sz w:val="26"/>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ind w:firstLine="0"/>
      <w:jc w:val="center"/>
      <w:outlineLvl w:val="0"/>
    </w:pPr>
    <w:rPr>
      <w:rFonts w:asciiTheme="majorHAnsi" w:eastAsiaTheme="majorEastAsia" w:hAnsiTheme="majorHAnsi" w:cstheme="majorBidi" w:ascii="Times New Roman" w:hAnsi="Times New Roman" w:eastAsia="Times New Roman" w:cs="Times New Roman"/>
      <w:b/>
      <w:bCs/>
      <w:color w:val="000000"/>
      <w:sz w:val="32"/>
      <w:szCs w:val="28"/>
      <w:lang w:val="vi-VN"/>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heme="majorHAnsi" w:eastAsiaTheme="majorEastAsia" w:hAnsiTheme="majorHAnsi" w:cstheme="majorBidi" w:ascii="Times New Roman" w:hAnsi="Times New Roman" w:eastAsia="Times New Roman" w:cs="Times New Roman"/>
      <w:b/>
      <w:bCs/>
      <w:color w:val="000000"/>
      <w:sz w:val="26"/>
      <w:szCs w:val="26"/>
      <w:lang w:val="vi-VN"/>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jc w:val="left"/>
      <w:outlineLvl w:val="2"/>
    </w:pPr>
    <w:rPr>
      <w:rFonts w:asciiTheme="majorHAnsi" w:eastAsiaTheme="majorEastAsia" w:hAnsiTheme="majorHAnsi" w:cstheme="majorBidi" w:ascii="Times New Roman" w:hAnsi="Times New Roman" w:eastAsia="Times New Roman" w:cs="Times New Roman"/>
      <w:b/>
      <w:bCs/>
      <w:color w:val="000000"/>
      <w:sz w:val="26"/>
      <w:lang w:val="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 Tổng quan nghiên cứu và cơ sở khoa học — MP1-R</dc:title>
  <dc:subject>Pressure-Conditioned Bending Characterization of TiNi Wire Bundles with an SMA-Spring-Driven Pressure Source</dc:subject>
  <dc:creator/>
  <cp:keywords/>
  <dc:description>Evidence-controlled standalone Chapter 2 draft. Page numbering starts at 1.</dc:description>
  <cp:lastModifiedBy/>
  <cp:revision>1</cp:revision>
  <dcterms:created xsi:type="dcterms:W3CDTF">2013-12-23T23:15:00Z</dcterms:created>
  <dcterms:modified xsi:type="dcterms:W3CDTF">2013-12-23T23:15:00Z</dcterms:modified>
  <cp:category/>
  <dc:language>vi-VN</dc:language>
</cp:coreProperties>
</file>