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32B48" w14:textId="273B37FC" w:rsidR="00F85AA0" w:rsidRPr="006D3A6B" w:rsidRDefault="006D3A6B" w:rsidP="006D3A6B">
      <w:pPr>
        <w:spacing w:line="360" w:lineRule="auto"/>
        <w:rPr>
          <w:rFonts w:ascii="Times New Roman" w:hAnsi="Times New Roman" w:cs="Times New Roman"/>
          <w:b/>
          <w:bCs/>
          <w:sz w:val="24"/>
          <w:szCs w:val="24"/>
        </w:rPr>
      </w:pPr>
      <w:r w:rsidRPr="006D3A6B">
        <w:rPr>
          <w:rFonts w:ascii="Times New Roman" w:hAnsi="Times New Roman" w:cs="Times New Roman"/>
          <w:b/>
          <w:bCs/>
          <w:sz w:val="24"/>
          <w:szCs w:val="24"/>
        </w:rPr>
        <w:t>Introduction</w:t>
      </w:r>
    </w:p>
    <w:p w14:paraId="7A18A640" w14:textId="07C67F03" w:rsidR="006D3A6B" w:rsidRDefault="006D3A6B" w:rsidP="006D3A6B">
      <w:pPr>
        <w:spacing w:line="360" w:lineRule="auto"/>
        <w:rPr>
          <w:rFonts w:ascii="Times New Roman" w:hAnsi="Times New Roman" w:cs="Times New Roman"/>
          <w:b/>
          <w:bCs/>
          <w:color w:val="002328"/>
          <w:sz w:val="24"/>
          <w:szCs w:val="24"/>
          <w:shd w:val="clear" w:color="auto" w:fill="FFFFFF"/>
        </w:rPr>
      </w:pPr>
      <w:r w:rsidRPr="006D3A6B">
        <w:rPr>
          <w:rFonts w:ascii="Times New Roman" w:hAnsi="Times New Roman" w:cs="Times New Roman"/>
          <w:b/>
          <w:bCs/>
          <w:color w:val="002328"/>
          <w:sz w:val="24"/>
          <w:szCs w:val="24"/>
          <w:shd w:val="clear" w:color="auto" w:fill="FFFFFF"/>
        </w:rPr>
        <w:t>Research/business</w:t>
      </w:r>
      <w:r w:rsidRPr="006D3A6B">
        <w:rPr>
          <w:rFonts w:ascii="Times New Roman" w:hAnsi="Times New Roman" w:cs="Times New Roman"/>
          <w:b/>
          <w:bCs/>
          <w:color w:val="002328"/>
          <w:sz w:val="24"/>
          <w:szCs w:val="24"/>
          <w:shd w:val="clear" w:color="auto" w:fill="FFFFFF"/>
        </w:rPr>
        <w:t xml:space="preserve"> question</w:t>
      </w:r>
    </w:p>
    <w:p w14:paraId="7083145E" w14:textId="7596F3F2" w:rsidR="006D3A6B" w:rsidRDefault="006D3A6B" w:rsidP="006D3A6B">
      <w:pPr>
        <w:spacing w:line="360" w:lineRule="auto"/>
        <w:rPr>
          <w:rFonts w:ascii="Times New Roman" w:hAnsi="Times New Roman" w:cs="Times New Roman"/>
          <w:sz w:val="24"/>
          <w:szCs w:val="24"/>
          <w:shd w:val="clear" w:color="auto" w:fill="FFFFFF"/>
        </w:rPr>
      </w:pPr>
      <w:r w:rsidRPr="006D3A6B">
        <w:rPr>
          <w:rFonts w:ascii="Times New Roman" w:hAnsi="Times New Roman" w:cs="Times New Roman"/>
          <w:sz w:val="24"/>
          <w:szCs w:val="24"/>
          <w:shd w:val="clear" w:color="auto" w:fill="FFFFFF"/>
        </w:rPr>
        <w:t xml:space="preserve">What are the key predictive features of Kiva projects that achieve their fundraising goals, and how can </w:t>
      </w:r>
      <w:r w:rsidR="001C2A1A">
        <w:rPr>
          <w:rFonts w:ascii="Times New Roman" w:hAnsi="Times New Roman" w:cs="Times New Roman"/>
          <w:sz w:val="24"/>
          <w:szCs w:val="24"/>
          <w:shd w:val="clear" w:color="auto" w:fill="FFFFFF"/>
        </w:rPr>
        <w:t>they</w:t>
      </w:r>
      <w:r w:rsidRPr="006D3A6B">
        <w:rPr>
          <w:rFonts w:ascii="Times New Roman" w:hAnsi="Times New Roman" w:cs="Times New Roman"/>
          <w:sz w:val="24"/>
          <w:szCs w:val="24"/>
          <w:shd w:val="clear" w:color="auto" w:fill="FFFFFF"/>
        </w:rPr>
        <w:t xml:space="preserve"> be used to develop a model to predict future project successes?</w:t>
      </w:r>
    </w:p>
    <w:p w14:paraId="09985E4F" w14:textId="77777777" w:rsidR="001C2A1A" w:rsidRPr="006D3A6B" w:rsidRDefault="001C2A1A" w:rsidP="006D3A6B">
      <w:pPr>
        <w:spacing w:line="360" w:lineRule="auto"/>
        <w:rPr>
          <w:rFonts w:ascii="Times New Roman" w:hAnsi="Times New Roman" w:cs="Times New Roman" w:hint="eastAsia"/>
          <w:b/>
          <w:bCs/>
          <w:color w:val="002328"/>
          <w:sz w:val="24"/>
          <w:szCs w:val="24"/>
          <w:shd w:val="clear" w:color="auto" w:fill="FFFFFF"/>
        </w:rPr>
      </w:pPr>
    </w:p>
    <w:p w14:paraId="66A5043A" w14:textId="4885043B" w:rsidR="006D3A6B" w:rsidRDefault="006D3A6B" w:rsidP="006D3A6B">
      <w:pPr>
        <w:spacing w:line="360" w:lineRule="auto"/>
        <w:rPr>
          <w:rFonts w:ascii="Times New Roman" w:hAnsi="Times New Roman" w:cs="Times New Roman"/>
          <w:b/>
          <w:bCs/>
          <w:sz w:val="24"/>
          <w:szCs w:val="24"/>
        </w:rPr>
      </w:pPr>
      <w:r w:rsidRPr="006D3A6B">
        <w:rPr>
          <w:rFonts w:ascii="Times New Roman" w:hAnsi="Times New Roman" w:cs="Times New Roman"/>
          <w:b/>
          <w:bCs/>
          <w:sz w:val="24"/>
          <w:szCs w:val="24"/>
        </w:rPr>
        <w:t>Importance of Answering the RBQ</w:t>
      </w:r>
    </w:p>
    <w:p w14:paraId="5BBA1620" w14:textId="520DF538" w:rsidR="001C2A1A" w:rsidRDefault="002514A3" w:rsidP="001C2A1A">
      <w:pPr>
        <w:spacing w:line="360" w:lineRule="auto"/>
        <w:rPr>
          <w:rFonts w:ascii="Times New Roman" w:hAnsi="Times New Roman" w:cs="Times New Roman"/>
          <w:sz w:val="24"/>
          <w:szCs w:val="24"/>
        </w:rPr>
      </w:pPr>
      <w:r w:rsidRPr="002514A3">
        <w:rPr>
          <w:rFonts w:ascii="Times New Roman" w:hAnsi="Times New Roman" w:cs="Times New Roman"/>
          <w:sz w:val="24"/>
          <w:szCs w:val="24"/>
        </w:rPr>
        <w:t xml:space="preserve">Answering this </w:t>
      </w:r>
      <w:r>
        <w:rPr>
          <w:rFonts w:ascii="Times New Roman" w:hAnsi="Times New Roman" w:cs="Times New Roman" w:hint="eastAsia"/>
          <w:sz w:val="24"/>
          <w:szCs w:val="24"/>
        </w:rPr>
        <w:t>RBQ</w:t>
      </w:r>
      <w:r w:rsidRPr="002514A3">
        <w:rPr>
          <w:rFonts w:ascii="Times New Roman" w:hAnsi="Times New Roman" w:cs="Times New Roman"/>
          <w:sz w:val="24"/>
          <w:szCs w:val="24"/>
        </w:rPr>
        <w:t xml:space="preserve"> is crucial for several reasons and benefits multiple stakeholders, including borrowers, Kiva as a platform, and</w:t>
      </w:r>
      <w:r w:rsidR="00A30E58">
        <w:rPr>
          <w:rFonts w:ascii="Times New Roman" w:hAnsi="Times New Roman" w:cs="Times New Roman" w:hint="eastAsia"/>
          <w:sz w:val="24"/>
          <w:szCs w:val="24"/>
        </w:rPr>
        <w:t xml:space="preserve"> </w:t>
      </w:r>
      <w:r w:rsidRPr="002514A3">
        <w:rPr>
          <w:rFonts w:ascii="Times New Roman" w:hAnsi="Times New Roman" w:cs="Times New Roman"/>
          <w:sz w:val="24"/>
          <w:szCs w:val="24"/>
        </w:rPr>
        <w:t>lenders.</w:t>
      </w:r>
    </w:p>
    <w:p w14:paraId="477EBA15" w14:textId="64068692" w:rsidR="006D3A6B" w:rsidRPr="00856808" w:rsidRDefault="001C2A1A" w:rsidP="006D3A6B">
      <w:pPr>
        <w:spacing w:line="360" w:lineRule="auto"/>
        <w:rPr>
          <w:rFonts w:ascii="Times New Roman" w:hAnsi="Times New Roman" w:cs="Times New Roman" w:hint="eastAsia"/>
          <w:sz w:val="24"/>
          <w:szCs w:val="24"/>
        </w:rPr>
      </w:pPr>
      <w:r w:rsidRPr="004A6B11">
        <w:rPr>
          <w:rFonts w:ascii="Times New Roman" w:hAnsi="Times New Roman" w:cs="Times New Roman"/>
          <w:b/>
          <w:bCs/>
          <w:sz w:val="24"/>
          <w:szCs w:val="24"/>
        </w:rPr>
        <w:t>For</w:t>
      </w:r>
      <w:r w:rsidR="00856808" w:rsidRPr="004A6B11">
        <w:rPr>
          <w:rFonts w:ascii="Times New Roman" w:hAnsi="Times New Roman" w:cs="Times New Roman" w:hint="eastAsia"/>
          <w:b/>
          <w:bCs/>
          <w:sz w:val="24"/>
          <w:szCs w:val="24"/>
        </w:rPr>
        <w:t xml:space="preserve"> </w:t>
      </w:r>
      <w:r w:rsidR="004A6B11">
        <w:rPr>
          <w:rFonts w:ascii="Times New Roman" w:hAnsi="Times New Roman" w:cs="Times New Roman" w:hint="eastAsia"/>
          <w:b/>
          <w:bCs/>
          <w:sz w:val="24"/>
          <w:szCs w:val="24"/>
        </w:rPr>
        <w:t>B</w:t>
      </w:r>
      <w:r w:rsidRPr="004A6B11">
        <w:rPr>
          <w:rFonts w:ascii="Times New Roman" w:hAnsi="Times New Roman" w:cs="Times New Roman"/>
          <w:b/>
          <w:bCs/>
          <w:sz w:val="24"/>
          <w:szCs w:val="24"/>
        </w:rPr>
        <w:t>orrowers</w:t>
      </w:r>
      <w:r w:rsidR="004A6B11">
        <w:rPr>
          <w:rFonts w:ascii="Times New Roman" w:hAnsi="Times New Roman" w:cs="Times New Roman" w:hint="eastAsia"/>
          <w:b/>
          <w:bCs/>
          <w:sz w:val="24"/>
          <w:szCs w:val="24"/>
        </w:rPr>
        <w:t>:</w:t>
      </w:r>
      <w:r w:rsidR="00C13ADF">
        <w:rPr>
          <w:rFonts w:ascii="Times New Roman" w:hAnsi="Times New Roman" w:cs="Times New Roman" w:hint="eastAsia"/>
          <w:sz w:val="24"/>
          <w:szCs w:val="24"/>
        </w:rPr>
        <w:t xml:space="preserve"> </w:t>
      </w:r>
      <w:r w:rsidR="004A6B11">
        <w:rPr>
          <w:rFonts w:ascii="Times New Roman" w:hAnsi="Times New Roman" w:cs="Times New Roman" w:hint="eastAsia"/>
          <w:sz w:val="24"/>
          <w:szCs w:val="24"/>
        </w:rPr>
        <w:t>K</w:t>
      </w:r>
      <w:r w:rsidRPr="001C2A1A">
        <w:rPr>
          <w:rFonts w:ascii="Times New Roman" w:hAnsi="Times New Roman" w:cs="Times New Roman"/>
          <w:sz w:val="24"/>
          <w:szCs w:val="24"/>
        </w:rPr>
        <w:t>nowing which features attract funding</w:t>
      </w:r>
      <w:r w:rsidR="00856808">
        <w:rPr>
          <w:rFonts w:ascii="Times New Roman" w:hAnsi="Times New Roman" w:cs="Times New Roman" w:hint="eastAsia"/>
          <w:sz w:val="24"/>
          <w:szCs w:val="24"/>
        </w:rPr>
        <w:t xml:space="preserve"> can</w:t>
      </w:r>
      <w:r w:rsidRPr="001C2A1A">
        <w:rPr>
          <w:rFonts w:ascii="Times New Roman" w:hAnsi="Times New Roman" w:cs="Times New Roman"/>
          <w:sz w:val="24"/>
          <w:szCs w:val="24"/>
        </w:rPr>
        <w:t xml:space="preserve"> help </w:t>
      </w:r>
      <w:r w:rsidR="004A6B11">
        <w:rPr>
          <w:rFonts w:ascii="Times New Roman" w:hAnsi="Times New Roman" w:cs="Times New Roman" w:hint="eastAsia"/>
          <w:sz w:val="24"/>
          <w:szCs w:val="24"/>
        </w:rPr>
        <w:t>borrowers</w:t>
      </w:r>
      <w:r w:rsidRPr="001C2A1A">
        <w:rPr>
          <w:rFonts w:ascii="Times New Roman" w:hAnsi="Times New Roman" w:cs="Times New Roman"/>
          <w:sz w:val="24"/>
          <w:szCs w:val="24"/>
        </w:rPr>
        <w:t xml:space="preserve"> present their projects better. They </w:t>
      </w:r>
      <w:r w:rsidR="00C01698">
        <w:rPr>
          <w:rFonts w:ascii="Times New Roman" w:hAnsi="Times New Roman" w:cs="Times New Roman" w:hint="eastAsia"/>
          <w:sz w:val="24"/>
          <w:szCs w:val="24"/>
        </w:rPr>
        <w:t>are able to</w:t>
      </w:r>
      <w:r w:rsidRPr="001C2A1A">
        <w:rPr>
          <w:rFonts w:ascii="Times New Roman" w:hAnsi="Times New Roman" w:cs="Times New Roman"/>
          <w:sz w:val="24"/>
          <w:szCs w:val="24"/>
        </w:rPr>
        <w:t xml:space="preserve"> set realistic expectations about their projects' size and goals, which improves their chances of success. For instance, if detailed project descriptions and high-quality images are known to attract more funds, borrowers can focus on these aspects.</w:t>
      </w:r>
    </w:p>
    <w:p w14:paraId="1BA5D382" w14:textId="5AEDBE5C" w:rsidR="00A30E58" w:rsidRPr="00A30E58" w:rsidRDefault="00A30E58" w:rsidP="00A30E58">
      <w:pPr>
        <w:spacing w:line="360" w:lineRule="auto"/>
        <w:rPr>
          <w:rFonts w:ascii="Times New Roman" w:hAnsi="Times New Roman" w:cs="Times New Roman"/>
          <w:sz w:val="24"/>
          <w:szCs w:val="24"/>
        </w:rPr>
      </w:pPr>
      <w:r w:rsidRPr="004A6B11">
        <w:rPr>
          <w:rFonts w:ascii="Times New Roman" w:hAnsi="Times New Roman" w:cs="Times New Roman"/>
          <w:b/>
          <w:bCs/>
          <w:sz w:val="24"/>
          <w:szCs w:val="24"/>
        </w:rPr>
        <w:t>For Kiva</w:t>
      </w:r>
      <w:r w:rsidR="004A6B11">
        <w:rPr>
          <w:rFonts w:ascii="Times New Roman" w:hAnsi="Times New Roman" w:cs="Times New Roman" w:hint="eastAsia"/>
          <w:b/>
          <w:bCs/>
          <w:sz w:val="24"/>
          <w:szCs w:val="24"/>
        </w:rPr>
        <w:t>:</w:t>
      </w:r>
      <w:r w:rsidRPr="00A30E58">
        <w:rPr>
          <w:rFonts w:ascii="Times New Roman" w:hAnsi="Times New Roman" w:cs="Times New Roman"/>
          <w:sz w:val="24"/>
          <w:szCs w:val="24"/>
        </w:rPr>
        <w:t xml:space="preserve"> </w:t>
      </w:r>
      <w:r w:rsidR="004A6B11">
        <w:rPr>
          <w:rFonts w:ascii="Times New Roman" w:hAnsi="Times New Roman" w:cs="Times New Roman" w:hint="eastAsia"/>
          <w:sz w:val="24"/>
          <w:szCs w:val="24"/>
        </w:rPr>
        <w:t>D</w:t>
      </w:r>
      <w:r w:rsidR="00856808">
        <w:rPr>
          <w:rFonts w:ascii="Times New Roman" w:hAnsi="Times New Roman" w:cs="Times New Roman" w:hint="eastAsia"/>
          <w:sz w:val="24"/>
          <w:szCs w:val="24"/>
        </w:rPr>
        <w:t>ata-driven insights</w:t>
      </w:r>
      <w:r w:rsidR="00C01698">
        <w:rPr>
          <w:rFonts w:ascii="Times New Roman" w:hAnsi="Times New Roman" w:cs="Times New Roman" w:hint="eastAsia"/>
          <w:sz w:val="24"/>
          <w:szCs w:val="24"/>
        </w:rPr>
        <w:t xml:space="preserve"> enable </w:t>
      </w:r>
      <w:r w:rsidR="004A6B11">
        <w:rPr>
          <w:rFonts w:ascii="Times New Roman" w:hAnsi="Times New Roman" w:cs="Times New Roman" w:hint="eastAsia"/>
          <w:sz w:val="24"/>
          <w:szCs w:val="24"/>
        </w:rPr>
        <w:t>Kiva</w:t>
      </w:r>
      <w:r w:rsidRPr="00A30E58">
        <w:rPr>
          <w:rFonts w:ascii="Times New Roman" w:hAnsi="Times New Roman" w:cs="Times New Roman"/>
          <w:sz w:val="24"/>
          <w:szCs w:val="24"/>
        </w:rPr>
        <w:t xml:space="preserve"> </w:t>
      </w:r>
      <w:r w:rsidR="00C01698">
        <w:rPr>
          <w:rFonts w:ascii="Times New Roman" w:hAnsi="Times New Roman" w:cs="Times New Roman" w:hint="eastAsia"/>
          <w:sz w:val="24"/>
          <w:szCs w:val="24"/>
        </w:rPr>
        <w:t>to</w:t>
      </w:r>
      <w:r w:rsidRPr="00A30E58">
        <w:rPr>
          <w:rFonts w:ascii="Times New Roman" w:hAnsi="Times New Roman" w:cs="Times New Roman"/>
          <w:sz w:val="24"/>
          <w:szCs w:val="24"/>
        </w:rPr>
        <w:t xml:space="preserve"> offer personalized guidance to borrowers to enhance their chances of success, thus improving the platform's overall impact. </w:t>
      </w:r>
      <w:r w:rsidR="00C01698">
        <w:rPr>
          <w:rFonts w:ascii="Times New Roman" w:hAnsi="Times New Roman" w:cs="Times New Roman" w:hint="eastAsia"/>
          <w:sz w:val="24"/>
          <w:szCs w:val="24"/>
        </w:rPr>
        <w:t>Additionally, Kiva</w:t>
      </w:r>
      <w:r w:rsidRPr="00A30E58">
        <w:rPr>
          <w:rFonts w:ascii="Times New Roman" w:hAnsi="Times New Roman" w:cs="Times New Roman"/>
          <w:sz w:val="24"/>
          <w:szCs w:val="24"/>
        </w:rPr>
        <w:t xml:space="preserve"> could better tailor their business strategy</w:t>
      </w:r>
      <w:r w:rsidR="00856808">
        <w:rPr>
          <w:rFonts w:ascii="Times New Roman" w:hAnsi="Times New Roman" w:cs="Times New Roman" w:hint="eastAsia"/>
          <w:sz w:val="24"/>
          <w:szCs w:val="24"/>
        </w:rPr>
        <w:t xml:space="preserve">. </w:t>
      </w:r>
      <w:r w:rsidR="00C01698">
        <w:rPr>
          <w:rFonts w:ascii="Times New Roman" w:hAnsi="Times New Roman" w:cs="Times New Roman" w:hint="eastAsia"/>
          <w:sz w:val="24"/>
          <w:szCs w:val="24"/>
        </w:rPr>
        <w:t xml:space="preserve">They might </w:t>
      </w:r>
      <w:r w:rsidRPr="00A30E58">
        <w:rPr>
          <w:rFonts w:ascii="Times New Roman" w:hAnsi="Times New Roman" w:cs="Times New Roman"/>
          <w:sz w:val="24"/>
          <w:szCs w:val="24"/>
        </w:rPr>
        <w:t xml:space="preserve">prioritize the projects that are likely to </w:t>
      </w:r>
      <w:r w:rsidR="00856808">
        <w:rPr>
          <w:rFonts w:ascii="Times New Roman" w:hAnsi="Times New Roman" w:cs="Times New Roman" w:hint="eastAsia"/>
          <w:sz w:val="24"/>
          <w:szCs w:val="24"/>
        </w:rPr>
        <w:t>successfully</w:t>
      </w:r>
      <w:r w:rsidR="00856808" w:rsidRPr="00A30E58">
        <w:rPr>
          <w:rFonts w:ascii="Times New Roman" w:hAnsi="Times New Roman" w:cs="Times New Roman"/>
          <w:sz w:val="24"/>
          <w:szCs w:val="24"/>
        </w:rPr>
        <w:t xml:space="preserve"> </w:t>
      </w:r>
      <w:r w:rsidRPr="00A30E58">
        <w:rPr>
          <w:rFonts w:ascii="Times New Roman" w:hAnsi="Times New Roman" w:cs="Times New Roman"/>
          <w:sz w:val="24"/>
          <w:szCs w:val="24"/>
        </w:rPr>
        <w:t>meet their fundraising goals</w:t>
      </w:r>
      <w:r w:rsidR="00C01698">
        <w:rPr>
          <w:rFonts w:ascii="Times New Roman" w:hAnsi="Times New Roman" w:cs="Times New Roman" w:hint="eastAsia"/>
          <w:sz w:val="24"/>
          <w:szCs w:val="24"/>
        </w:rPr>
        <w:t xml:space="preserve">, while </w:t>
      </w:r>
      <w:r w:rsidRPr="00A30E58">
        <w:rPr>
          <w:rFonts w:ascii="Times New Roman" w:hAnsi="Times New Roman" w:cs="Times New Roman"/>
          <w:sz w:val="24"/>
          <w:szCs w:val="24"/>
        </w:rPr>
        <w:t>support</w:t>
      </w:r>
      <w:r w:rsidR="00C01698">
        <w:rPr>
          <w:rFonts w:ascii="Times New Roman" w:hAnsi="Times New Roman" w:cs="Times New Roman" w:hint="eastAsia"/>
          <w:sz w:val="24"/>
          <w:szCs w:val="24"/>
        </w:rPr>
        <w:t xml:space="preserve">ing </w:t>
      </w:r>
      <w:r w:rsidR="00856808">
        <w:rPr>
          <w:rFonts w:ascii="Times New Roman" w:hAnsi="Times New Roman" w:cs="Times New Roman" w:hint="eastAsia"/>
          <w:sz w:val="24"/>
          <w:szCs w:val="24"/>
        </w:rPr>
        <w:t>projects</w:t>
      </w:r>
      <w:r w:rsidRPr="00A30E58">
        <w:rPr>
          <w:rFonts w:ascii="Times New Roman" w:hAnsi="Times New Roman" w:cs="Times New Roman"/>
          <w:sz w:val="24"/>
          <w:szCs w:val="24"/>
        </w:rPr>
        <w:t xml:space="preserve"> </w:t>
      </w:r>
      <w:r w:rsidR="00856808">
        <w:rPr>
          <w:rFonts w:ascii="Times New Roman" w:hAnsi="Times New Roman" w:cs="Times New Roman"/>
          <w:sz w:val="24"/>
          <w:szCs w:val="24"/>
        </w:rPr>
        <w:t xml:space="preserve">that </w:t>
      </w:r>
      <w:r w:rsidRPr="00A30E58">
        <w:rPr>
          <w:rFonts w:ascii="Times New Roman" w:hAnsi="Times New Roman" w:cs="Times New Roman"/>
          <w:sz w:val="24"/>
          <w:szCs w:val="24"/>
        </w:rPr>
        <w:t xml:space="preserve">are unlikely to be funded by showcasing them </w:t>
      </w:r>
      <w:r>
        <w:rPr>
          <w:rFonts w:ascii="Times New Roman" w:hAnsi="Times New Roman" w:cs="Times New Roman"/>
          <w:sz w:val="24"/>
          <w:szCs w:val="24"/>
        </w:rPr>
        <w:t>on</w:t>
      </w:r>
      <w:r w:rsidRPr="00A30E58">
        <w:rPr>
          <w:rFonts w:ascii="Times New Roman" w:hAnsi="Times New Roman" w:cs="Times New Roman"/>
          <w:sz w:val="24"/>
          <w:szCs w:val="24"/>
        </w:rPr>
        <w:t xml:space="preserve"> the </w:t>
      </w:r>
      <w:r>
        <w:rPr>
          <w:rFonts w:ascii="Times New Roman" w:hAnsi="Times New Roman" w:cs="Times New Roman"/>
          <w:sz w:val="24"/>
          <w:szCs w:val="24"/>
        </w:rPr>
        <w:t>front page</w:t>
      </w:r>
      <w:r w:rsidRPr="00A30E58">
        <w:rPr>
          <w:rFonts w:ascii="Times New Roman" w:hAnsi="Times New Roman" w:cs="Times New Roman"/>
          <w:sz w:val="24"/>
          <w:szCs w:val="24"/>
        </w:rPr>
        <w:t xml:space="preserve"> to increase attraction and engagement.</w:t>
      </w:r>
    </w:p>
    <w:p w14:paraId="1A15C70B" w14:textId="09C410B5" w:rsidR="00A30E58" w:rsidRDefault="00A30E58" w:rsidP="00A30E58">
      <w:pPr>
        <w:spacing w:line="360" w:lineRule="auto"/>
        <w:rPr>
          <w:rFonts w:ascii="Times New Roman" w:hAnsi="Times New Roman" w:cs="Times New Roman"/>
          <w:sz w:val="24"/>
          <w:szCs w:val="24"/>
        </w:rPr>
      </w:pPr>
      <w:r w:rsidRPr="004A6B11">
        <w:rPr>
          <w:rFonts w:ascii="Times New Roman" w:hAnsi="Times New Roman" w:cs="Times New Roman"/>
          <w:b/>
          <w:bCs/>
          <w:sz w:val="24"/>
          <w:szCs w:val="24"/>
        </w:rPr>
        <w:t xml:space="preserve">For </w:t>
      </w:r>
      <w:r w:rsidR="004A6B11">
        <w:rPr>
          <w:rFonts w:ascii="Times New Roman" w:hAnsi="Times New Roman" w:cs="Times New Roman" w:hint="eastAsia"/>
          <w:b/>
          <w:bCs/>
          <w:sz w:val="24"/>
          <w:szCs w:val="24"/>
        </w:rPr>
        <w:t>L</w:t>
      </w:r>
      <w:r w:rsidRPr="004A6B11">
        <w:rPr>
          <w:rFonts w:ascii="Times New Roman" w:hAnsi="Times New Roman" w:cs="Times New Roman"/>
          <w:b/>
          <w:bCs/>
          <w:sz w:val="24"/>
          <w:szCs w:val="24"/>
        </w:rPr>
        <w:t>enders</w:t>
      </w:r>
      <w:r w:rsidR="004A6B11">
        <w:rPr>
          <w:rFonts w:ascii="Times New Roman" w:hAnsi="Times New Roman" w:cs="Times New Roman" w:hint="eastAsia"/>
          <w:b/>
          <w:bCs/>
          <w:sz w:val="24"/>
          <w:szCs w:val="24"/>
        </w:rPr>
        <w:t>:</w:t>
      </w:r>
      <w:r w:rsidRPr="00A30E58">
        <w:rPr>
          <w:rFonts w:ascii="Times New Roman" w:hAnsi="Times New Roman" w:cs="Times New Roman"/>
          <w:sz w:val="24"/>
          <w:szCs w:val="24"/>
        </w:rPr>
        <w:t xml:space="preserve"> </w:t>
      </w:r>
      <w:r w:rsidR="004A6B11">
        <w:rPr>
          <w:rFonts w:ascii="Times New Roman" w:hAnsi="Times New Roman" w:cs="Times New Roman" w:hint="eastAsia"/>
          <w:sz w:val="24"/>
          <w:szCs w:val="24"/>
        </w:rPr>
        <w:t>P</w:t>
      </w:r>
      <w:r w:rsidRPr="00A30E58">
        <w:rPr>
          <w:rFonts w:ascii="Times New Roman" w:hAnsi="Times New Roman" w:cs="Times New Roman"/>
          <w:sz w:val="24"/>
          <w:szCs w:val="24"/>
        </w:rPr>
        <w:t xml:space="preserve">redictive </w:t>
      </w:r>
      <w:r w:rsidR="00E30D21">
        <w:rPr>
          <w:rFonts w:ascii="Times New Roman" w:hAnsi="Times New Roman" w:cs="Times New Roman"/>
          <w:sz w:val="24"/>
          <w:szCs w:val="24"/>
        </w:rPr>
        <w:t>tools</w:t>
      </w:r>
      <w:r w:rsidR="004A6B11">
        <w:rPr>
          <w:rFonts w:ascii="Times New Roman" w:hAnsi="Times New Roman" w:cs="Times New Roman" w:hint="eastAsia"/>
          <w:sz w:val="24"/>
          <w:szCs w:val="24"/>
        </w:rPr>
        <w:t xml:space="preserve"> assist</w:t>
      </w:r>
      <w:r w:rsidRPr="00A30E58">
        <w:rPr>
          <w:rFonts w:ascii="Times New Roman" w:hAnsi="Times New Roman" w:cs="Times New Roman"/>
          <w:sz w:val="24"/>
          <w:szCs w:val="24"/>
        </w:rPr>
        <w:t xml:space="preserve"> </w:t>
      </w:r>
      <w:r w:rsidR="004A6B11">
        <w:rPr>
          <w:rFonts w:ascii="Times New Roman" w:hAnsi="Times New Roman" w:cs="Times New Roman" w:hint="eastAsia"/>
          <w:sz w:val="24"/>
          <w:szCs w:val="24"/>
        </w:rPr>
        <w:t>lenders in</w:t>
      </w:r>
      <w:r w:rsidRPr="00A30E58">
        <w:rPr>
          <w:rFonts w:ascii="Times New Roman" w:hAnsi="Times New Roman" w:cs="Times New Roman"/>
          <w:sz w:val="24"/>
          <w:szCs w:val="24"/>
        </w:rPr>
        <w:t xml:space="preserve"> deci</w:t>
      </w:r>
      <w:r w:rsidR="004A6B11">
        <w:rPr>
          <w:rFonts w:ascii="Times New Roman" w:hAnsi="Times New Roman" w:cs="Times New Roman" w:hint="eastAsia"/>
          <w:sz w:val="24"/>
          <w:szCs w:val="24"/>
        </w:rPr>
        <w:t>ding</w:t>
      </w:r>
      <w:r w:rsidRPr="00A30E58">
        <w:rPr>
          <w:rFonts w:ascii="Times New Roman" w:hAnsi="Times New Roman" w:cs="Times New Roman"/>
          <w:sz w:val="24"/>
          <w:szCs w:val="24"/>
        </w:rPr>
        <w:t xml:space="preserve"> which projects are more likely to fulfill their funding goals, </w:t>
      </w:r>
      <w:r w:rsidR="004A6B11">
        <w:rPr>
          <w:rFonts w:ascii="Times New Roman" w:hAnsi="Times New Roman" w:cs="Times New Roman" w:hint="eastAsia"/>
          <w:sz w:val="24"/>
          <w:szCs w:val="24"/>
        </w:rPr>
        <w:t xml:space="preserve">thereby </w:t>
      </w:r>
      <w:r w:rsidRPr="00A30E58">
        <w:rPr>
          <w:rFonts w:ascii="Times New Roman" w:hAnsi="Times New Roman" w:cs="Times New Roman"/>
          <w:sz w:val="24"/>
          <w:szCs w:val="24"/>
        </w:rPr>
        <w:t xml:space="preserve">enhancing investment decisions. For example, if certain projects are unlikely to meet their goals, lenders might consider supporting them </w:t>
      </w:r>
      <w:r>
        <w:rPr>
          <w:rFonts w:ascii="Times New Roman" w:hAnsi="Times New Roman" w:cs="Times New Roman" w:hint="eastAsia"/>
          <w:sz w:val="24"/>
          <w:szCs w:val="24"/>
        </w:rPr>
        <w:t xml:space="preserve">more carefully </w:t>
      </w:r>
      <w:r w:rsidRPr="00A30E58">
        <w:rPr>
          <w:rFonts w:ascii="Times New Roman" w:hAnsi="Times New Roman" w:cs="Times New Roman"/>
          <w:sz w:val="24"/>
          <w:szCs w:val="24"/>
        </w:rPr>
        <w:t xml:space="preserve">or </w:t>
      </w:r>
      <w:r>
        <w:rPr>
          <w:rFonts w:ascii="Times New Roman" w:hAnsi="Times New Roman" w:cs="Times New Roman" w:hint="eastAsia"/>
          <w:sz w:val="24"/>
          <w:szCs w:val="24"/>
        </w:rPr>
        <w:t>avoid</w:t>
      </w:r>
      <w:r w:rsidRPr="00A30E58">
        <w:rPr>
          <w:rFonts w:ascii="Times New Roman" w:hAnsi="Times New Roman" w:cs="Times New Roman"/>
          <w:sz w:val="24"/>
          <w:szCs w:val="24"/>
        </w:rPr>
        <w:t xml:space="preserve"> potential setbacks</w:t>
      </w:r>
      <w:r>
        <w:rPr>
          <w:rFonts w:ascii="Times New Roman" w:hAnsi="Times New Roman" w:cs="Times New Roman" w:hint="eastAsia"/>
          <w:sz w:val="24"/>
          <w:szCs w:val="24"/>
        </w:rPr>
        <w:t>.</w:t>
      </w:r>
    </w:p>
    <w:p w14:paraId="1A3054E1" w14:textId="77777777" w:rsidR="00A30E58" w:rsidRPr="006D3A6B" w:rsidRDefault="00A30E58" w:rsidP="006D3A6B">
      <w:pPr>
        <w:spacing w:line="360" w:lineRule="auto"/>
        <w:rPr>
          <w:rFonts w:ascii="Times New Roman" w:hAnsi="Times New Roman" w:cs="Times New Roman" w:hint="eastAsia"/>
          <w:b/>
          <w:bCs/>
          <w:sz w:val="24"/>
          <w:szCs w:val="24"/>
        </w:rPr>
      </w:pPr>
    </w:p>
    <w:p w14:paraId="687BD9BD" w14:textId="7F4B9BFA" w:rsidR="006D3A6B" w:rsidRDefault="006D3A6B" w:rsidP="006D3A6B">
      <w:pPr>
        <w:spacing w:line="360" w:lineRule="auto"/>
        <w:rPr>
          <w:rFonts w:ascii="Times New Roman" w:hAnsi="Times New Roman" w:cs="Times New Roman"/>
          <w:b/>
          <w:bCs/>
          <w:sz w:val="24"/>
          <w:szCs w:val="24"/>
        </w:rPr>
      </w:pPr>
      <w:r w:rsidRPr="006D3A6B">
        <w:rPr>
          <w:rFonts w:ascii="Times New Roman" w:hAnsi="Times New Roman" w:cs="Times New Roman"/>
          <w:b/>
          <w:bCs/>
          <w:sz w:val="24"/>
          <w:szCs w:val="24"/>
        </w:rPr>
        <w:t>Prior Research and Practices</w:t>
      </w:r>
    </w:p>
    <w:p w14:paraId="3EF82785" w14:textId="574ECE16" w:rsidR="008E4F93" w:rsidRPr="008E4F93" w:rsidRDefault="008E4F93" w:rsidP="008E4F93">
      <w:pPr>
        <w:spacing w:line="360" w:lineRule="auto"/>
        <w:rPr>
          <w:rFonts w:ascii="Times New Roman" w:hAnsi="Times New Roman" w:cs="Times New Roman" w:hint="eastAsia"/>
          <w:sz w:val="24"/>
          <w:szCs w:val="24"/>
        </w:rPr>
      </w:pPr>
      <w:r w:rsidRPr="008E4F93">
        <w:rPr>
          <w:rFonts w:ascii="Times New Roman" w:hAnsi="Times New Roman" w:cs="Times New Roman"/>
          <w:sz w:val="24"/>
          <w:szCs w:val="24"/>
        </w:rPr>
        <w:t xml:space="preserve">Prior research and business practices have consistently highlighted several key factors that significantly influence the success of crowdfunding and microfinance projects. These factors include project characteristics such as sector, amount requested, description text, duration of the fundraising campaign, use of multimedia (photos, videos), loan distribution, risk rating, profitability, and loan funding type (Paruthi et al., </w:t>
      </w:r>
      <w:r w:rsidRPr="008E4F93">
        <w:rPr>
          <w:rFonts w:ascii="Times New Roman" w:hAnsi="Times New Roman" w:cs="Times New Roman"/>
          <w:sz w:val="24"/>
          <w:szCs w:val="24"/>
        </w:rPr>
        <w:lastRenderedPageBreak/>
        <w:t xml:space="preserve">2016; </w:t>
      </w:r>
      <w:proofErr w:type="spellStart"/>
      <w:r w:rsidRPr="008E4F93">
        <w:rPr>
          <w:rFonts w:ascii="Times New Roman" w:hAnsi="Times New Roman" w:cs="Times New Roman"/>
          <w:sz w:val="24"/>
          <w:szCs w:val="24"/>
        </w:rPr>
        <w:t>Belleflamme</w:t>
      </w:r>
      <w:proofErr w:type="spellEnd"/>
      <w:r w:rsidRPr="008E4F93">
        <w:rPr>
          <w:rFonts w:ascii="Times New Roman" w:hAnsi="Times New Roman" w:cs="Times New Roman"/>
          <w:sz w:val="24"/>
          <w:szCs w:val="24"/>
        </w:rPr>
        <w:t xml:space="preserve">, Lambert, &amp; </w:t>
      </w:r>
      <w:proofErr w:type="spellStart"/>
      <w:r w:rsidRPr="008E4F93">
        <w:rPr>
          <w:rFonts w:ascii="Times New Roman" w:hAnsi="Times New Roman" w:cs="Times New Roman"/>
          <w:sz w:val="24"/>
          <w:szCs w:val="24"/>
        </w:rPr>
        <w:t>Schwienbacher</w:t>
      </w:r>
      <w:proofErr w:type="spellEnd"/>
      <w:r w:rsidRPr="008E4F93">
        <w:rPr>
          <w:rFonts w:ascii="Times New Roman" w:hAnsi="Times New Roman" w:cs="Times New Roman"/>
          <w:sz w:val="24"/>
          <w:szCs w:val="24"/>
        </w:rPr>
        <w:t>, 2014).</w:t>
      </w:r>
    </w:p>
    <w:p w14:paraId="7010B2F1" w14:textId="1D5D6C31" w:rsidR="004D1DCB" w:rsidRDefault="008E4F93" w:rsidP="008E4F93">
      <w:pPr>
        <w:spacing w:line="360" w:lineRule="auto"/>
        <w:rPr>
          <w:rFonts w:ascii="Times New Roman" w:hAnsi="Times New Roman" w:cs="Times New Roman"/>
          <w:sz w:val="24"/>
          <w:szCs w:val="24"/>
        </w:rPr>
      </w:pPr>
      <w:r w:rsidRPr="008E4F93">
        <w:rPr>
          <w:rFonts w:ascii="Times New Roman" w:hAnsi="Times New Roman" w:cs="Times New Roman"/>
          <w:sz w:val="24"/>
          <w:szCs w:val="24"/>
        </w:rPr>
        <w:t xml:space="preserve">In microfinance, borrower credibility, economic conditions, and the social impact of the project are crucial. </w:t>
      </w:r>
      <w:proofErr w:type="spellStart"/>
      <w:r w:rsidRPr="008E4F93">
        <w:rPr>
          <w:rFonts w:ascii="Times New Roman" w:hAnsi="Times New Roman" w:cs="Times New Roman"/>
          <w:sz w:val="24"/>
          <w:szCs w:val="24"/>
        </w:rPr>
        <w:t>Dorfleitner</w:t>
      </w:r>
      <w:proofErr w:type="spellEnd"/>
      <w:r w:rsidRPr="008E4F93">
        <w:rPr>
          <w:rFonts w:ascii="Times New Roman" w:hAnsi="Times New Roman" w:cs="Times New Roman"/>
          <w:sz w:val="24"/>
          <w:szCs w:val="24"/>
        </w:rPr>
        <w:t xml:space="preserve">, Oswald, and Zhang (2021) found that projects with higher social impact scores attract more funding. </w:t>
      </w:r>
      <w:proofErr w:type="spellStart"/>
      <w:r w:rsidRPr="008E4F93">
        <w:rPr>
          <w:rFonts w:ascii="Times New Roman" w:hAnsi="Times New Roman" w:cs="Times New Roman"/>
          <w:sz w:val="24"/>
          <w:szCs w:val="24"/>
        </w:rPr>
        <w:t>Agier</w:t>
      </w:r>
      <w:proofErr w:type="spellEnd"/>
      <w:r w:rsidRPr="008E4F93">
        <w:rPr>
          <w:rFonts w:ascii="Times New Roman" w:hAnsi="Times New Roman" w:cs="Times New Roman"/>
          <w:sz w:val="24"/>
          <w:szCs w:val="24"/>
        </w:rPr>
        <w:t xml:space="preserve"> and </w:t>
      </w:r>
      <w:proofErr w:type="spellStart"/>
      <w:r w:rsidRPr="008E4F93">
        <w:rPr>
          <w:rFonts w:ascii="Times New Roman" w:hAnsi="Times New Roman" w:cs="Times New Roman"/>
          <w:sz w:val="24"/>
          <w:szCs w:val="24"/>
        </w:rPr>
        <w:t>Szafarz</w:t>
      </w:r>
      <w:proofErr w:type="spellEnd"/>
      <w:r w:rsidRPr="008E4F93">
        <w:rPr>
          <w:rFonts w:ascii="Times New Roman" w:hAnsi="Times New Roman" w:cs="Times New Roman"/>
          <w:sz w:val="24"/>
          <w:szCs w:val="24"/>
        </w:rPr>
        <w:t xml:space="preserve"> (2013) revealed a "glass ceiling" effect in loan sizes for female borrowers, underscoring the importance of demographic factors such as gender, age, location, education level, and economic background.</w:t>
      </w:r>
      <w:r w:rsidR="00641AF0">
        <w:rPr>
          <w:rFonts w:ascii="Times New Roman" w:hAnsi="Times New Roman" w:cs="Times New Roman" w:hint="eastAsia"/>
          <w:sz w:val="24"/>
          <w:szCs w:val="24"/>
        </w:rPr>
        <w:t xml:space="preserve"> </w:t>
      </w:r>
      <w:r w:rsidRPr="008E4F93">
        <w:rPr>
          <w:rFonts w:ascii="Times New Roman" w:hAnsi="Times New Roman" w:cs="Times New Roman"/>
          <w:sz w:val="24"/>
          <w:szCs w:val="24"/>
        </w:rPr>
        <w:t xml:space="preserve">Cultural and emotional factors also play a significant role. Park et al. (2020) demonstrated that culturally valued facial expressions enhance loan success, while </w:t>
      </w:r>
      <w:proofErr w:type="spellStart"/>
      <w:r w:rsidRPr="008E4F93">
        <w:rPr>
          <w:rFonts w:ascii="Times New Roman" w:hAnsi="Times New Roman" w:cs="Times New Roman"/>
          <w:sz w:val="24"/>
          <w:szCs w:val="24"/>
        </w:rPr>
        <w:t>Pengnate</w:t>
      </w:r>
      <w:proofErr w:type="spellEnd"/>
      <w:r w:rsidRPr="008E4F93">
        <w:rPr>
          <w:rFonts w:ascii="Times New Roman" w:hAnsi="Times New Roman" w:cs="Times New Roman"/>
          <w:sz w:val="24"/>
          <w:szCs w:val="24"/>
        </w:rPr>
        <w:t xml:space="preserve"> and Riggins (2020) found that the emotional tone of project descriptions significantly impacts funding outcomes.</w:t>
      </w:r>
    </w:p>
    <w:p w14:paraId="256D7458" w14:textId="240C55D1" w:rsidR="00641AF0" w:rsidRPr="00641AF0" w:rsidRDefault="00641AF0" w:rsidP="00641AF0">
      <w:pPr>
        <w:spacing w:line="360" w:lineRule="auto"/>
        <w:rPr>
          <w:rFonts w:ascii="Times New Roman" w:hAnsi="Times New Roman" w:cs="Times New Roman" w:hint="eastAsia"/>
          <w:sz w:val="24"/>
          <w:szCs w:val="24"/>
        </w:rPr>
      </w:pPr>
      <w:r w:rsidRPr="00641AF0">
        <w:rPr>
          <w:rFonts w:ascii="Times New Roman" w:hAnsi="Times New Roman" w:cs="Times New Roman"/>
          <w:sz w:val="24"/>
          <w:szCs w:val="24"/>
        </w:rPr>
        <w:t>Although Kiva has conducted analyses on general success rates, there is potential to fully leverage predictive analytics for forecasting project outcomes by investigating the most updated lender preferences and the dynamic interactions between borrowers and lenders. Existing analyses may not deeply explore these areas, presenting an opportunity for deeper insights and improved predictive models (</w:t>
      </w:r>
      <w:proofErr w:type="spellStart"/>
      <w:r w:rsidRPr="00641AF0">
        <w:rPr>
          <w:rFonts w:ascii="Times New Roman" w:hAnsi="Times New Roman" w:cs="Times New Roman"/>
          <w:sz w:val="24"/>
          <w:szCs w:val="24"/>
        </w:rPr>
        <w:t>Bouncken</w:t>
      </w:r>
      <w:proofErr w:type="spellEnd"/>
      <w:r w:rsidRPr="00641AF0">
        <w:rPr>
          <w:rFonts w:ascii="Times New Roman" w:hAnsi="Times New Roman" w:cs="Times New Roman"/>
          <w:sz w:val="24"/>
          <w:szCs w:val="24"/>
        </w:rPr>
        <w:t>, Komorek, &amp; Kraus, 2015; Cumming, Meoli, &amp; Vismara, 2019).</w:t>
      </w:r>
    </w:p>
    <w:p w14:paraId="3AB8EDAC" w14:textId="73152CFB" w:rsidR="00641AF0" w:rsidRDefault="00641AF0" w:rsidP="00641AF0">
      <w:pPr>
        <w:spacing w:line="360" w:lineRule="auto"/>
        <w:rPr>
          <w:rFonts w:ascii="Times New Roman" w:hAnsi="Times New Roman" w:cs="Times New Roman"/>
          <w:sz w:val="24"/>
          <w:szCs w:val="24"/>
        </w:rPr>
      </w:pPr>
      <w:r w:rsidRPr="00641AF0">
        <w:rPr>
          <w:rFonts w:ascii="Times New Roman" w:hAnsi="Times New Roman" w:cs="Times New Roman"/>
          <w:sz w:val="24"/>
          <w:szCs w:val="24"/>
        </w:rPr>
        <w:t>In summary, integrating these insights from prior research provides a robust foundation for understanding the key features that contribute to the success of Kiva projects. This understanding can help develop more effective strategies for enhancing project presentations, supporting successful fundraising, and better engaging lenders.</w:t>
      </w:r>
    </w:p>
    <w:p w14:paraId="2979B1E9" w14:textId="77777777" w:rsidR="00641AF0" w:rsidRDefault="00641AF0" w:rsidP="008E4F93">
      <w:pPr>
        <w:spacing w:line="360" w:lineRule="auto"/>
        <w:rPr>
          <w:rFonts w:ascii="Times New Roman" w:hAnsi="Times New Roman" w:cs="Times New Roman" w:hint="eastAsia"/>
          <w:sz w:val="24"/>
          <w:szCs w:val="24"/>
        </w:rPr>
      </w:pPr>
    </w:p>
    <w:p w14:paraId="64426F61" w14:textId="167257BE" w:rsidR="004D1DCB" w:rsidRPr="004D1DCB" w:rsidRDefault="004D1DCB" w:rsidP="008E4F93">
      <w:pPr>
        <w:spacing w:line="360" w:lineRule="auto"/>
        <w:rPr>
          <w:rFonts w:ascii="Times New Roman" w:hAnsi="Times New Roman" w:cs="Times New Roman" w:hint="eastAsia"/>
          <w:b/>
          <w:bCs/>
          <w:sz w:val="24"/>
          <w:szCs w:val="24"/>
        </w:rPr>
      </w:pPr>
      <w:r w:rsidRPr="004D1DCB">
        <w:rPr>
          <w:rFonts w:ascii="Times New Roman" w:hAnsi="Times New Roman" w:cs="Times New Roman" w:hint="eastAsia"/>
          <w:b/>
          <w:bCs/>
          <w:sz w:val="24"/>
          <w:szCs w:val="24"/>
        </w:rPr>
        <w:t>References</w:t>
      </w:r>
      <w:r>
        <w:rPr>
          <w:rFonts w:ascii="Times New Roman" w:hAnsi="Times New Roman" w:cs="Times New Roman" w:hint="eastAsia"/>
          <w:b/>
          <w:bCs/>
          <w:sz w:val="24"/>
          <w:szCs w:val="24"/>
        </w:rPr>
        <w:t xml:space="preserve"> (updated)</w:t>
      </w:r>
    </w:p>
    <w:p w14:paraId="2319C04E" w14:textId="052969FF" w:rsidR="00870CBA" w:rsidRPr="00870CBA" w:rsidRDefault="004D1DCB" w:rsidP="004D1DCB">
      <w:pPr>
        <w:spacing w:before="240"/>
        <w:rPr>
          <w:rFonts w:ascii="Times New Roman" w:hAnsi="Times New Roman" w:cs="Times New Roman" w:hint="eastAsia"/>
          <w:color w:val="1155CC"/>
          <w:sz w:val="24"/>
          <w:szCs w:val="24"/>
          <w:highlight w:val="white"/>
          <w:u w:val="single"/>
        </w:rPr>
      </w:pPr>
      <w:proofErr w:type="spellStart"/>
      <w:r>
        <w:rPr>
          <w:rFonts w:ascii="Times New Roman" w:eastAsia="Times New Roman" w:hAnsi="Times New Roman" w:cs="Times New Roman"/>
          <w:color w:val="222222"/>
          <w:sz w:val="24"/>
          <w:szCs w:val="24"/>
          <w:highlight w:val="white"/>
        </w:rPr>
        <w:t>Agier</w:t>
      </w:r>
      <w:proofErr w:type="spellEnd"/>
      <w:r>
        <w:rPr>
          <w:rFonts w:ascii="Times New Roman" w:eastAsia="Times New Roman" w:hAnsi="Times New Roman" w:cs="Times New Roman"/>
          <w:color w:val="222222"/>
          <w:sz w:val="24"/>
          <w:szCs w:val="24"/>
          <w:highlight w:val="white"/>
        </w:rPr>
        <w:t xml:space="preserve">, I., &amp; </w:t>
      </w:r>
      <w:proofErr w:type="spellStart"/>
      <w:r>
        <w:rPr>
          <w:rFonts w:ascii="Times New Roman" w:eastAsia="Times New Roman" w:hAnsi="Times New Roman" w:cs="Times New Roman"/>
          <w:color w:val="222222"/>
          <w:sz w:val="24"/>
          <w:szCs w:val="24"/>
          <w:highlight w:val="white"/>
        </w:rPr>
        <w:t>Szafarz</w:t>
      </w:r>
      <w:proofErr w:type="spellEnd"/>
      <w:r>
        <w:rPr>
          <w:rFonts w:ascii="Times New Roman" w:eastAsia="Times New Roman" w:hAnsi="Times New Roman" w:cs="Times New Roman"/>
          <w:color w:val="222222"/>
          <w:sz w:val="24"/>
          <w:szCs w:val="24"/>
          <w:highlight w:val="white"/>
        </w:rPr>
        <w:t xml:space="preserve">, A. (2013). Microfinance and gender: Is there a glass ceiling on loan </w:t>
      </w:r>
      <w:proofErr w:type="gramStart"/>
      <w:r>
        <w:rPr>
          <w:rFonts w:ascii="Times New Roman" w:eastAsia="Times New Roman" w:hAnsi="Times New Roman" w:cs="Times New Roman"/>
          <w:color w:val="222222"/>
          <w:sz w:val="24"/>
          <w:szCs w:val="24"/>
          <w:highlight w:val="white"/>
        </w:rPr>
        <w:t>size?.</w:t>
      </w:r>
      <w:proofErr w:type="gram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World development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42</w:t>
      </w:r>
      <w:r>
        <w:rPr>
          <w:rFonts w:ascii="Times New Roman" w:eastAsia="Times New Roman" w:hAnsi="Times New Roman" w:cs="Times New Roman"/>
          <w:color w:val="222222"/>
          <w:sz w:val="24"/>
          <w:szCs w:val="24"/>
          <w:highlight w:val="white"/>
        </w:rPr>
        <w:t>, 165-181.</w:t>
      </w:r>
      <w:r w:rsidR="00870CBA">
        <w:rPr>
          <w:rFonts w:ascii="Times New Roman" w:hAnsi="Times New Roman" w:cs="Times New Roman" w:hint="eastAsia"/>
          <w:color w:val="222222"/>
          <w:sz w:val="24"/>
          <w:szCs w:val="24"/>
        </w:rPr>
        <w:t xml:space="preserve">   </w:t>
      </w:r>
      <w:hyperlink r:id="rId7" w:history="1">
        <w:r w:rsidR="00870CBA" w:rsidRPr="002966C1">
          <w:rPr>
            <w:rStyle w:val="a9"/>
            <w:rFonts w:ascii="Times New Roman" w:eastAsia="Times New Roman" w:hAnsi="Times New Roman" w:cs="Times New Roman"/>
            <w:sz w:val="24"/>
            <w:szCs w:val="24"/>
            <w:highlight w:val="white"/>
          </w:rPr>
          <w:t>https://doi.org/10.1016/j.worlddev.2012.06.016</w:t>
        </w:r>
      </w:hyperlink>
    </w:p>
    <w:p w14:paraId="56605CA8" w14:textId="20D3FD22" w:rsidR="00870CBA" w:rsidRPr="00870CBA" w:rsidRDefault="00870CBA" w:rsidP="00870CBA">
      <w:pPr>
        <w:spacing w:before="240"/>
        <w:rPr>
          <w:rFonts w:ascii="Times New Roman" w:hAnsi="Times New Roman" w:cs="Times New Roman" w:hint="eastAsia"/>
          <w:sz w:val="24"/>
          <w:szCs w:val="24"/>
        </w:rPr>
      </w:pPr>
      <w:proofErr w:type="spellStart"/>
      <w:r w:rsidRPr="00870CBA">
        <w:rPr>
          <w:rFonts w:ascii="Times New Roman" w:hAnsi="Times New Roman" w:cs="Times New Roman"/>
          <w:sz w:val="24"/>
          <w:szCs w:val="24"/>
        </w:rPr>
        <w:t>Belleflamme</w:t>
      </w:r>
      <w:proofErr w:type="spellEnd"/>
      <w:r w:rsidRPr="00870CBA">
        <w:rPr>
          <w:rFonts w:ascii="Times New Roman" w:hAnsi="Times New Roman" w:cs="Times New Roman"/>
          <w:sz w:val="24"/>
          <w:szCs w:val="24"/>
        </w:rPr>
        <w:t xml:space="preserve">, P., Lambert, T., &amp; </w:t>
      </w:r>
      <w:proofErr w:type="spellStart"/>
      <w:r w:rsidRPr="00870CBA">
        <w:rPr>
          <w:rFonts w:ascii="Times New Roman" w:hAnsi="Times New Roman" w:cs="Times New Roman"/>
          <w:sz w:val="24"/>
          <w:szCs w:val="24"/>
        </w:rPr>
        <w:t>Schwienbacher</w:t>
      </w:r>
      <w:proofErr w:type="spellEnd"/>
      <w:r w:rsidRPr="00870CBA">
        <w:rPr>
          <w:rFonts w:ascii="Times New Roman" w:hAnsi="Times New Roman" w:cs="Times New Roman"/>
          <w:sz w:val="24"/>
          <w:szCs w:val="24"/>
        </w:rPr>
        <w:t>, A. (2014). Crowdfunding: Tapping the right crowd. Journal of Business Venturing, 29, 585-609.</w:t>
      </w:r>
      <w:r>
        <w:rPr>
          <w:rFonts w:ascii="Times New Roman" w:hAnsi="Times New Roman" w:cs="Times New Roman" w:hint="eastAsia"/>
          <w:sz w:val="24"/>
          <w:szCs w:val="24"/>
        </w:rPr>
        <w:t xml:space="preserve"> </w:t>
      </w:r>
      <w:hyperlink r:id="rId8" w:history="1">
        <w:r w:rsidRPr="002966C1">
          <w:rPr>
            <w:rStyle w:val="a9"/>
            <w:rFonts w:ascii="Times New Roman" w:hAnsi="Times New Roman" w:cs="Times New Roman"/>
            <w:sz w:val="24"/>
            <w:szCs w:val="24"/>
          </w:rPr>
          <w:t>https://doi.org/10.1016/j.jbusvent.2013.07.003</w:t>
        </w:r>
      </w:hyperlink>
    </w:p>
    <w:p w14:paraId="0551193C" w14:textId="308EA576" w:rsidR="00870CBA" w:rsidRPr="00870CBA" w:rsidRDefault="00870CBA" w:rsidP="00870CBA">
      <w:pPr>
        <w:spacing w:before="240"/>
        <w:rPr>
          <w:rFonts w:ascii="Times New Roman" w:hAnsi="Times New Roman" w:cs="Times New Roman" w:hint="eastAsia"/>
          <w:sz w:val="24"/>
          <w:szCs w:val="24"/>
        </w:rPr>
      </w:pPr>
      <w:proofErr w:type="spellStart"/>
      <w:r w:rsidRPr="00870CBA">
        <w:rPr>
          <w:rFonts w:ascii="Times New Roman" w:hAnsi="Times New Roman" w:cs="Times New Roman"/>
          <w:sz w:val="24"/>
          <w:szCs w:val="24"/>
        </w:rPr>
        <w:t>Bouncken</w:t>
      </w:r>
      <w:proofErr w:type="spellEnd"/>
      <w:r w:rsidRPr="00870CBA">
        <w:rPr>
          <w:rFonts w:ascii="Times New Roman" w:hAnsi="Times New Roman" w:cs="Times New Roman"/>
          <w:sz w:val="24"/>
          <w:szCs w:val="24"/>
        </w:rPr>
        <w:t>, R. B., Komorek, M., &amp; Kraus, S. (2015). Crowdfunding: The current state of research. International Business &amp; Economics Research Journal, 14, 407.</w:t>
      </w:r>
      <w:r>
        <w:rPr>
          <w:rFonts w:ascii="Times New Roman" w:hAnsi="Times New Roman" w:cs="Times New Roman" w:hint="eastAsia"/>
          <w:sz w:val="24"/>
          <w:szCs w:val="24"/>
        </w:rPr>
        <w:t xml:space="preserve"> </w:t>
      </w:r>
      <w:hyperlink r:id="rId9" w:history="1">
        <w:r w:rsidRPr="002966C1">
          <w:rPr>
            <w:rStyle w:val="a9"/>
            <w:rFonts w:ascii="Times New Roman" w:hAnsi="Times New Roman" w:cs="Times New Roman"/>
            <w:sz w:val="24"/>
            <w:szCs w:val="24"/>
          </w:rPr>
          <w:t>https://doi.org/10.19030/iber.v14i3.9206</w:t>
        </w:r>
      </w:hyperlink>
    </w:p>
    <w:p w14:paraId="1CD16875" w14:textId="6B6E6519" w:rsidR="00870CBA" w:rsidRPr="00870CBA" w:rsidRDefault="00870CBA" w:rsidP="004D1DCB">
      <w:pPr>
        <w:spacing w:before="240"/>
        <w:rPr>
          <w:rFonts w:ascii="Times New Roman" w:hAnsi="Times New Roman" w:cs="Times New Roman" w:hint="eastAsia"/>
          <w:sz w:val="24"/>
          <w:szCs w:val="24"/>
        </w:rPr>
      </w:pPr>
      <w:r w:rsidRPr="00870CBA">
        <w:rPr>
          <w:rFonts w:ascii="Times New Roman" w:hAnsi="Times New Roman" w:cs="Times New Roman"/>
          <w:sz w:val="24"/>
          <w:szCs w:val="24"/>
        </w:rPr>
        <w:lastRenderedPageBreak/>
        <w:t>Cumming, D., Meoli, M., &amp; Vismara, S. (2019). Investors’ choices between cash and voting rights: Evidence from dual-class equity crowdfunding. Research Policy, 48(8), 103740.</w:t>
      </w:r>
      <w:r>
        <w:rPr>
          <w:rFonts w:ascii="Times New Roman" w:hAnsi="Times New Roman" w:cs="Times New Roman" w:hint="eastAsia"/>
          <w:sz w:val="24"/>
          <w:szCs w:val="24"/>
        </w:rPr>
        <w:t xml:space="preserve"> </w:t>
      </w:r>
      <w:hyperlink r:id="rId10" w:history="1">
        <w:r w:rsidRPr="002966C1">
          <w:rPr>
            <w:rStyle w:val="a9"/>
            <w:rFonts w:ascii="Times New Roman" w:hAnsi="Times New Roman" w:cs="Times New Roman"/>
            <w:sz w:val="24"/>
            <w:szCs w:val="24"/>
          </w:rPr>
          <w:t>https://doi.org/10.1016/j.respol.2019.01.014</w:t>
        </w:r>
      </w:hyperlink>
    </w:p>
    <w:p w14:paraId="290DA8CB" w14:textId="77777777" w:rsidR="004D1DCB" w:rsidRDefault="004D1DCB" w:rsidP="004D1DCB">
      <w:pPr>
        <w:spacing w:before="24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Dorfleitner</w:t>
      </w:r>
      <w:proofErr w:type="spellEnd"/>
      <w:r>
        <w:rPr>
          <w:rFonts w:ascii="Times New Roman" w:eastAsia="Times New Roman" w:hAnsi="Times New Roman" w:cs="Times New Roman"/>
          <w:color w:val="222222"/>
          <w:sz w:val="24"/>
          <w:szCs w:val="24"/>
          <w:highlight w:val="white"/>
        </w:rPr>
        <w:t xml:space="preserve">, G., Oswald, E. M., &amp; Zhang, R. (2021). From credit risk to social impact: On the funding determinants in interest-free peer-to-peer lending. </w:t>
      </w:r>
      <w:r>
        <w:rPr>
          <w:rFonts w:ascii="Times New Roman" w:eastAsia="Times New Roman" w:hAnsi="Times New Roman" w:cs="Times New Roman"/>
          <w:i/>
          <w:color w:val="222222"/>
          <w:sz w:val="24"/>
          <w:szCs w:val="24"/>
          <w:highlight w:val="white"/>
        </w:rPr>
        <w:t>Journal of Business Ethics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170</w:t>
      </w:r>
      <w:r>
        <w:rPr>
          <w:rFonts w:ascii="Times New Roman" w:eastAsia="Times New Roman" w:hAnsi="Times New Roman" w:cs="Times New Roman"/>
          <w:color w:val="222222"/>
          <w:sz w:val="24"/>
          <w:szCs w:val="24"/>
          <w:highlight w:val="white"/>
        </w:rPr>
        <w:t>, 375-400.</w:t>
      </w:r>
      <w:hyperlink r:id="rId11">
        <w:r>
          <w:rPr>
            <w:rFonts w:ascii="Times New Roman" w:eastAsia="Times New Roman" w:hAnsi="Times New Roman" w:cs="Times New Roman"/>
            <w:color w:val="222222"/>
            <w:sz w:val="24"/>
            <w:szCs w:val="24"/>
            <w:highlight w:val="white"/>
          </w:rPr>
          <w:t xml:space="preserve"> </w:t>
        </w:r>
      </w:hyperlink>
      <w:hyperlink r:id="rId12">
        <w:r>
          <w:rPr>
            <w:rFonts w:ascii="Times New Roman" w:eastAsia="Times New Roman" w:hAnsi="Times New Roman" w:cs="Times New Roman"/>
            <w:color w:val="1155CC"/>
            <w:sz w:val="24"/>
            <w:szCs w:val="24"/>
            <w:highlight w:val="white"/>
            <w:u w:val="single"/>
          </w:rPr>
          <w:t>https://doi.org/10.1007/s10551-019-04311-8</w:t>
        </w:r>
      </w:hyperlink>
      <w:r>
        <w:rPr>
          <w:rFonts w:ascii="Times New Roman" w:eastAsia="Times New Roman" w:hAnsi="Times New Roman" w:cs="Times New Roman"/>
          <w:color w:val="222222"/>
          <w:sz w:val="24"/>
          <w:szCs w:val="24"/>
          <w:highlight w:val="white"/>
        </w:rPr>
        <w:t xml:space="preserve"> </w:t>
      </w:r>
    </w:p>
    <w:p w14:paraId="0C113A8F" w14:textId="77777777" w:rsidR="004D1DCB" w:rsidRDefault="004D1DCB" w:rsidP="004D1DCB">
      <w:pPr>
        <w:spacing w:before="240"/>
        <w:rPr>
          <w:rFonts w:ascii="Times New Roman" w:eastAsia="Times New Roman" w:hAnsi="Times New Roman" w:cs="Times New Roman"/>
          <w:color w:val="2C72B7"/>
          <w:sz w:val="24"/>
          <w:szCs w:val="24"/>
          <w:highlight w:val="white"/>
          <w:u w:val="single"/>
        </w:rPr>
      </w:pPr>
      <w:r>
        <w:rPr>
          <w:rFonts w:ascii="Times New Roman" w:eastAsia="Times New Roman" w:hAnsi="Times New Roman" w:cs="Times New Roman"/>
          <w:color w:val="333333"/>
          <w:sz w:val="24"/>
          <w:szCs w:val="24"/>
          <w:highlight w:val="white"/>
        </w:rPr>
        <w:t xml:space="preserve">Park, B., </w:t>
      </w:r>
      <w:proofErr w:type="spellStart"/>
      <w:r>
        <w:rPr>
          <w:rFonts w:ascii="Times New Roman" w:eastAsia="Times New Roman" w:hAnsi="Times New Roman" w:cs="Times New Roman"/>
          <w:color w:val="333333"/>
          <w:sz w:val="24"/>
          <w:szCs w:val="24"/>
          <w:highlight w:val="white"/>
        </w:rPr>
        <w:t>Genevsky</w:t>
      </w:r>
      <w:proofErr w:type="spellEnd"/>
      <w:r>
        <w:rPr>
          <w:rFonts w:ascii="Times New Roman" w:eastAsia="Times New Roman" w:hAnsi="Times New Roman" w:cs="Times New Roman"/>
          <w:color w:val="333333"/>
          <w:sz w:val="24"/>
          <w:szCs w:val="24"/>
          <w:highlight w:val="white"/>
        </w:rPr>
        <w:t xml:space="preserve">, A., Knutson, B., &amp; Tsai, J. (2020). Culturally valued facial expressions enhance loan request success. </w:t>
      </w:r>
      <w:r>
        <w:rPr>
          <w:rFonts w:ascii="Times New Roman" w:eastAsia="Times New Roman" w:hAnsi="Times New Roman" w:cs="Times New Roman"/>
          <w:i/>
          <w:color w:val="333333"/>
          <w:sz w:val="24"/>
          <w:szCs w:val="24"/>
          <w:highlight w:val="white"/>
        </w:rPr>
        <w:t>Emotion, 20</w:t>
      </w:r>
      <w:r>
        <w:rPr>
          <w:rFonts w:ascii="Times New Roman" w:eastAsia="Times New Roman" w:hAnsi="Times New Roman" w:cs="Times New Roman"/>
          <w:color w:val="333333"/>
          <w:sz w:val="24"/>
          <w:szCs w:val="24"/>
          <w:highlight w:val="white"/>
        </w:rPr>
        <w:t>(7), 1137–1153.</w:t>
      </w:r>
      <w:hyperlink r:id="rId13">
        <w:r>
          <w:rPr>
            <w:rFonts w:ascii="Times New Roman" w:eastAsia="Times New Roman" w:hAnsi="Times New Roman" w:cs="Times New Roman"/>
            <w:color w:val="333333"/>
            <w:sz w:val="24"/>
            <w:szCs w:val="24"/>
            <w:highlight w:val="white"/>
          </w:rPr>
          <w:t xml:space="preserve"> </w:t>
        </w:r>
      </w:hyperlink>
      <w:hyperlink r:id="rId14">
        <w:r>
          <w:rPr>
            <w:rFonts w:ascii="Times New Roman" w:eastAsia="Times New Roman" w:hAnsi="Times New Roman" w:cs="Times New Roman"/>
            <w:color w:val="2C72B7"/>
            <w:sz w:val="24"/>
            <w:szCs w:val="24"/>
            <w:highlight w:val="white"/>
            <w:u w:val="single"/>
          </w:rPr>
          <w:t>https://doi.org/10.1037/emo0000642</w:t>
        </w:r>
      </w:hyperlink>
    </w:p>
    <w:p w14:paraId="0C002604" w14:textId="77777777" w:rsidR="004D1DCB" w:rsidRDefault="004D1DCB" w:rsidP="004D1DCB">
      <w:pPr>
        <w:spacing w:before="240"/>
        <w:rPr>
          <w:rFonts w:ascii="Times New Roman" w:eastAsia="Times New Roman" w:hAnsi="Times New Roman" w:cs="Times New Roman"/>
          <w:color w:val="1155CC"/>
          <w:sz w:val="24"/>
          <w:szCs w:val="24"/>
          <w:highlight w:val="white"/>
          <w:u w:val="single"/>
        </w:rPr>
      </w:pPr>
      <w:r>
        <w:rPr>
          <w:rFonts w:ascii="Times New Roman" w:eastAsia="Times New Roman" w:hAnsi="Times New Roman" w:cs="Times New Roman"/>
          <w:color w:val="222222"/>
          <w:sz w:val="24"/>
          <w:szCs w:val="24"/>
          <w:highlight w:val="white"/>
        </w:rPr>
        <w:t xml:space="preserve">Paruthi, G., Frias-Martinez, E., &amp; Frias-Martinez, V. (2016). The role of rating and loan characteristics in online </w:t>
      </w:r>
      <w:proofErr w:type="spellStart"/>
      <w:r>
        <w:rPr>
          <w:rFonts w:ascii="Times New Roman" w:eastAsia="Times New Roman" w:hAnsi="Times New Roman" w:cs="Times New Roman"/>
          <w:color w:val="222222"/>
          <w:sz w:val="24"/>
          <w:szCs w:val="24"/>
          <w:highlight w:val="white"/>
        </w:rPr>
        <w:t>microfunding</w:t>
      </w:r>
      <w:proofErr w:type="spellEnd"/>
      <w:r>
        <w:rPr>
          <w:rFonts w:ascii="Times New Roman" w:eastAsia="Times New Roman" w:hAnsi="Times New Roman" w:cs="Times New Roman"/>
          <w:color w:val="222222"/>
          <w:sz w:val="24"/>
          <w:szCs w:val="24"/>
          <w:highlight w:val="white"/>
        </w:rPr>
        <w:t xml:space="preserve"> behaviors. </w:t>
      </w:r>
      <w:r>
        <w:rPr>
          <w:rFonts w:ascii="Times New Roman" w:eastAsia="Times New Roman" w:hAnsi="Times New Roman" w:cs="Times New Roman"/>
          <w:i/>
          <w:color w:val="222222"/>
          <w:sz w:val="24"/>
          <w:szCs w:val="24"/>
          <w:highlight w:val="white"/>
        </w:rPr>
        <w:t xml:space="preserve">Data For Good Exchange. </w:t>
      </w:r>
      <w:r>
        <w:rPr>
          <w:rFonts w:ascii="Times New Roman" w:eastAsia="Times New Roman" w:hAnsi="Times New Roman" w:cs="Times New Roman"/>
          <w:color w:val="222222"/>
          <w:sz w:val="24"/>
          <w:szCs w:val="24"/>
          <w:highlight w:val="white"/>
        </w:rPr>
        <w:t xml:space="preserve"> </w:t>
      </w:r>
      <w:hyperlink r:id="rId15">
        <w:r>
          <w:rPr>
            <w:rFonts w:ascii="Times New Roman" w:eastAsia="Times New Roman" w:hAnsi="Times New Roman" w:cs="Times New Roman"/>
            <w:color w:val="1155CC"/>
            <w:sz w:val="24"/>
            <w:szCs w:val="24"/>
            <w:highlight w:val="white"/>
            <w:u w:val="single"/>
          </w:rPr>
          <w:t>https://doi.org/10.48550/arXiv.1609.09571</w:t>
        </w:r>
      </w:hyperlink>
    </w:p>
    <w:p w14:paraId="43E16612" w14:textId="02D553EA" w:rsidR="004D1DCB" w:rsidRPr="004D1DCB" w:rsidRDefault="004D1DCB" w:rsidP="004D1DCB">
      <w:pPr>
        <w:spacing w:before="240"/>
        <w:rPr>
          <w:rFonts w:ascii="Times New Roman" w:hAnsi="Times New Roman" w:cs="Times New Roman" w:hint="eastAsia"/>
          <w:color w:val="222222"/>
          <w:sz w:val="24"/>
          <w:szCs w:val="24"/>
          <w:highlight w:val="white"/>
        </w:rPr>
      </w:pPr>
      <w:proofErr w:type="spellStart"/>
      <w:r>
        <w:rPr>
          <w:rFonts w:ascii="Times New Roman" w:eastAsia="Times New Roman" w:hAnsi="Times New Roman" w:cs="Times New Roman"/>
          <w:color w:val="222222"/>
          <w:sz w:val="24"/>
          <w:szCs w:val="24"/>
          <w:highlight w:val="white"/>
        </w:rPr>
        <w:t>Pengnate</w:t>
      </w:r>
      <w:proofErr w:type="spellEnd"/>
      <w:r>
        <w:rPr>
          <w:rFonts w:ascii="Times New Roman" w:eastAsia="Times New Roman" w:hAnsi="Times New Roman" w:cs="Times New Roman"/>
          <w:color w:val="222222"/>
          <w:sz w:val="24"/>
          <w:szCs w:val="24"/>
          <w:highlight w:val="white"/>
        </w:rPr>
        <w:t xml:space="preserve">, S. F., &amp; Riggins, F. J. (2020). The role of emotion in P2P microfinance funding: A sentiment analysis approach. </w:t>
      </w:r>
      <w:r>
        <w:rPr>
          <w:rFonts w:ascii="Times New Roman" w:eastAsia="Times New Roman" w:hAnsi="Times New Roman" w:cs="Times New Roman"/>
          <w:i/>
          <w:color w:val="222222"/>
          <w:sz w:val="24"/>
          <w:szCs w:val="24"/>
          <w:highlight w:val="white"/>
        </w:rPr>
        <w:t>International Journal of Information Management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54</w:t>
      </w:r>
      <w:r>
        <w:rPr>
          <w:rFonts w:ascii="Times New Roman" w:eastAsia="Times New Roman" w:hAnsi="Times New Roman" w:cs="Times New Roman"/>
          <w:color w:val="222222"/>
          <w:sz w:val="24"/>
          <w:szCs w:val="24"/>
          <w:highlight w:val="white"/>
        </w:rPr>
        <w:t>, 102138.</w:t>
      </w:r>
      <w:hyperlink r:id="rId16">
        <w:r>
          <w:rPr>
            <w:rFonts w:ascii="Times New Roman" w:eastAsia="Times New Roman" w:hAnsi="Times New Roman" w:cs="Times New Roman"/>
            <w:color w:val="222222"/>
            <w:sz w:val="24"/>
            <w:szCs w:val="24"/>
            <w:highlight w:val="white"/>
          </w:rPr>
          <w:t xml:space="preserve"> </w:t>
        </w:r>
      </w:hyperlink>
      <w:hyperlink r:id="rId17">
        <w:r>
          <w:rPr>
            <w:rFonts w:ascii="Times New Roman" w:eastAsia="Times New Roman" w:hAnsi="Times New Roman" w:cs="Times New Roman"/>
            <w:color w:val="1155CC"/>
            <w:sz w:val="24"/>
            <w:szCs w:val="24"/>
            <w:highlight w:val="white"/>
            <w:u w:val="single"/>
          </w:rPr>
          <w:t>https://doi.org/10.1016/j.ijinfomgt.2020.102138</w:t>
        </w:r>
      </w:hyperlink>
      <w:r>
        <w:rPr>
          <w:rFonts w:ascii="Times New Roman" w:eastAsia="Times New Roman" w:hAnsi="Times New Roman" w:cs="Times New Roman"/>
          <w:color w:val="222222"/>
          <w:sz w:val="24"/>
          <w:szCs w:val="24"/>
          <w:highlight w:val="white"/>
        </w:rPr>
        <w:t xml:space="preserve"> </w:t>
      </w:r>
    </w:p>
    <w:sectPr w:rsidR="004D1DCB" w:rsidRPr="004D1D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CD239E" w14:textId="77777777" w:rsidR="004D1569" w:rsidRDefault="004D1569" w:rsidP="006D3A6B">
      <w:r>
        <w:separator/>
      </w:r>
    </w:p>
  </w:endnote>
  <w:endnote w:type="continuationSeparator" w:id="0">
    <w:p w14:paraId="2F274906" w14:textId="77777777" w:rsidR="004D1569" w:rsidRDefault="004D1569" w:rsidP="006D3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A37F0F" w14:textId="77777777" w:rsidR="004D1569" w:rsidRDefault="004D1569" w:rsidP="006D3A6B">
      <w:r>
        <w:separator/>
      </w:r>
    </w:p>
  </w:footnote>
  <w:footnote w:type="continuationSeparator" w:id="0">
    <w:p w14:paraId="645EB148" w14:textId="77777777" w:rsidR="004D1569" w:rsidRDefault="004D1569" w:rsidP="006D3A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9418FF"/>
    <w:multiLevelType w:val="hybridMultilevel"/>
    <w:tmpl w:val="674E9CDE"/>
    <w:lvl w:ilvl="0" w:tplc="3CB8AA36">
      <w:start w:val="1"/>
      <w:numFmt w:val="decimal"/>
      <w:lvlText w:val="%1."/>
      <w:lvlJc w:val="left"/>
      <w:pPr>
        <w:ind w:left="360" w:hanging="36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99758E6"/>
    <w:multiLevelType w:val="hybridMultilevel"/>
    <w:tmpl w:val="1F685B4C"/>
    <w:lvl w:ilvl="0" w:tplc="265AC4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99274424">
    <w:abstractNumId w:val="1"/>
  </w:num>
  <w:num w:numId="2" w16cid:durableId="1194030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17"/>
    <w:rsid w:val="001C2A1A"/>
    <w:rsid w:val="002514A3"/>
    <w:rsid w:val="00362831"/>
    <w:rsid w:val="003D489C"/>
    <w:rsid w:val="004A6B11"/>
    <w:rsid w:val="004B302C"/>
    <w:rsid w:val="004D1569"/>
    <w:rsid w:val="004D1DCB"/>
    <w:rsid w:val="00641AF0"/>
    <w:rsid w:val="006B466D"/>
    <w:rsid w:val="006D3A6B"/>
    <w:rsid w:val="00856808"/>
    <w:rsid w:val="00870CBA"/>
    <w:rsid w:val="008E4F93"/>
    <w:rsid w:val="00963B63"/>
    <w:rsid w:val="009F7E17"/>
    <w:rsid w:val="00A30E58"/>
    <w:rsid w:val="00B60538"/>
    <w:rsid w:val="00C01698"/>
    <w:rsid w:val="00C13ADF"/>
    <w:rsid w:val="00C3225F"/>
    <w:rsid w:val="00CD6A68"/>
    <w:rsid w:val="00E30D21"/>
    <w:rsid w:val="00F85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26429C"/>
  <w15:chartTrackingRefBased/>
  <w15:docId w15:val="{3AF618A0-C842-45EF-8E50-B7B5AB21E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3A6B"/>
    <w:pPr>
      <w:tabs>
        <w:tab w:val="center" w:pos="4153"/>
        <w:tab w:val="right" w:pos="8306"/>
      </w:tabs>
      <w:snapToGrid w:val="0"/>
      <w:jc w:val="center"/>
    </w:pPr>
    <w:rPr>
      <w:sz w:val="18"/>
      <w:szCs w:val="18"/>
    </w:rPr>
  </w:style>
  <w:style w:type="character" w:customStyle="1" w:styleId="a4">
    <w:name w:val="页眉 字符"/>
    <w:basedOn w:val="a0"/>
    <w:link w:val="a3"/>
    <w:uiPriority w:val="99"/>
    <w:rsid w:val="006D3A6B"/>
    <w:rPr>
      <w:sz w:val="18"/>
      <w:szCs w:val="18"/>
    </w:rPr>
  </w:style>
  <w:style w:type="paragraph" w:styleId="a5">
    <w:name w:val="footer"/>
    <w:basedOn w:val="a"/>
    <w:link w:val="a6"/>
    <w:uiPriority w:val="99"/>
    <w:unhideWhenUsed/>
    <w:rsid w:val="006D3A6B"/>
    <w:pPr>
      <w:tabs>
        <w:tab w:val="center" w:pos="4153"/>
        <w:tab w:val="right" w:pos="8306"/>
      </w:tabs>
      <w:snapToGrid w:val="0"/>
      <w:jc w:val="left"/>
    </w:pPr>
    <w:rPr>
      <w:sz w:val="18"/>
      <w:szCs w:val="18"/>
    </w:rPr>
  </w:style>
  <w:style w:type="character" w:customStyle="1" w:styleId="a6">
    <w:name w:val="页脚 字符"/>
    <w:basedOn w:val="a0"/>
    <w:link w:val="a5"/>
    <w:uiPriority w:val="99"/>
    <w:rsid w:val="006D3A6B"/>
    <w:rPr>
      <w:sz w:val="18"/>
      <w:szCs w:val="18"/>
    </w:rPr>
  </w:style>
  <w:style w:type="paragraph" w:styleId="a7">
    <w:name w:val="List Paragraph"/>
    <w:basedOn w:val="a"/>
    <w:uiPriority w:val="34"/>
    <w:qFormat/>
    <w:rsid w:val="006D3A6B"/>
    <w:pPr>
      <w:ind w:firstLineChars="200" w:firstLine="420"/>
    </w:pPr>
  </w:style>
  <w:style w:type="character" w:styleId="a8">
    <w:name w:val="Strong"/>
    <w:basedOn w:val="a0"/>
    <w:uiPriority w:val="22"/>
    <w:qFormat/>
    <w:rsid w:val="004A6B11"/>
    <w:rPr>
      <w:b/>
      <w:bCs/>
    </w:rPr>
  </w:style>
  <w:style w:type="character" w:styleId="a9">
    <w:name w:val="Hyperlink"/>
    <w:basedOn w:val="a0"/>
    <w:uiPriority w:val="99"/>
    <w:unhideWhenUsed/>
    <w:rsid w:val="004D1DCB"/>
    <w:rPr>
      <w:color w:val="0563C1" w:themeColor="hyperlink"/>
      <w:u w:val="single"/>
    </w:rPr>
  </w:style>
  <w:style w:type="character" w:styleId="aa">
    <w:name w:val="Unresolved Mention"/>
    <w:basedOn w:val="a0"/>
    <w:uiPriority w:val="99"/>
    <w:semiHidden/>
    <w:unhideWhenUsed/>
    <w:rsid w:val="004D1D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131855">
      <w:bodyDiv w:val="1"/>
      <w:marLeft w:val="0"/>
      <w:marRight w:val="0"/>
      <w:marTop w:val="0"/>
      <w:marBottom w:val="0"/>
      <w:divBdr>
        <w:top w:val="none" w:sz="0" w:space="0" w:color="auto"/>
        <w:left w:val="none" w:sz="0" w:space="0" w:color="auto"/>
        <w:bottom w:val="none" w:sz="0" w:space="0" w:color="auto"/>
        <w:right w:val="none" w:sz="0" w:space="0" w:color="auto"/>
      </w:divBdr>
    </w:div>
    <w:div w:id="623778934">
      <w:bodyDiv w:val="1"/>
      <w:marLeft w:val="0"/>
      <w:marRight w:val="0"/>
      <w:marTop w:val="0"/>
      <w:marBottom w:val="0"/>
      <w:divBdr>
        <w:top w:val="none" w:sz="0" w:space="0" w:color="auto"/>
        <w:left w:val="none" w:sz="0" w:space="0" w:color="auto"/>
        <w:bottom w:val="none" w:sz="0" w:space="0" w:color="auto"/>
        <w:right w:val="none" w:sz="0" w:space="0" w:color="auto"/>
      </w:divBdr>
    </w:div>
    <w:div w:id="650137153">
      <w:bodyDiv w:val="1"/>
      <w:marLeft w:val="0"/>
      <w:marRight w:val="0"/>
      <w:marTop w:val="0"/>
      <w:marBottom w:val="0"/>
      <w:divBdr>
        <w:top w:val="none" w:sz="0" w:space="0" w:color="auto"/>
        <w:left w:val="none" w:sz="0" w:space="0" w:color="auto"/>
        <w:bottom w:val="none" w:sz="0" w:space="0" w:color="auto"/>
        <w:right w:val="none" w:sz="0" w:space="0" w:color="auto"/>
      </w:divBdr>
    </w:div>
    <w:div w:id="685331147">
      <w:bodyDiv w:val="1"/>
      <w:marLeft w:val="0"/>
      <w:marRight w:val="0"/>
      <w:marTop w:val="0"/>
      <w:marBottom w:val="0"/>
      <w:divBdr>
        <w:top w:val="none" w:sz="0" w:space="0" w:color="auto"/>
        <w:left w:val="none" w:sz="0" w:space="0" w:color="auto"/>
        <w:bottom w:val="none" w:sz="0" w:space="0" w:color="auto"/>
        <w:right w:val="none" w:sz="0" w:space="0" w:color="auto"/>
      </w:divBdr>
    </w:div>
    <w:div w:id="836533172">
      <w:bodyDiv w:val="1"/>
      <w:marLeft w:val="0"/>
      <w:marRight w:val="0"/>
      <w:marTop w:val="0"/>
      <w:marBottom w:val="0"/>
      <w:divBdr>
        <w:top w:val="none" w:sz="0" w:space="0" w:color="auto"/>
        <w:left w:val="none" w:sz="0" w:space="0" w:color="auto"/>
        <w:bottom w:val="none" w:sz="0" w:space="0" w:color="auto"/>
        <w:right w:val="none" w:sz="0" w:space="0" w:color="auto"/>
      </w:divBdr>
    </w:div>
    <w:div w:id="837888122">
      <w:bodyDiv w:val="1"/>
      <w:marLeft w:val="0"/>
      <w:marRight w:val="0"/>
      <w:marTop w:val="0"/>
      <w:marBottom w:val="0"/>
      <w:divBdr>
        <w:top w:val="none" w:sz="0" w:space="0" w:color="auto"/>
        <w:left w:val="none" w:sz="0" w:space="0" w:color="auto"/>
        <w:bottom w:val="none" w:sz="0" w:space="0" w:color="auto"/>
        <w:right w:val="none" w:sz="0" w:space="0" w:color="auto"/>
      </w:divBdr>
    </w:div>
    <w:div w:id="941035579">
      <w:bodyDiv w:val="1"/>
      <w:marLeft w:val="0"/>
      <w:marRight w:val="0"/>
      <w:marTop w:val="0"/>
      <w:marBottom w:val="0"/>
      <w:divBdr>
        <w:top w:val="none" w:sz="0" w:space="0" w:color="auto"/>
        <w:left w:val="none" w:sz="0" w:space="0" w:color="auto"/>
        <w:bottom w:val="none" w:sz="0" w:space="0" w:color="auto"/>
        <w:right w:val="none" w:sz="0" w:space="0" w:color="auto"/>
      </w:divBdr>
    </w:div>
    <w:div w:id="190560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busvent.2013.07.003" TargetMode="External"/><Relationship Id="rId13" Type="http://schemas.openxmlformats.org/officeDocument/2006/relationships/hyperlink" Target="https://psycnet.apa.org/doi/10.1037/emo000064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worlddev.2012.06.016" TargetMode="External"/><Relationship Id="rId12" Type="http://schemas.openxmlformats.org/officeDocument/2006/relationships/hyperlink" Target="https://doi.org/10.1007/s10551-019-04311-8" TargetMode="External"/><Relationship Id="rId17" Type="http://schemas.openxmlformats.org/officeDocument/2006/relationships/hyperlink" Target="https://doi.org/10.1016/j.ijinfomgt.2020.102138" TargetMode="External"/><Relationship Id="rId2" Type="http://schemas.openxmlformats.org/officeDocument/2006/relationships/styles" Target="styles.xml"/><Relationship Id="rId16" Type="http://schemas.openxmlformats.org/officeDocument/2006/relationships/hyperlink" Target="https://doi.org/10.1016/j.ijinfomgt.2020.10213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10551-019-04311-8" TargetMode="External"/><Relationship Id="rId5" Type="http://schemas.openxmlformats.org/officeDocument/2006/relationships/footnotes" Target="footnotes.xml"/><Relationship Id="rId15" Type="http://schemas.openxmlformats.org/officeDocument/2006/relationships/hyperlink" Target="https://doi.org/10.48550/arXiv.1609.09571" TargetMode="External"/><Relationship Id="rId10" Type="http://schemas.openxmlformats.org/officeDocument/2006/relationships/hyperlink" Target="https://doi.org/10.1016/j.respol.2019.01.01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9030/iber.v14i3.9206" TargetMode="External"/><Relationship Id="rId14" Type="http://schemas.openxmlformats.org/officeDocument/2006/relationships/hyperlink" Target="https://psycnet.apa.org/doi/10.1037/emo000064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785</Words>
  <Characters>5136</Characters>
  <Application>Microsoft Office Word</Application>
  <DocSecurity>0</DocSecurity>
  <Lines>88</Lines>
  <Paragraphs>28</Paragraphs>
  <ScaleCrop>false</ScaleCrop>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府海 襟喉</dc:creator>
  <cp:keywords/>
  <dc:description/>
  <cp:lastModifiedBy>府海 襟喉</cp:lastModifiedBy>
  <cp:revision>15</cp:revision>
  <dcterms:created xsi:type="dcterms:W3CDTF">2024-06-19T15:24:00Z</dcterms:created>
  <dcterms:modified xsi:type="dcterms:W3CDTF">2024-06-19T17:28:00Z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531f5ef15094b72e345c106558a0166781784d7a7bf5b068543698344081f59b</vt:lpwstr>
  </property>
</Properties>
</file>