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aps/>
          <w:color w:val="2E5496"/>
          <w:sz w:val="28"/>
          <w:szCs w:val="28"/>
        </w:rPr>
        <w:t xml:space="preserve">SMART PROJECT</w:t>
      </w:r>
    </w:p>
    <w:p>
      <w:pPr>
        <w:spacing w:after="480" w:before="80"/>
        <w:jc w:val="center"/>
      </w:pPr>
      <w:r>
        <w:rPr>
          <w:i/>
          <w:iCs/>
          <w:color w:val="595959"/>
          <w:sz w:val="20"/>
          <w:szCs w:val="20"/>
        </w:rPr>
        <w:t xml:space="preserve">Services Management with Artificial Intelligence and Real-Time System</w:t>
      </w:r>
    </w:p>
    <w:p>
      <w:pPr>
        <w:pBdr>
          <w:bottom w:val="single" w:color="1F3864" w:sz="12"/>
        </w:pBdr>
        <w:spacing w:after="220"/>
        <w:jc w:val="center"/>
      </w:pPr>
    </w:p>
    <w:p>
      <w:pPr>
        <w:spacing w:after="60"/>
        <w:jc w:val="center"/>
      </w:pPr>
      <w:r>
        <w:rPr>
          <w:b/>
          <w:bCs/>
          <w:color w:val="1F3864"/>
          <w:sz w:val="46"/>
          <w:szCs w:val="46"/>
        </w:rPr>
        <w:t xml:space="preserve">Scheme Rule Simulation Engine (SRSE)</w:t>
      </w:r>
    </w:p>
    <w:p>
      <w:pPr>
        <w:spacing w:after="200"/>
        <w:jc w:val="center"/>
      </w:pPr>
      <w:r>
        <w:rPr>
          <w:color w:val="2E5496"/>
          <w:sz w:val="30"/>
          <w:szCs w:val="30"/>
        </w:rPr>
        <w:t xml:space="preserve">Technical Design Document</w:t>
      </w:r>
    </w:p>
    <w:p>
      <w:pPr>
        <w:pBdr>
          <w:top w:val="single" w:color="1F3864" w:sz="12"/>
        </w:pBdr>
        <w:spacing w:after="460" w:before="220"/>
        <w:jc w:val="center"/>
      </w:pPr>
    </w:p>
    <w:p>
      <w:pPr>
        <w:spacing w:after="60"/>
        <w:jc w:val="center"/>
      </w:pPr>
      <w:r>
        <w:rPr>
          <w:color w:val="333333"/>
          <w:sz w:val="21"/>
          <w:szCs w:val="21"/>
        </w:rPr>
        <w:t xml:space="preserve">Standalone microservice for officer-facing scheme eligibility rule authoring</w:t>
      </w:r>
    </w:p>
    <w:p>
      <w:pPr>
        <w:spacing w:after="60"/>
        <w:jc w:val="center"/>
      </w:pPr>
      <w:r>
        <w:rPr>
          <w:color w:val="333333"/>
          <w:sz w:val="21"/>
          <w:szCs w:val="21"/>
        </w:rPr>
        <w:t xml:space="preserve">and population simulation over the watsonx.data lakehouse (Presto / Iceberg)</w:t>
      </w:r>
    </w:p>
    <w:p>
      <w:pPr>
        <w:spacing w:after="40" w:before="900"/>
        <w:jc w:val="center"/>
      </w:pPr>
      <w:r>
        <w:rPr>
          <w:b/>
          <w:bCs/>
          <w:color w:val="595959"/>
          <w:sz w:val="20"/>
          <w:szCs w:val="20"/>
        </w:rPr>
        <w:t xml:space="preserve">Version 0.2  |  Draft for Development</w:t>
      </w:r>
    </w:p>
    <w:p>
      <w:pPr>
        <w:spacing w:after="40"/>
        <w:jc w:val="center"/>
      </w:pPr>
      <w:r>
        <w:rPr>
          <w:color w:val="595959"/>
          <w:sz w:val="19"/>
          <w:szCs w:val="19"/>
        </w:rPr>
        <w:t xml:space="preserve">Stack: Java 17 / Spring Boot 3.x microservice  +  Next.js 16 / React 19 frontend</w:t>
      </w:r>
    </w:p>
    <w:p>
      <w:pPr>
        <w:spacing w:after="40"/>
        <w:jc w:val="center"/>
      </w:pPr>
      <w:r>
        <w:rPr>
          <w:color w:val="595959"/>
          <w:sz w:val="19"/>
          <w:szCs w:val="19"/>
        </w:rPr>
        <w:t xml:space="preserve">Intended build toolchain: Claude (MagicSword) + Cursor IDE</w:t>
      </w:r>
    </w:p>
    <w:p>
      <w:pPr>
        <w:jc w:val="center"/>
      </w:pPr>
      <w:r>
        <w:rPr>
          <w:color w:val="595959"/>
          <w:sz w:val="19"/>
          <w:szCs w:val="19"/>
        </w:rPr>
        <w:t xml:space="preserve">Government of Rajasthan — DoIT&amp;C / RISL  |  Delivered by Deloitte</w:t>
      </w:r>
    </w:p>
    <w:p>
      <w:r>
        <w:br w:type="page"/>
      </w:r>
    </w:p>
    <w:p>
      <w:pPr>
        <w:pStyle w:val="Heading1"/>
        <w:spacing w:after="160" w:before="320"/>
      </w:pPr>
      <w:r>
        <w:rPr>
          <w:b/>
          <w:bCs/>
          <w:color w:val="1F3864"/>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b/>
          <w:bCs/>
          <w:color w:val="1F3864"/>
          <w:sz w:val="30"/>
          <w:szCs w:val="30"/>
        </w:rPr>
        <w:t xml:space="preserve">1. Introduction</w:t>
      </w:r>
    </w:p>
    <w:p>
      <w:pPr>
        <w:pStyle w:val="Heading2"/>
        <w:spacing w:after="120" w:before="240"/>
      </w:pPr>
      <w:r>
        <w:rPr>
          <w:b/>
          <w:bCs/>
          <w:color w:val="2E5496"/>
          <w:sz w:val="26"/>
          <w:szCs w:val="26"/>
        </w:rPr>
        <w:t xml:space="preserve">1.1 Purpose &amp; Scope</w:t>
      </w:r>
    </w:p>
    <w:p>
      <w:pPr>
        <w:spacing w:after="120" w:line="276"/>
        <w:jc w:val="both"/>
      </w:pPr>
      <w:r>
        <w:rPr>
          <w:sz w:val="21"/>
          <w:szCs w:val="21"/>
        </w:rPr>
        <w:t xml:space="preserve">This document is the technical design for the Scheme Rule Simulation Engine (SRSE): a standalone, containerised microservice that lets departmental officers compose eligibility rulesets for welfare schemes, adjust thresholds (age, income, and similar parameters), and simulate how many beneficiaries would qualify under each ruleset variant against live data in the watsonx.data lakehouse.</w:t>
      </w:r>
    </w:p>
    <w:p>
      <w:pPr>
        <w:spacing w:after="120" w:line="276"/>
        <w:jc w:val="both"/>
      </w:pPr>
      <w:r>
        <w:rPr>
          <w:sz w:val="21"/>
          <w:szCs w:val="21"/>
        </w:rPr>
        <w:t xml:space="preserve">The document is written to be directly actionable by the Claude + Cursor development toolchain. Every component is specified to the level of data contracts, module responsibilities, and interface shapes so that development can proceed without further architectural discovery. Proprietary lakehouse connection details and physical schema names are deliberately externalised as deployment-time configuration and are not required to build the tool.</w:t>
      </w:r>
    </w:p>
    <w:p>
      <w:pPr>
        <w:spacing w:after="120" w:line="276"/>
        <w:jc w:val="both"/>
      </w:pPr>
      <w:r>
        <w:rPr>
          <w:sz w:val="21"/>
          <w:szCs w:val="21"/>
        </w:rPr>
        <w:t xml:space="preserve">SRSE is developed and deployed independently of the SMART web portal — it is its own microservice with its own release rhythm — while deliberately reusing the portal's proven technology choices (Spring Boot, DB2/JCC, MinIO SDK, RajSewadwar-style SSO, Next.js/React/HeroUI) so the team works within a familiar stack.</w:t>
      </w:r>
    </w:p>
    <w:p>
      <w:pPr>
        <w:pStyle w:val="Heading2"/>
        <w:spacing w:after="120" w:before="240"/>
      </w:pPr>
      <w:r>
        <w:rPr>
          <w:b/>
          <w:bCs/>
          <w:color w:val="2E5496"/>
          <w:sz w:val="26"/>
          <w:szCs w:val="26"/>
        </w:rPr>
        <w:t xml:space="preserve">1.2 Intended Audience</w:t>
      </w:r>
    </w:p>
    <w:p>
      <w:pPr>
        <w:pStyle w:val="ListParagraph"/>
        <w:numPr>
          <w:ilvl w:val="0"/>
          <w:numId w:val="2"/>
        </w:numPr>
        <w:spacing w:after="60" w:line="264"/>
      </w:pPr>
      <w:r>
        <w:rPr>
          <w:sz w:val="21"/>
          <w:szCs w:val="21"/>
        </w:rPr>
        <w:t xml:space="preserve">Development team building SRSE via Claude + Cursor (primary reader).</w:t>
      </w:r>
    </w:p>
    <w:p>
      <w:pPr>
        <w:pStyle w:val="ListParagraph"/>
        <w:numPr>
          <w:ilvl w:val="0"/>
          <w:numId w:val="2"/>
        </w:numPr>
        <w:spacing w:after="60" w:line="264"/>
      </w:pPr>
      <w:r>
        <w:rPr>
          <w:sz w:val="21"/>
          <w:szCs w:val="21"/>
        </w:rPr>
        <w:t xml:space="preserve">Technical architects and reviewers on the SMART engagement (Deloitte).</w:t>
      </w:r>
    </w:p>
    <w:p>
      <w:pPr>
        <w:pStyle w:val="ListParagraph"/>
        <w:numPr>
          <w:ilvl w:val="0"/>
          <w:numId w:val="2"/>
        </w:numPr>
        <w:spacing w:after="60" w:line="264"/>
      </w:pPr>
      <w:r>
        <w:rPr>
          <w:sz w:val="21"/>
          <w:szCs w:val="21"/>
        </w:rPr>
        <w:t xml:space="preserve">IBM / RISL stakeholders assessing the future CP4BA integration path (Section 12).</w:t>
      </w:r>
    </w:p>
    <w:p>
      <w:pPr>
        <w:pStyle w:val="ListParagraph"/>
        <w:numPr>
          <w:ilvl w:val="0"/>
          <w:numId w:val="2"/>
        </w:numPr>
        <w:spacing w:after="60" w:line="264"/>
      </w:pPr>
      <w:r>
        <w:rPr>
          <w:sz w:val="21"/>
          <w:szCs w:val="21"/>
        </w:rPr>
        <w:t xml:space="preserve">DBAs / data engineers who will perform the deployment-time schema mapping (Lovadeep and team).</w:t>
      </w:r>
    </w:p>
    <w:p>
      <w:pPr>
        <w:pStyle w:val="Heading2"/>
        <w:spacing w:after="120" w:before="240"/>
      </w:pPr>
      <w:r>
        <w:rPr>
          <w:b/>
          <w:bCs/>
          <w:color w:val="2E5496"/>
          <w:sz w:val="26"/>
          <w:szCs w:val="26"/>
        </w:rPr>
        <w:t xml:space="preserve">1.3 Definitions, Acronyms &amp; References</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2100"/>
        <w:gridCol w:w="7260"/>
      </w:tblGrid>
      <w:tr>
        <w:trPr>
          <w:tblHeader/>
        </w:trPr>
        <w:tc>
          <w:tcPr>
            <w:tcW w:type="dxa" w:w="2100"/>
            <w:shd w:fill="1F3864" w:val="clear"/>
            <w:tcMar>
              <w:top w:type="dxa" w:w="60"/>
              <w:left w:type="dxa" w:w="90"/>
              <w:bottom w:type="dxa" w:w="60"/>
              <w:right w:type="dxa" w:w="90"/>
            </w:tcMar>
          </w:tcPr>
          <w:p>
            <w:r>
              <w:rPr>
                <w:b/>
                <w:bCs/>
                <w:color w:val="FFFFFF"/>
                <w:sz w:val="18"/>
                <w:szCs w:val="18"/>
              </w:rPr>
              <w:t xml:space="preserve">Term</w:t>
            </w:r>
          </w:p>
        </w:tc>
        <w:tc>
          <w:tcPr>
            <w:tcW w:type="dxa" w:w="7260"/>
            <w:shd w:fill="1F3864" w:val="clear"/>
            <w:tcMar>
              <w:top w:type="dxa" w:w="60"/>
              <w:left w:type="dxa" w:w="90"/>
              <w:bottom w:type="dxa" w:w="60"/>
              <w:right w:type="dxa" w:w="90"/>
            </w:tcMar>
          </w:tcPr>
          <w:p>
            <w:r>
              <w:rPr>
                <w:b/>
                <w:bCs/>
                <w:color w:val="FFFFFF"/>
                <w:sz w:val="18"/>
                <w:szCs w:val="18"/>
              </w:rPr>
              <w:t xml:space="preserve">Meaning</w:t>
            </w:r>
          </w:p>
        </w:tc>
      </w:tr>
      <w:tr>
        <w:tc>
          <w:tcPr>
            <w:tcW w:type="dxa" w:w="2100"/>
            <w:shd w:fill="FFFFFF" w:val="clear"/>
            <w:tcMar>
              <w:top w:type="dxa" w:w="50"/>
              <w:left w:type="dxa" w:w="90"/>
              <w:bottom w:type="dxa" w:w="50"/>
              <w:right w:type="dxa" w:w="90"/>
            </w:tcMar>
          </w:tcPr>
          <w:p>
            <w:pPr>
              <w:spacing w:after="20"/>
            </w:pPr>
            <w:r>
              <w:rPr>
                <w:sz w:val="17"/>
                <w:szCs w:val="17"/>
              </w:rPr>
              <w:t xml:space="preserve">SRSE</w:t>
            </w:r>
          </w:p>
        </w:tc>
        <w:tc>
          <w:tcPr>
            <w:tcW w:type="dxa" w:w="7260"/>
            <w:shd w:fill="FFFFFF" w:val="clear"/>
            <w:tcMar>
              <w:top w:type="dxa" w:w="50"/>
              <w:left w:type="dxa" w:w="90"/>
              <w:bottom w:type="dxa" w:w="50"/>
              <w:right w:type="dxa" w:w="90"/>
            </w:tcMar>
          </w:tcPr>
          <w:p>
            <w:pPr>
              <w:spacing w:after="20"/>
            </w:pPr>
            <w:r>
              <w:rPr>
                <w:sz w:val="17"/>
                <w:szCs w:val="17"/>
              </w:rPr>
              <w:t xml:space="preserve">Scheme Rule Simulation Engine — the standalone microservice designed here.</w:t>
            </w:r>
          </w:p>
        </w:tc>
      </w:tr>
      <w:tr>
        <w:tc>
          <w:tcPr>
            <w:tcW w:type="dxa" w:w="2100"/>
            <w:shd w:fill="EAF0FA" w:val="clear"/>
            <w:tcMar>
              <w:top w:type="dxa" w:w="50"/>
              <w:left w:type="dxa" w:w="90"/>
              <w:bottom w:type="dxa" w:w="50"/>
              <w:right w:type="dxa" w:w="90"/>
            </w:tcMar>
          </w:tcPr>
          <w:p>
            <w:pPr>
              <w:spacing w:after="20"/>
            </w:pPr>
            <w:r>
              <w:rPr>
                <w:sz w:val="17"/>
                <w:szCs w:val="17"/>
              </w:rPr>
              <w:t xml:space="preserve">Ruleset</w:t>
            </w:r>
          </w:p>
        </w:tc>
        <w:tc>
          <w:tcPr>
            <w:tcW w:type="dxa" w:w="7260"/>
            <w:shd w:fill="EAF0FA" w:val="clear"/>
            <w:tcMar>
              <w:top w:type="dxa" w:w="50"/>
              <w:left w:type="dxa" w:w="90"/>
              <w:bottom w:type="dxa" w:w="50"/>
              <w:right w:type="dxa" w:w="90"/>
            </w:tcMar>
          </w:tcPr>
          <w:p>
            <w:pPr>
              <w:spacing w:after="20"/>
            </w:pPr>
            <w:r>
              <w:rPr>
                <w:sz w:val="17"/>
                <w:szCs w:val="17"/>
              </w:rPr>
              <w:t xml:space="preserve">A named, versioned collection of rule predicates for one scheme (e.g. 'Ekal Naari v2').</w:t>
            </w:r>
          </w:p>
        </w:tc>
      </w:tr>
      <w:tr>
        <w:tc>
          <w:tcPr>
            <w:tcW w:type="dxa" w:w="2100"/>
            <w:shd w:fill="FFFFFF" w:val="clear"/>
            <w:tcMar>
              <w:top w:type="dxa" w:w="50"/>
              <w:left w:type="dxa" w:w="90"/>
              <w:bottom w:type="dxa" w:w="50"/>
              <w:right w:type="dxa" w:w="90"/>
            </w:tcMar>
          </w:tcPr>
          <w:p>
            <w:pPr>
              <w:spacing w:after="20"/>
            </w:pPr>
            <w:r>
              <w:rPr>
                <w:sz w:val="17"/>
                <w:szCs w:val="17"/>
              </w:rPr>
              <w:t xml:space="preserve">Predicate</w:t>
            </w:r>
          </w:p>
        </w:tc>
        <w:tc>
          <w:tcPr>
            <w:tcW w:type="dxa" w:w="7260"/>
            <w:shd w:fill="FFFFFF" w:val="clear"/>
            <w:tcMar>
              <w:top w:type="dxa" w:w="50"/>
              <w:left w:type="dxa" w:w="90"/>
              <w:bottom w:type="dxa" w:w="50"/>
              <w:right w:type="dxa" w:w="90"/>
            </w:tcMar>
          </w:tcPr>
          <w:p>
            <w:pPr>
              <w:spacing w:after="20"/>
            </w:pPr>
            <w:r>
              <w:rPr>
                <w:sz w:val="17"/>
                <w:szCs w:val="17"/>
              </w:rPr>
              <w:t xml:space="preserve">A single condition: field + operator + value (e.g. age ≥ 18).</w:t>
            </w:r>
          </w:p>
        </w:tc>
      </w:tr>
      <w:tr>
        <w:tc>
          <w:tcPr>
            <w:tcW w:type="dxa" w:w="2100"/>
            <w:shd w:fill="EAF0FA" w:val="clear"/>
            <w:tcMar>
              <w:top w:type="dxa" w:w="50"/>
              <w:left w:type="dxa" w:w="90"/>
              <w:bottom w:type="dxa" w:w="50"/>
              <w:right w:type="dxa" w:w="90"/>
            </w:tcMar>
          </w:tcPr>
          <w:p>
            <w:pPr>
              <w:spacing w:after="20"/>
            </w:pPr>
            <w:r>
              <w:rPr>
                <w:sz w:val="17"/>
                <w:szCs w:val="17"/>
              </w:rPr>
              <w:t xml:space="preserve">Field catalogue</w:t>
            </w:r>
          </w:p>
        </w:tc>
        <w:tc>
          <w:tcPr>
            <w:tcW w:type="dxa" w:w="7260"/>
            <w:shd w:fill="EAF0FA" w:val="clear"/>
            <w:tcMar>
              <w:top w:type="dxa" w:w="50"/>
              <w:left w:type="dxa" w:w="90"/>
              <w:bottom w:type="dxa" w:w="50"/>
              <w:right w:type="dxa" w:w="90"/>
            </w:tcMar>
          </w:tcPr>
          <w:p>
            <w:pPr>
              <w:spacing w:after="20"/>
            </w:pPr>
            <w:r>
              <w:rPr>
                <w:sz w:val="17"/>
                <w:szCs w:val="17"/>
              </w:rPr>
              <w:t xml:space="preserve">The flat list of rule-authorable fields exposed to officers.</w:t>
            </w:r>
          </w:p>
        </w:tc>
      </w:tr>
      <w:tr>
        <w:tc>
          <w:tcPr>
            <w:tcW w:type="dxa" w:w="2100"/>
            <w:shd w:fill="FFFFFF" w:val="clear"/>
            <w:tcMar>
              <w:top w:type="dxa" w:w="50"/>
              <w:left w:type="dxa" w:w="90"/>
              <w:bottom w:type="dxa" w:w="50"/>
              <w:right w:type="dxa" w:w="90"/>
            </w:tcMar>
          </w:tcPr>
          <w:p>
            <w:pPr>
              <w:spacing w:after="20"/>
            </w:pPr>
            <w:r>
              <w:rPr>
                <w:sz w:val="17"/>
                <w:szCs w:val="17"/>
              </w:rPr>
              <w:t xml:space="preserve">Derived / pre-materialised field</w:t>
            </w:r>
          </w:p>
        </w:tc>
        <w:tc>
          <w:tcPr>
            <w:tcW w:type="dxa" w:w="7260"/>
            <w:shd w:fill="FFFFFF" w:val="clear"/>
            <w:tcMar>
              <w:top w:type="dxa" w:w="50"/>
              <w:left w:type="dxa" w:w="90"/>
              <w:bottom w:type="dxa" w:w="50"/>
              <w:right w:type="dxa" w:w="90"/>
            </w:tcMar>
          </w:tcPr>
          <w:p>
            <w:pPr>
              <w:spacing w:after="20"/>
            </w:pPr>
            <w:r>
              <w:rPr>
                <w:sz w:val="17"/>
                <w:szCs w:val="17"/>
              </w:rPr>
              <w:t xml:space="preserve">A field pre-computed in the lakehouse (Spark ETL / REL-01), exposed to SRSE as a flat column.</w:t>
            </w:r>
          </w:p>
        </w:tc>
      </w:tr>
      <w:tr>
        <w:tc>
          <w:tcPr>
            <w:tcW w:type="dxa" w:w="2100"/>
            <w:shd w:fill="EAF0FA" w:val="clear"/>
            <w:tcMar>
              <w:top w:type="dxa" w:w="50"/>
              <w:left w:type="dxa" w:w="90"/>
              <w:bottom w:type="dxa" w:w="50"/>
              <w:right w:type="dxa" w:w="90"/>
            </w:tcMar>
          </w:tcPr>
          <w:p>
            <w:pPr>
              <w:spacing w:after="20"/>
            </w:pPr>
            <w:r>
              <w:rPr>
                <w:sz w:val="17"/>
                <w:szCs w:val="17"/>
              </w:rPr>
              <w:t xml:space="preserve">Scenario</w:t>
            </w:r>
          </w:p>
        </w:tc>
        <w:tc>
          <w:tcPr>
            <w:tcW w:type="dxa" w:w="7260"/>
            <w:shd w:fill="EAF0FA" w:val="clear"/>
            <w:tcMar>
              <w:top w:type="dxa" w:w="50"/>
              <w:left w:type="dxa" w:w="90"/>
              <w:bottom w:type="dxa" w:w="50"/>
              <w:right w:type="dxa" w:w="90"/>
            </w:tcMar>
          </w:tcPr>
          <w:p>
            <w:pPr>
              <w:spacing w:after="20"/>
            </w:pPr>
            <w:r>
              <w:rPr>
                <w:sz w:val="17"/>
                <w:szCs w:val="17"/>
              </w:rPr>
              <w:t xml:space="preserve">A saved simulation run: ruleset version + parameter values + result snapshot.</w:t>
            </w:r>
          </w:p>
        </w:tc>
      </w:tr>
      <w:tr>
        <w:tc>
          <w:tcPr>
            <w:tcW w:type="dxa" w:w="2100"/>
            <w:shd w:fill="FFFFFF" w:val="clear"/>
            <w:tcMar>
              <w:top w:type="dxa" w:w="50"/>
              <w:left w:type="dxa" w:w="90"/>
              <w:bottom w:type="dxa" w:w="50"/>
              <w:right w:type="dxa" w:w="90"/>
            </w:tcMar>
          </w:tcPr>
          <w:p>
            <w:pPr>
              <w:spacing w:after="20"/>
            </w:pPr>
            <w:r>
              <w:rPr>
                <w:sz w:val="17"/>
                <w:szCs w:val="17"/>
              </w:rPr>
              <w:t xml:space="preserve">Operational plane</w:t>
            </w:r>
          </w:p>
        </w:tc>
        <w:tc>
          <w:tcPr>
            <w:tcW w:type="dxa" w:w="7260"/>
            <w:shd w:fill="FFFFFF" w:val="clear"/>
            <w:tcMar>
              <w:top w:type="dxa" w:w="50"/>
              <w:left w:type="dxa" w:w="90"/>
              <w:bottom w:type="dxa" w:w="50"/>
              <w:right w:type="dxa" w:w="90"/>
            </w:tcMar>
          </w:tcPr>
          <w:p>
            <w:pPr>
              <w:spacing w:after="20"/>
            </w:pPr>
            <w:r>
              <w:rPr>
                <w:sz w:val="17"/>
                <w:szCs w:val="17"/>
              </w:rPr>
              <w:t xml:space="preserve">SRSE's own data (catalogue, mappings, rulesets, scenarios) in DB2 via JPA.</w:t>
            </w:r>
          </w:p>
        </w:tc>
      </w:tr>
      <w:tr>
        <w:tc>
          <w:tcPr>
            <w:tcW w:type="dxa" w:w="2100"/>
            <w:shd w:fill="EAF0FA" w:val="clear"/>
            <w:tcMar>
              <w:top w:type="dxa" w:w="50"/>
              <w:left w:type="dxa" w:w="90"/>
              <w:bottom w:type="dxa" w:w="50"/>
              <w:right w:type="dxa" w:w="90"/>
            </w:tcMar>
          </w:tcPr>
          <w:p>
            <w:pPr>
              <w:spacing w:after="20"/>
            </w:pPr>
            <w:r>
              <w:rPr>
                <w:sz w:val="17"/>
                <w:szCs w:val="17"/>
              </w:rPr>
              <w:t xml:space="preserve">Analytical plane</w:t>
            </w:r>
          </w:p>
        </w:tc>
        <w:tc>
          <w:tcPr>
            <w:tcW w:type="dxa" w:w="7260"/>
            <w:shd w:fill="EAF0FA" w:val="clear"/>
            <w:tcMar>
              <w:top w:type="dxa" w:w="50"/>
              <w:left w:type="dxa" w:w="90"/>
              <w:bottom w:type="dxa" w:w="50"/>
              <w:right w:type="dxa" w:w="90"/>
            </w:tcMar>
          </w:tcPr>
          <w:p>
            <w:pPr>
              <w:spacing w:after="20"/>
            </w:pPr>
            <w:r>
              <w:rPr>
                <w:sz w:val="17"/>
                <w:szCs w:val="17"/>
              </w:rPr>
              <w:t xml:space="preserve">The simulation query, executed in Presto over Iceberg via JDBC.</w:t>
            </w:r>
          </w:p>
        </w:tc>
      </w:tr>
      <w:tr>
        <w:tc>
          <w:tcPr>
            <w:tcW w:type="dxa" w:w="2100"/>
            <w:shd w:fill="FFFFFF" w:val="clear"/>
            <w:tcMar>
              <w:top w:type="dxa" w:w="50"/>
              <w:left w:type="dxa" w:w="90"/>
              <w:bottom w:type="dxa" w:w="50"/>
              <w:right w:type="dxa" w:w="90"/>
            </w:tcMar>
          </w:tcPr>
          <w:p>
            <w:pPr>
              <w:spacing w:after="20"/>
            </w:pPr>
            <w:r>
              <w:rPr>
                <w:sz w:val="17"/>
                <w:szCs w:val="17"/>
              </w:rPr>
              <w:t xml:space="preserve">Presto</w:t>
            </w:r>
          </w:p>
        </w:tc>
        <w:tc>
          <w:tcPr>
            <w:tcW w:type="dxa" w:w="7260"/>
            <w:shd w:fill="FFFFFF" w:val="clear"/>
            <w:tcMar>
              <w:top w:type="dxa" w:w="50"/>
              <w:left w:type="dxa" w:w="90"/>
              <w:bottom w:type="dxa" w:w="50"/>
              <w:right w:type="dxa" w:w="90"/>
            </w:tcMar>
          </w:tcPr>
          <w:p>
            <w:pPr>
              <w:spacing w:after="20"/>
            </w:pPr>
            <w:r>
              <w:rPr>
                <w:sz w:val="17"/>
                <w:szCs w:val="17"/>
              </w:rPr>
              <w:t xml:space="preserve">PrestoDB 0.297 — the query engine executing simulations in the client environment.</w:t>
            </w:r>
          </w:p>
        </w:tc>
      </w:tr>
      <w:tr>
        <w:tc>
          <w:tcPr>
            <w:tcW w:type="dxa" w:w="2100"/>
            <w:shd w:fill="EAF0FA" w:val="clear"/>
            <w:tcMar>
              <w:top w:type="dxa" w:w="50"/>
              <w:left w:type="dxa" w:w="90"/>
              <w:bottom w:type="dxa" w:w="50"/>
              <w:right w:type="dxa" w:w="90"/>
            </w:tcMar>
          </w:tcPr>
          <w:p>
            <w:pPr>
              <w:spacing w:after="20"/>
            </w:pPr>
            <w:r>
              <w:rPr>
                <w:sz w:val="17"/>
                <w:szCs w:val="17"/>
              </w:rPr>
              <w:t xml:space="preserve">Iceberg</w:t>
            </w:r>
          </w:p>
        </w:tc>
        <w:tc>
          <w:tcPr>
            <w:tcW w:type="dxa" w:w="7260"/>
            <w:shd w:fill="EAF0FA" w:val="clear"/>
            <w:tcMar>
              <w:top w:type="dxa" w:w="50"/>
              <w:left w:type="dxa" w:w="90"/>
              <w:bottom w:type="dxa" w:w="50"/>
              <w:right w:type="dxa" w:w="90"/>
            </w:tcMar>
          </w:tcPr>
          <w:p>
            <w:pPr>
              <w:spacing w:after="20"/>
            </w:pPr>
            <w:r>
              <w:rPr>
                <w:sz w:val="17"/>
                <w:szCs w:val="17"/>
              </w:rPr>
              <w:t xml:space="preserve">Table format 1.8.1 of the Golden Layer, stored on MinIO.</w:t>
            </w:r>
          </w:p>
        </w:tc>
      </w:tr>
      <w:tr>
        <w:tc>
          <w:tcPr>
            <w:tcW w:type="dxa" w:w="2100"/>
            <w:shd w:fill="FFFFFF" w:val="clear"/>
            <w:tcMar>
              <w:top w:type="dxa" w:w="50"/>
              <w:left w:type="dxa" w:w="90"/>
              <w:bottom w:type="dxa" w:w="50"/>
              <w:right w:type="dxa" w:w="90"/>
            </w:tcMar>
          </w:tcPr>
          <w:p>
            <w:pPr>
              <w:spacing w:after="20"/>
            </w:pPr>
            <w:r>
              <w:rPr>
                <w:sz w:val="17"/>
                <w:szCs w:val="17"/>
              </w:rPr>
              <w:t xml:space="preserve">MDS</w:t>
            </w:r>
          </w:p>
        </w:tc>
        <w:tc>
          <w:tcPr>
            <w:tcW w:type="dxa" w:w="7260"/>
            <w:shd w:fill="FFFFFF" w:val="clear"/>
            <w:tcMar>
              <w:top w:type="dxa" w:w="50"/>
              <w:left w:type="dxa" w:w="90"/>
              <w:bottom w:type="dxa" w:w="50"/>
              <w:right w:type="dxa" w:w="90"/>
            </w:tcMar>
          </w:tcPr>
          <w:p>
            <w:pPr>
              <w:spacing w:after="20"/>
            </w:pPr>
            <w:r>
              <w:rPr>
                <w:sz w:val="17"/>
                <w:szCs w:val="17"/>
              </w:rPr>
              <w:t xml:space="preserve">Metadata Store (REST/Thrift, on-prem 2.3.1) — resolves table schemas for Presto.</w:t>
            </w:r>
          </w:p>
        </w:tc>
      </w:tr>
      <w:tr>
        <w:tc>
          <w:tcPr>
            <w:tcW w:type="dxa" w:w="2100"/>
            <w:shd w:fill="EAF0FA" w:val="clear"/>
            <w:tcMar>
              <w:top w:type="dxa" w:w="50"/>
              <w:left w:type="dxa" w:w="90"/>
              <w:bottom w:type="dxa" w:w="50"/>
              <w:right w:type="dxa" w:w="90"/>
            </w:tcMar>
          </w:tcPr>
          <w:p>
            <w:pPr>
              <w:spacing w:after="20"/>
            </w:pPr>
            <w:r>
              <w:rPr>
                <w:sz w:val="17"/>
                <w:szCs w:val="17"/>
              </w:rPr>
              <w:t xml:space="preserve">DMN</w:t>
            </w:r>
          </w:p>
        </w:tc>
        <w:tc>
          <w:tcPr>
            <w:tcW w:type="dxa" w:w="7260"/>
            <w:shd w:fill="EAF0FA" w:val="clear"/>
            <w:tcMar>
              <w:top w:type="dxa" w:w="50"/>
              <w:left w:type="dxa" w:w="90"/>
              <w:bottom w:type="dxa" w:w="50"/>
              <w:right w:type="dxa" w:w="90"/>
            </w:tcMar>
          </w:tcPr>
          <w:p>
            <w:pPr>
              <w:spacing w:after="20"/>
            </w:pPr>
            <w:r>
              <w:rPr>
                <w:sz w:val="17"/>
                <w:szCs w:val="17"/>
              </w:rPr>
              <w:t xml:space="preserve">Decision Model and Notation — the OMG rule-modelling standard the rule model is shaped to.</w:t>
            </w:r>
          </w:p>
        </w:tc>
      </w:tr>
      <w:tr>
        <w:tc>
          <w:tcPr>
            <w:tcW w:type="dxa" w:w="2100"/>
            <w:shd w:fill="FFFFFF" w:val="clear"/>
            <w:tcMar>
              <w:top w:type="dxa" w:w="50"/>
              <w:left w:type="dxa" w:w="90"/>
              <w:bottom w:type="dxa" w:w="50"/>
              <w:right w:type="dxa" w:w="90"/>
            </w:tcMar>
          </w:tcPr>
          <w:p>
            <w:pPr>
              <w:spacing w:after="20"/>
            </w:pPr>
            <w:r>
              <w:rPr>
                <w:sz w:val="17"/>
                <w:szCs w:val="17"/>
              </w:rPr>
              <w:t xml:space="preserve">ODM / ADS / CP4BA</w:t>
            </w:r>
          </w:p>
        </w:tc>
        <w:tc>
          <w:tcPr>
            <w:tcW w:type="dxa" w:w="7260"/>
            <w:shd w:fill="FFFFFF" w:val="clear"/>
            <w:tcMar>
              <w:top w:type="dxa" w:w="50"/>
              <w:left w:type="dxa" w:w="90"/>
              <w:bottom w:type="dxa" w:w="50"/>
              <w:right w:type="dxa" w:w="90"/>
            </w:tcMar>
          </w:tcPr>
          <w:p>
            <w:pPr>
              <w:spacing w:after="20"/>
            </w:pPr>
            <w:r>
              <w:rPr>
                <w:sz w:val="17"/>
                <w:szCs w:val="17"/>
              </w:rPr>
              <w:t xml:space="preserve">IBM Operational Decision Manager / Automation Decision Services / Cloud Pak for Business Automation — the future authoring surface.</w:t>
            </w:r>
          </w:p>
        </w:tc>
      </w:tr>
    </w:tbl>
    <w:p>
      <w:pPr>
        <w:pStyle w:val="Heading2"/>
        <w:spacing w:after="120" w:before="240"/>
      </w:pPr>
      <w:r>
        <w:rPr>
          <w:b/>
          <w:bCs/>
          <w:color w:val="2E5496"/>
          <w:sz w:val="26"/>
          <w:szCs w:val="26"/>
        </w:rPr>
        <w:t xml:space="preserve">1.4 Alignment with RFP Requirements</w:t>
      </w:r>
    </w:p>
    <w:p>
      <w:pPr>
        <w:spacing w:after="120" w:line="276"/>
        <w:jc w:val="both"/>
      </w:pPr>
      <w:r>
        <w:rPr>
          <w:sz w:val="21"/>
          <w:szCs w:val="21"/>
        </w:rPr>
        <w:t xml:space="preserve">SRSE is directly traceable to the following RFP obligations, strengthening its defensibility as a contracted deliverable:</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1900"/>
        <w:gridCol w:w="3730"/>
        <w:gridCol w:w="3730"/>
      </w:tblGrid>
      <w:tr>
        <w:trPr>
          <w:tblHeader/>
        </w:trPr>
        <w:tc>
          <w:tcPr>
            <w:tcW w:type="dxa" w:w="1900"/>
            <w:shd w:fill="1F3864" w:val="clear"/>
            <w:tcMar>
              <w:top w:type="dxa" w:w="60"/>
              <w:left w:type="dxa" w:w="90"/>
              <w:bottom w:type="dxa" w:w="60"/>
              <w:right w:type="dxa" w:w="90"/>
            </w:tcMar>
          </w:tcPr>
          <w:p>
            <w:r>
              <w:rPr>
                <w:b/>
                <w:bCs/>
                <w:color w:val="FFFFFF"/>
                <w:sz w:val="18"/>
                <w:szCs w:val="18"/>
              </w:rPr>
              <w:t xml:space="preserve">RFP Reference</w:t>
            </w:r>
          </w:p>
        </w:tc>
        <w:tc>
          <w:tcPr>
            <w:tcW w:type="dxa" w:w="3730"/>
            <w:shd w:fill="1F3864" w:val="clear"/>
            <w:tcMar>
              <w:top w:type="dxa" w:w="60"/>
              <w:left w:type="dxa" w:w="90"/>
              <w:bottom w:type="dxa" w:w="60"/>
              <w:right w:type="dxa" w:w="90"/>
            </w:tcMar>
          </w:tcPr>
          <w:p>
            <w:r>
              <w:rPr>
                <w:b/>
                <w:bCs/>
                <w:color w:val="FFFFFF"/>
                <w:sz w:val="18"/>
                <w:szCs w:val="18"/>
              </w:rPr>
              <w:t xml:space="preserve">Requirement (paraphrased)</w:t>
            </w:r>
          </w:p>
        </w:tc>
        <w:tc>
          <w:tcPr>
            <w:tcW w:type="dxa" w:w="3730"/>
            <w:shd w:fill="1F3864" w:val="clear"/>
            <w:tcMar>
              <w:top w:type="dxa" w:w="60"/>
              <w:left w:type="dxa" w:w="90"/>
              <w:bottom w:type="dxa" w:w="60"/>
              <w:right w:type="dxa" w:w="90"/>
            </w:tcMar>
          </w:tcPr>
          <w:p>
            <w:r>
              <w:rPr>
                <w:b/>
                <w:bCs/>
                <w:color w:val="FFFFFF"/>
                <w:sz w:val="18"/>
                <w:szCs w:val="18"/>
              </w:rPr>
              <w:t xml:space="preserve">How SRSE satisfies it</w:t>
            </w:r>
          </w:p>
        </w:tc>
      </w:tr>
      <w:tr>
        <w:tc>
          <w:tcPr>
            <w:tcW w:type="dxa" w:w="1900"/>
            <w:shd w:fill="FFFFFF" w:val="clear"/>
            <w:tcMar>
              <w:top w:type="dxa" w:w="50"/>
              <w:left w:type="dxa" w:w="90"/>
              <w:bottom w:type="dxa" w:w="50"/>
              <w:right w:type="dxa" w:w="90"/>
            </w:tcMar>
          </w:tcPr>
          <w:p>
            <w:pPr>
              <w:spacing w:after="20"/>
            </w:pPr>
            <w:r>
              <w:rPr>
                <w:sz w:val="17"/>
                <w:szCs w:val="17"/>
              </w:rPr>
              <w:t xml:space="preserve">§B.6 (Tech spec sheet)</w:t>
            </w:r>
          </w:p>
        </w:tc>
        <w:tc>
          <w:tcPr>
            <w:tcW w:type="dxa" w:w="3730"/>
            <w:shd w:fill="FFFFFF" w:val="clear"/>
            <w:tcMar>
              <w:top w:type="dxa" w:w="50"/>
              <w:left w:type="dxa" w:w="90"/>
              <w:bottom w:type="dxa" w:w="50"/>
              <w:right w:type="dxa" w:w="90"/>
            </w:tcMar>
          </w:tcPr>
          <w:p>
            <w:pPr>
              <w:spacing w:after="20"/>
            </w:pPr>
            <w:r>
              <w:rPr>
                <w:sz w:val="17"/>
                <w:szCs w:val="17"/>
              </w:rPr>
              <w:t xml:space="preserve">Decision Model and Notation (DMN)-based business rules.</w:t>
            </w:r>
          </w:p>
        </w:tc>
        <w:tc>
          <w:tcPr>
            <w:tcW w:type="dxa" w:w="3730"/>
            <w:shd w:fill="FFFFFF" w:val="clear"/>
            <w:tcMar>
              <w:top w:type="dxa" w:w="50"/>
              <w:left w:type="dxa" w:w="90"/>
              <w:bottom w:type="dxa" w:w="50"/>
              <w:right w:type="dxa" w:w="90"/>
            </w:tcMar>
          </w:tcPr>
          <w:p>
            <w:pPr>
              <w:spacing w:after="20"/>
            </w:pPr>
            <w:r>
              <w:rPr>
                <w:sz w:val="17"/>
                <w:szCs w:val="17"/>
              </w:rPr>
              <w:t xml:space="preserve">Rule model is DMN-shaped decision tables; portable to ODM/ADS later.</w:t>
            </w:r>
          </w:p>
        </w:tc>
      </w:tr>
      <w:tr>
        <w:tc>
          <w:tcPr>
            <w:tcW w:type="dxa" w:w="1900"/>
            <w:shd w:fill="EAF0FA" w:val="clear"/>
            <w:tcMar>
              <w:top w:type="dxa" w:w="50"/>
              <w:left w:type="dxa" w:w="90"/>
              <w:bottom w:type="dxa" w:w="50"/>
              <w:right w:type="dxa" w:w="90"/>
            </w:tcMar>
          </w:tcPr>
          <w:p>
            <w:pPr>
              <w:spacing w:after="20"/>
            </w:pPr>
            <w:r>
              <w:rPr>
                <w:sz w:val="17"/>
                <w:szCs w:val="17"/>
              </w:rPr>
              <w:t xml:space="preserve">§B.7 (Tech spec sheet)</w:t>
            </w:r>
          </w:p>
        </w:tc>
        <w:tc>
          <w:tcPr>
            <w:tcW w:type="dxa" w:w="3730"/>
            <w:shd w:fill="EAF0FA" w:val="clear"/>
            <w:tcMar>
              <w:top w:type="dxa" w:w="50"/>
              <w:left w:type="dxa" w:w="90"/>
              <w:bottom w:type="dxa" w:w="50"/>
              <w:right w:type="dxa" w:w="90"/>
            </w:tcMar>
          </w:tcPr>
          <w:p>
            <w:pPr>
              <w:spacing w:after="20"/>
            </w:pPr>
            <w:r>
              <w:rPr>
                <w:sz w:val="17"/>
                <w:szCs w:val="17"/>
              </w:rPr>
              <w:t xml:space="preserve">A Rule Engine and Workflow Management Platform.</w:t>
            </w:r>
          </w:p>
        </w:tc>
        <w:tc>
          <w:tcPr>
            <w:tcW w:type="dxa" w:w="3730"/>
            <w:shd w:fill="EAF0FA" w:val="clear"/>
            <w:tcMar>
              <w:top w:type="dxa" w:w="50"/>
              <w:left w:type="dxa" w:w="90"/>
              <w:bottom w:type="dxa" w:w="50"/>
              <w:right w:type="dxa" w:w="90"/>
            </w:tcMar>
          </w:tcPr>
          <w:p>
            <w:pPr>
              <w:spacing w:after="20"/>
            </w:pPr>
            <w:r>
              <w:rPr>
                <w:sz w:val="17"/>
                <w:szCs w:val="17"/>
              </w:rPr>
              <w:t xml:space="preserve">SRSE is the rule-evaluation engine; CP4BA path adds the platform.</w:t>
            </w:r>
          </w:p>
        </w:tc>
      </w:tr>
      <w:tr>
        <w:tc>
          <w:tcPr>
            <w:tcW w:type="dxa" w:w="1900"/>
            <w:shd w:fill="FFFFFF" w:val="clear"/>
            <w:tcMar>
              <w:top w:type="dxa" w:w="50"/>
              <w:left w:type="dxa" w:w="90"/>
              <w:bottom w:type="dxa" w:w="50"/>
              <w:right w:type="dxa" w:w="90"/>
            </w:tcMar>
          </w:tcPr>
          <w:p>
            <w:pPr>
              <w:spacing w:after="20"/>
            </w:pPr>
            <w:r>
              <w:rPr>
                <w:sz w:val="17"/>
                <w:szCs w:val="17"/>
              </w:rPr>
              <w:t xml:space="preserve">Core objectives</w:t>
            </w:r>
          </w:p>
        </w:tc>
        <w:tc>
          <w:tcPr>
            <w:tcW w:type="dxa" w:w="3730"/>
            <w:shd w:fill="FFFFFF" w:val="clear"/>
            <w:tcMar>
              <w:top w:type="dxa" w:w="50"/>
              <w:left w:type="dxa" w:w="90"/>
              <w:bottom w:type="dxa" w:w="50"/>
              <w:right w:type="dxa" w:w="90"/>
            </w:tcMar>
          </w:tcPr>
          <w:p>
            <w:pPr>
              <w:spacing w:after="20"/>
            </w:pPr>
            <w:r>
              <w:rPr>
                <w:sz w:val="17"/>
                <w:szCs w:val="17"/>
              </w:rPr>
              <w:t xml:space="preserve">System-driven eligibility determination against authentic data.</w:t>
            </w:r>
          </w:p>
        </w:tc>
        <w:tc>
          <w:tcPr>
            <w:tcW w:type="dxa" w:w="3730"/>
            <w:shd w:fill="FFFFFF" w:val="clear"/>
            <w:tcMar>
              <w:top w:type="dxa" w:w="50"/>
              <w:left w:type="dxa" w:w="90"/>
              <w:bottom w:type="dxa" w:w="50"/>
              <w:right w:type="dxa" w:w="90"/>
            </w:tcMar>
          </w:tcPr>
          <w:p>
            <w:pPr>
              <w:spacing w:after="20"/>
            </w:pPr>
            <w:r>
              <w:rPr>
                <w:sz w:val="17"/>
                <w:szCs w:val="17"/>
              </w:rPr>
              <w:t xml:space="preserve">Push-down simulation over Golden Layer confirmed data.</w:t>
            </w:r>
          </w:p>
        </w:tc>
      </w:tr>
      <w:tr>
        <w:tc>
          <w:tcPr>
            <w:tcW w:type="dxa" w:w="1900"/>
            <w:shd w:fill="EAF0FA" w:val="clear"/>
            <w:tcMar>
              <w:top w:type="dxa" w:w="50"/>
              <w:left w:type="dxa" w:w="90"/>
              <w:bottom w:type="dxa" w:w="50"/>
              <w:right w:type="dxa" w:w="90"/>
            </w:tcMar>
          </w:tcPr>
          <w:p>
            <w:pPr>
              <w:spacing w:after="20"/>
            </w:pPr>
            <w:r>
              <w:rPr>
                <w:sz w:val="17"/>
                <w:szCs w:val="17"/>
              </w:rPr>
              <w:t xml:space="preserve">Maker-checker (governance)</w:t>
            </w:r>
          </w:p>
        </w:tc>
        <w:tc>
          <w:tcPr>
            <w:tcW w:type="dxa" w:w="3730"/>
            <w:shd w:fill="EAF0FA" w:val="clear"/>
            <w:tcMar>
              <w:top w:type="dxa" w:w="50"/>
              <w:left w:type="dxa" w:w="90"/>
              <w:bottom w:type="dxa" w:w="50"/>
              <w:right w:type="dxa" w:w="90"/>
            </w:tcMar>
          </w:tcPr>
          <w:p>
            <w:pPr>
              <w:spacing w:after="20"/>
            </w:pPr>
            <w:r>
              <w:rPr>
                <w:sz w:val="17"/>
                <w:szCs w:val="17"/>
              </w:rPr>
              <w:t xml:space="preserve">Verification before publication of official configurations.</w:t>
            </w:r>
          </w:p>
        </w:tc>
        <w:tc>
          <w:tcPr>
            <w:tcW w:type="dxa" w:w="3730"/>
            <w:shd w:fill="EAF0FA" w:val="clear"/>
            <w:tcMar>
              <w:top w:type="dxa" w:w="50"/>
              <w:left w:type="dxa" w:w="90"/>
              <w:bottom w:type="dxa" w:w="50"/>
              <w:right w:type="dxa" w:w="90"/>
            </w:tcMar>
          </w:tcPr>
          <w:p>
            <w:pPr>
              <w:spacing w:after="20"/>
            </w:pPr>
            <w:r>
              <w:rPr>
                <w:sz w:val="17"/>
                <w:szCs w:val="17"/>
              </w:rPr>
              <w:t xml:space="preserve">Ruleset promotion gated by maker-checker (Section 6.5 / CP4BA path).</w:t>
            </w:r>
          </w:p>
        </w:tc>
      </w:tr>
    </w:tbl>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RFP page references</w:t>
            </w:r>
          </w:p>
          <w:p>
            <w:pPr>
              <w:spacing w:after="40"/>
              <w:jc w:val="both"/>
            </w:pPr>
            <w:r>
              <w:rPr>
                <w:color w:val="1A1A1A"/>
                <w:sz w:val="20"/>
                <w:szCs w:val="20"/>
              </w:rPr>
              <w:t xml:space="preserve">Exact clause page numbers (observed around p.135 for §B.6–B.7 and p.14 for objectives in the working RFP copy) must be confirmed against the controlled FINALRFP.pdf pagination before external issue.</w:t>
            </w:r>
          </w:p>
        </w:tc>
      </w:tr>
    </w:tbl>
    <w:p>
      <w:r>
        <w:br w:type="page"/>
      </w:r>
    </w:p>
    <w:p>
      <w:pPr>
        <w:pStyle w:val="Heading1"/>
        <w:spacing w:after="160" w:before="320"/>
      </w:pPr>
      <w:r>
        <w:rPr>
          <w:b/>
          <w:bCs/>
          <w:color w:val="1F3864"/>
          <w:sz w:val="30"/>
          <w:szCs w:val="30"/>
        </w:rPr>
        <w:t xml:space="preserve">2. Business Context &amp; Problem Statement</w:t>
      </w:r>
    </w:p>
    <w:p>
      <w:pPr>
        <w:pStyle w:val="Heading2"/>
        <w:spacing w:after="120" w:before="240"/>
      </w:pPr>
      <w:r>
        <w:rPr>
          <w:b/>
          <w:bCs/>
          <w:color w:val="2E5496"/>
          <w:sz w:val="26"/>
          <w:szCs w:val="26"/>
        </w:rPr>
        <w:t xml:space="preserve">2.1 Current State</w:t>
      </w:r>
    </w:p>
    <w:p>
      <w:pPr>
        <w:spacing w:after="120" w:line="276"/>
        <w:jc w:val="both"/>
      </w:pPr>
      <w:r>
        <w:rPr>
          <w:sz w:val="21"/>
          <w:szCs w:val="21"/>
        </w:rPr>
        <w:t xml:space="preserve">Departmental officers today perform scheme eligibility analysis manually and inconsistently. To answer a question such as 'how many beneficiaries would qualify if we changed the eligibility age or income ceiling', an officer currently:</w:t>
      </w:r>
    </w:p>
    <w:p>
      <w:pPr>
        <w:pStyle w:val="ListParagraph"/>
        <w:numPr>
          <w:ilvl w:val="0"/>
          <w:numId w:val="2"/>
        </w:numPr>
        <w:spacing w:after="60" w:line="264"/>
      </w:pPr>
      <w:r>
        <w:rPr>
          <w:sz w:val="21"/>
          <w:szCs w:val="21"/>
        </w:rPr>
        <w:t xml:space="preserve">Writes or requests PL/SQL scripts against the data platform.</w:t>
      </w:r>
    </w:p>
    <w:p>
      <w:pPr>
        <w:pStyle w:val="ListParagraph"/>
        <w:numPr>
          <w:ilvl w:val="0"/>
          <w:numId w:val="2"/>
        </w:numPr>
        <w:spacing w:after="60" w:line="264"/>
      </w:pPr>
      <w:r>
        <w:rPr>
          <w:sz w:val="21"/>
          <w:szCs w:val="21"/>
        </w:rPr>
        <w:t xml:space="preserve">Runs bespoke ETL jobs to extract and join data from multiple source tables.</w:t>
      </w:r>
    </w:p>
    <w:p>
      <w:pPr>
        <w:pStyle w:val="ListParagraph"/>
        <w:numPr>
          <w:ilvl w:val="0"/>
          <w:numId w:val="2"/>
        </w:numPr>
        <w:spacing w:after="60" w:line="264"/>
      </w:pPr>
      <w:r>
        <w:rPr>
          <w:sz w:val="21"/>
          <w:szCs w:val="21"/>
        </w:rPr>
        <w:t xml:space="preserve">For smaller analyses, exports a few thousand records into Excel and filters manually.</w:t>
      </w:r>
    </w:p>
    <w:p>
      <w:pPr>
        <w:pStyle w:val="Heading2"/>
        <w:spacing w:after="120" w:before="240"/>
      </w:pPr>
      <w:r>
        <w:rPr>
          <w:b/>
          <w:bCs/>
          <w:color w:val="2E5496"/>
          <w:sz w:val="26"/>
          <w:szCs w:val="26"/>
        </w:rPr>
        <w:t xml:space="preserve">2.2 Pain Points &amp; Limitations</w:t>
      </w:r>
    </w:p>
    <w:p>
      <w:pPr>
        <w:pStyle w:val="ListParagraph"/>
        <w:numPr>
          <w:ilvl w:val="0"/>
          <w:numId w:val="2"/>
        </w:numPr>
        <w:spacing w:after="60" w:line="264"/>
      </w:pPr>
      <w:r>
        <w:rPr>
          <w:sz w:val="21"/>
          <w:szCs w:val="21"/>
        </w:rPr>
        <w:t xml:space="preserve">Slow and developer-dependent: each new 'what-if' needs technical effort; officers cannot self-serve.</w:t>
      </w:r>
    </w:p>
    <w:p>
      <w:pPr>
        <w:pStyle w:val="ListParagraph"/>
        <w:numPr>
          <w:ilvl w:val="0"/>
          <w:numId w:val="2"/>
        </w:numPr>
        <w:spacing w:after="60" w:line="264"/>
      </w:pPr>
      <w:r>
        <w:rPr>
          <w:sz w:val="21"/>
          <w:szCs w:val="21"/>
        </w:rPr>
        <w:t xml:space="preserve">Not repeatable or comparable: results live in ad-hoc scripts and spreadsheets, with no versioning of the rules that produced them.</w:t>
      </w:r>
    </w:p>
    <w:p>
      <w:pPr>
        <w:pStyle w:val="ListParagraph"/>
        <w:numPr>
          <w:ilvl w:val="0"/>
          <w:numId w:val="2"/>
        </w:numPr>
        <w:spacing w:after="60" w:line="264"/>
      </w:pPr>
      <w:r>
        <w:rPr>
          <w:sz w:val="21"/>
          <w:szCs w:val="21"/>
        </w:rPr>
        <w:t xml:space="preserve">Error-prone: manual joins and Excel filtering on partial extracts risk incorrect counts driving policy decisions.</w:t>
      </w:r>
    </w:p>
    <w:p>
      <w:pPr>
        <w:pStyle w:val="ListParagraph"/>
        <w:numPr>
          <w:ilvl w:val="0"/>
          <w:numId w:val="2"/>
        </w:numPr>
        <w:spacing w:after="60" w:line="264"/>
      </w:pPr>
      <w:r>
        <w:rPr>
          <w:sz w:val="21"/>
          <w:szCs w:val="21"/>
        </w:rPr>
        <w:t xml:space="preserve">No governance: there is no controlled, reviewable definition of a scheme's 'official' ruleset.</w:t>
      </w:r>
    </w:p>
    <w:p>
      <w:pPr>
        <w:pStyle w:val="Heading2"/>
        <w:spacing w:after="120" w:before="240"/>
      </w:pPr>
      <w:r>
        <w:rPr>
          <w:b/>
          <w:bCs/>
          <w:color w:val="2E5496"/>
          <w:sz w:val="26"/>
          <w:szCs w:val="26"/>
        </w:rPr>
        <w:t xml:space="preserve">2.3 Target State</w:t>
      </w:r>
    </w:p>
    <w:p>
      <w:pPr>
        <w:spacing w:after="120" w:line="276"/>
        <w:jc w:val="both"/>
      </w:pPr>
      <w:r>
        <w:rPr>
          <w:sz w:val="21"/>
          <w:szCs w:val="21"/>
        </w:rPr>
        <w:t xml:space="preserve">SRSE replaces this with a self-service interface where an officer selects a scheme, composes or adjusts a ruleset from a catalogue of eligibility fields, changes thresholds on screen, and runs a simulation returning a beneficiary count, a demographic breakdown, and an optional cohort drill-down — executed against live lakehouse data, with every run saved as a versioned, comparable scenario.</w:t>
      </w:r>
    </w:p>
    <w:p>
      <w:pPr>
        <w:pStyle w:val="Heading2"/>
        <w:spacing w:after="120" w:before="240"/>
      </w:pPr>
      <w:r>
        <w:rPr>
          <w:b/>
          <w:bCs/>
          <w:color w:val="2E5496"/>
          <w:sz w:val="26"/>
          <w:szCs w:val="26"/>
        </w:rPr>
        <w:t xml:space="preserve">2.4 Illustrative Scenario — Lado Protsahan &amp; Pension Schemes</w:t>
      </w:r>
    </w:p>
    <w:p>
      <w:pPr>
        <w:spacing w:after="120" w:line="276"/>
        <w:jc w:val="both"/>
      </w:pPr>
      <w:r>
        <w:rPr>
          <w:sz w:val="21"/>
          <w:szCs w:val="21"/>
        </w:rPr>
        <w:t xml:space="preserve">Grounded in confirmed SMART scheme criteria (source: consolidated scheme-wise criteria list, Stage-1/Stage-2), consider an officer analysing pension eligibility:</w:t>
      </w:r>
    </w:p>
    <w:p>
      <w:pPr>
        <w:pStyle w:val="ListParagraph"/>
        <w:numPr>
          <w:ilvl w:val="0"/>
          <w:numId w:val="3"/>
        </w:numPr>
        <w:spacing w:after="60" w:line="264"/>
      </w:pPr>
      <w:r>
        <w:rPr>
          <w:sz w:val="21"/>
          <w:szCs w:val="21"/>
        </w:rPr>
        <w:t xml:space="preserve">Officer opens 'Mukhyamantri Ekal Naari Samman Pension (Divorced Woman)'. Its official ruleset encodes: woman, divorced, age ≥ 18, total annual income &lt; ₹48,000, holds domicile — with an income-condition exemption for BPL / Antyodaya cardholders and Sahariya / Kathodi / Khairwa communities.</w:t>
      </w:r>
    </w:p>
    <w:p>
      <w:pPr>
        <w:pStyle w:val="ListParagraph"/>
        <w:numPr>
          <w:ilvl w:val="0"/>
          <w:numId w:val="3"/>
        </w:numPr>
        <w:spacing w:after="60" w:line="264"/>
      </w:pPr>
      <w:r>
        <w:rPr>
          <w:sz w:val="21"/>
          <w:szCs w:val="21"/>
        </w:rPr>
        <w:t xml:space="preserve">The officer asks a policy 'what-if': what if the income ceiling were raised from ₹48,000 to ₹60,000? They change one threshold on screen and re-run.</w:t>
      </w:r>
    </w:p>
    <w:p>
      <w:pPr>
        <w:pStyle w:val="ListParagraph"/>
        <w:numPr>
          <w:ilvl w:val="0"/>
          <w:numId w:val="3"/>
        </w:numPr>
        <w:spacing w:after="60" w:line="264"/>
      </w:pPr>
      <w:r>
        <w:rPr>
          <w:sz w:val="21"/>
          <w:szCs w:val="21"/>
        </w:rPr>
        <w:t xml:space="preserve">SRSE returns the new eligible count, the delta versus the official ruleset, and a district / age-band breakdown — in seconds, with no script.</w:t>
      </w:r>
    </w:p>
    <w:p>
      <w:pPr>
        <w:pStyle w:val="ListParagraph"/>
        <w:numPr>
          <w:ilvl w:val="0"/>
          <w:numId w:val="3"/>
        </w:numPr>
        <w:spacing w:after="60" w:line="264"/>
      </w:pPr>
      <w:r>
        <w:rPr>
          <w:sz w:val="21"/>
          <w:szCs w:val="21"/>
        </w:rPr>
        <w:t xml:space="preserve">Both runs are saved as scenarios ('Ekal Naari — official' vs 'Ekal Naari — income ₹60k') and compared side by side.</w:t>
      </w:r>
    </w:p>
    <w:tbl>
      <w:tblPr>
        <w:tblW w:type="pct" w:w="100%"/>
        <w:tblBorders>
          <w:top w:val="single" w:color="375623" w:sz="4"/>
          <w:left w:val="single" w:color="375623" w:sz="18"/>
          <w:bottom w:val="single" w:color="375623" w:sz="4"/>
          <w:right w:val="single" w:color="375623" w:sz="4"/>
          <w:insideH w:val="none"/>
          <w:insideV w:val="none"/>
        </w:tblBorders>
      </w:tblPr>
      <w:tblGrid>
        <w:gridCol w:w="9360"/>
      </w:tblGrid>
      <w:tr>
        <w:tc>
          <w:tcPr>
            <w:tcW w:type="dxa" w:w="9360"/>
            <w:shd w:fill="E2EFDA" w:val="clear"/>
            <w:tcMar>
              <w:top w:type="dxa" w:w="100"/>
              <w:left w:type="dxa" w:w="140"/>
              <w:bottom w:type="dxa" w:w="100"/>
              <w:right w:type="dxa" w:w="140"/>
            </w:tcMar>
          </w:tcPr>
          <w:p>
            <w:pPr>
              <w:spacing w:after="60"/>
            </w:pPr>
            <w:r>
              <w:rPr>
                <w:b/>
                <w:bCs/>
                <w:color w:val="375623"/>
                <w:sz w:val="20"/>
                <w:szCs w:val="20"/>
              </w:rPr>
              <w:t xml:space="preserve">✔ DECISION — Authentic thresholds</w:t>
            </w:r>
          </w:p>
          <w:p>
            <w:pPr>
              <w:spacing w:after="40"/>
              <w:jc w:val="both"/>
            </w:pPr>
            <w:r>
              <w:rPr>
                <w:color w:val="1A1A1A"/>
                <w:sz w:val="20"/>
                <w:szCs w:val="20"/>
              </w:rPr>
              <w:t xml:space="preserve">The worked example in Appendix B uses real thresholds from the confirmed criteria list: Ekal Naari (age ≥ 18, income &lt; ₹48,000); Vridhjan Women (age ≥ 55); Palanhaar (age &lt; 18, family income ≤ ₹1,20,000). No placeholder values are used.</w:t>
            </w:r>
          </w:p>
        </w:tc>
      </w:tr>
    </w:tbl>
    <w:p>
      <w:pPr>
        <w:pStyle w:val="Heading2"/>
        <w:spacing w:after="120" w:before="240"/>
      </w:pPr>
      <w:r>
        <w:rPr>
          <w:b/>
          <w:bCs/>
          <w:color w:val="2E5496"/>
          <w:sz w:val="26"/>
          <w:szCs w:val="26"/>
        </w:rPr>
        <w:t xml:space="preserve">2.5 In-Scope / Out-of-Scope</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4680"/>
        <w:gridCol w:w="4680"/>
      </w:tblGrid>
      <w:tr>
        <w:trPr>
          <w:tblHeader/>
        </w:trPr>
        <w:tc>
          <w:tcPr>
            <w:tcW w:type="dxa" w:w="4680"/>
            <w:shd w:fill="1F3864" w:val="clear"/>
            <w:tcMar>
              <w:top w:type="dxa" w:w="60"/>
              <w:left w:type="dxa" w:w="90"/>
              <w:bottom w:type="dxa" w:w="60"/>
              <w:right w:type="dxa" w:w="90"/>
            </w:tcMar>
          </w:tcPr>
          <w:p>
            <w:r>
              <w:rPr>
                <w:b/>
                <w:bCs/>
                <w:color w:val="FFFFFF"/>
                <w:sz w:val="18"/>
                <w:szCs w:val="18"/>
              </w:rPr>
              <w:t xml:space="preserve">In Scope</w:t>
            </w:r>
          </w:p>
        </w:tc>
        <w:tc>
          <w:tcPr>
            <w:tcW w:type="dxa" w:w="4680"/>
            <w:shd w:fill="1F3864" w:val="clear"/>
            <w:tcMar>
              <w:top w:type="dxa" w:w="60"/>
              <w:left w:type="dxa" w:w="90"/>
              <w:bottom w:type="dxa" w:w="60"/>
              <w:right w:type="dxa" w:w="90"/>
            </w:tcMar>
          </w:tcPr>
          <w:p>
            <w:r>
              <w:rPr>
                <w:b/>
                <w:bCs/>
                <w:color w:val="FFFFFF"/>
                <w:sz w:val="18"/>
                <w:szCs w:val="18"/>
              </w:rPr>
              <w:t xml:space="preserve">Out of Scope</w:t>
            </w:r>
          </w:p>
        </w:tc>
      </w:tr>
      <w:tr>
        <w:tc>
          <w:tcPr>
            <w:tcW w:type="dxa" w:w="4680"/>
            <w:shd w:fill="FFFFFF" w:val="clear"/>
            <w:tcMar>
              <w:top w:type="dxa" w:w="50"/>
              <w:left w:type="dxa" w:w="90"/>
              <w:bottom w:type="dxa" w:w="50"/>
              <w:right w:type="dxa" w:w="90"/>
            </w:tcMar>
          </w:tcPr>
          <w:p>
            <w:pPr>
              <w:spacing w:after="20"/>
            </w:pPr>
            <w:r>
              <w:rPr>
                <w:sz w:val="17"/>
                <w:szCs w:val="17"/>
              </w:rPr>
              <w:t xml:space="preserve">Rule authoring &amp; threshold editing UI</w:t>
            </w:r>
          </w:p>
        </w:tc>
        <w:tc>
          <w:tcPr>
            <w:tcW w:type="dxa" w:w="4680"/>
            <w:shd w:fill="FFFFFF" w:val="clear"/>
            <w:tcMar>
              <w:top w:type="dxa" w:w="50"/>
              <w:left w:type="dxa" w:w="90"/>
              <w:bottom w:type="dxa" w:w="50"/>
              <w:right w:type="dxa" w:w="90"/>
            </w:tcMar>
          </w:tcPr>
          <w:p>
            <w:pPr>
              <w:spacing w:after="20"/>
            </w:pPr>
            <w:r>
              <w:rPr>
                <w:sz w:val="17"/>
                <w:szCs w:val="17"/>
              </w:rPr>
              <w:t xml:space="preserve">The broader SMART citizen/department portal</w:t>
            </w:r>
          </w:p>
        </w:tc>
      </w:tr>
      <w:tr>
        <w:tc>
          <w:tcPr>
            <w:tcW w:type="dxa" w:w="4680"/>
            <w:shd w:fill="EAF0FA" w:val="clear"/>
            <w:tcMar>
              <w:top w:type="dxa" w:w="50"/>
              <w:left w:type="dxa" w:w="90"/>
              <w:bottom w:type="dxa" w:w="50"/>
              <w:right w:type="dxa" w:w="90"/>
            </w:tcMar>
          </w:tcPr>
          <w:p>
            <w:pPr>
              <w:spacing w:after="20"/>
            </w:pPr>
            <w:r>
              <w:rPr>
                <w:sz w:val="17"/>
                <w:szCs w:val="17"/>
              </w:rPr>
              <w:t xml:space="preserve">Rule-to-SQL (Presto) compiler</w:t>
            </w:r>
          </w:p>
        </w:tc>
        <w:tc>
          <w:tcPr>
            <w:tcW w:type="dxa" w:w="4680"/>
            <w:shd w:fill="EAF0FA" w:val="clear"/>
            <w:tcMar>
              <w:top w:type="dxa" w:w="50"/>
              <w:left w:type="dxa" w:w="90"/>
              <w:bottom w:type="dxa" w:w="50"/>
              <w:right w:type="dxa" w:w="90"/>
            </w:tcMar>
          </w:tcPr>
          <w:p>
            <w:pPr>
              <w:spacing w:after="20"/>
            </w:pPr>
            <w:r>
              <w:rPr>
                <w:sz w:val="17"/>
                <w:szCs w:val="17"/>
              </w:rPr>
              <w:t xml:space="preserve">Live multi-table joins defined by officers (§6.1 / §2 principle)</w:t>
            </w:r>
          </w:p>
        </w:tc>
      </w:tr>
      <w:tr>
        <w:tc>
          <w:tcPr>
            <w:tcW w:type="dxa" w:w="4680"/>
            <w:shd w:fill="FFFFFF" w:val="clear"/>
            <w:tcMar>
              <w:top w:type="dxa" w:w="50"/>
              <w:left w:type="dxa" w:w="90"/>
              <w:bottom w:type="dxa" w:w="50"/>
              <w:right w:type="dxa" w:w="90"/>
            </w:tcMar>
          </w:tcPr>
          <w:p>
            <w:pPr>
              <w:spacing w:after="20"/>
            </w:pPr>
            <w:r>
              <w:rPr>
                <w:sz w:val="17"/>
                <w:szCs w:val="17"/>
              </w:rPr>
              <w:t xml:space="preserve">Lakehouse push-down execution</w:t>
            </w:r>
          </w:p>
        </w:tc>
        <w:tc>
          <w:tcPr>
            <w:tcW w:type="dxa" w:w="4680"/>
            <w:shd w:fill="FFFFFF" w:val="clear"/>
            <w:tcMar>
              <w:top w:type="dxa" w:w="50"/>
              <w:left w:type="dxa" w:w="90"/>
              <w:bottom w:type="dxa" w:w="50"/>
              <w:right w:type="dxa" w:w="90"/>
            </w:tcMar>
          </w:tcPr>
          <w:p>
            <w:pPr>
              <w:spacing w:after="20"/>
            </w:pPr>
            <w:r>
              <w:rPr>
                <w:sz w:val="17"/>
                <w:szCs w:val="17"/>
              </w:rPr>
              <w:t xml:space="preserve">Production-grade HA / DR (Dev-environment tool)</w:t>
            </w:r>
          </w:p>
        </w:tc>
      </w:tr>
      <w:tr>
        <w:tc>
          <w:tcPr>
            <w:tcW w:type="dxa" w:w="4680"/>
            <w:shd w:fill="EAF0FA" w:val="clear"/>
            <w:tcMar>
              <w:top w:type="dxa" w:w="50"/>
              <w:left w:type="dxa" w:w="90"/>
              <w:bottom w:type="dxa" w:w="50"/>
              <w:right w:type="dxa" w:w="90"/>
            </w:tcMar>
          </w:tcPr>
          <w:p>
            <w:pPr>
              <w:spacing w:after="20"/>
            </w:pPr>
            <w:r>
              <w:rPr>
                <w:sz w:val="17"/>
                <w:szCs w:val="17"/>
              </w:rPr>
              <w:t xml:space="preserve">Scenario result store &amp; comparison</w:t>
            </w:r>
          </w:p>
        </w:tc>
        <w:tc>
          <w:tcPr>
            <w:tcW w:type="dxa" w:w="4680"/>
            <w:shd w:fill="EAF0FA" w:val="clear"/>
            <w:tcMar>
              <w:top w:type="dxa" w:w="50"/>
              <w:left w:type="dxa" w:w="90"/>
              <w:bottom w:type="dxa" w:w="50"/>
              <w:right w:type="dxa" w:w="90"/>
            </w:tcMar>
          </w:tcPr>
          <w:p>
            <w:pPr>
              <w:spacing w:after="20"/>
            </w:pPr>
            <w:r>
              <w:rPr>
                <w:sz w:val="17"/>
                <w:szCs w:val="17"/>
              </w:rPr>
              <w:t xml:space="preserve">The AI/ML scoring use cases (AI-03/AI-07 etc.)</w:t>
            </w:r>
          </w:p>
        </w:tc>
      </w:tr>
      <w:tr>
        <w:tc>
          <w:tcPr>
            <w:tcW w:type="dxa" w:w="4680"/>
            <w:shd w:fill="FFFFFF" w:val="clear"/>
            <w:tcMar>
              <w:top w:type="dxa" w:w="50"/>
              <w:left w:type="dxa" w:w="90"/>
              <w:bottom w:type="dxa" w:w="50"/>
              <w:right w:type="dxa" w:w="90"/>
            </w:tcMar>
          </w:tcPr>
          <w:p>
            <w:pPr>
              <w:spacing w:after="20"/>
            </w:pPr>
            <w:r>
              <w:rPr>
                <w:sz w:val="17"/>
                <w:szCs w:val="17"/>
              </w:rPr>
              <w:t xml:space="preserve">Metadata field→column mapping (admin)</w:t>
            </w:r>
          </w:p>
        </w:tc>
        <w:tc>
          <w:tcPr>
            <w:tcW w:type="dxa" w:w="4680"/>
            <w:shd w:fill="FFFFFF" w:val="clear"/>
            <w:tcMar>
              <w:top w:type="dxa" w:w="50"/>
              <w:left w:type="dxa" w:w="90"/>
              <w:bottom w:type="dxa" w:w="50"/>
              <w:right w:type="dxa" w:w="90"/>
            </w:tcMar>
          </w:tcPr>
          <w:p>
            <w:pPr>
              <w:spacing w:after="20"/>
            </w:pPr>
            <w:r>
              <w:rPr>
                <w:sz w:val="17"/>
                <w:szCs w:val="17"/>
              </w:rPr>
              <w:t xml:space="preserve">Automated write-back of decisions to source systems</w:t>
            </w:r>
          </w:p>
        </w:tc>
      </w:tr>
      <w:tr>
        <w:tc>
          <w:tcPr>
            <w:tcW w:type="dxa" w:w="4680"/>
            <w:shd w:fill="EAF0FA" w:val="clear"/>
            <w:tcMar>
              <w:top w:type="dxa" w:w="50"/>
              <w:left w:type="dxa" w:w="90"/>
              <w:bottom w:type="dxa" w:w="50"/>
              <w:right w:type="dxa" w:w="90"/>
            </w:tcMar>
          </w:tcPr>
          <w:p>
            <w:pPr>
              <w:spacing w:after="20"/>
            </w:pPr>
            <w:r>
              <w:rPr>
                <w:sz w:val="17"/>
                <w:szCs w:val="17"/>
              </w:rPr>
              <w:t xml:space="preserve">Synthetic data for local development</w:t>
            </w:r>
          </w:p>
        </w:tc>
        <w:tc>
          <w:tcPr>
            <w:tcW w:type="dxa" w:w="4680"/>
            <w:shd w:fill="EAF0FA" w:val="clear"/>
            <w:tcMar>
              <w:top w:type="dxa" w:w="50"/>
              <w:left w:type="dxa" w:w="90"/>
              <w:bottom w:type="dxa" w:w="50"/>
              <w:right w:type="dxa" w:w="90"/>
            </w:tcMar>
          </w:tcPr>
          <w:p>
            <w:pPr>
              <w:spacing w:after="20"/>
            </w:pPr>
            <w:r>
              <w:rPr>
                <w:sz w:val="17"/>
                <w:szCs w:val="17"/>
              </w:rPr>
              <w:t xml:space="preserve">Real beneficiary data on the development laptop</w:t>
            </w:r>
          </w:p>
        </w:tc>
      </w:tr>
    </w:tbl>
    <w:p>
      <w:r>
        <w:br w:type="page"/>
      </w:r>
    </w:p>
    <w:p>
      <w:pPr>
        <w:pStyle w:val="Heading1"/>
        <w:spacing w:after="160" w:before="320"/>
      </w:pPr>
      <w:r>
        <w:rPr>
          <w:b/>
          <w:bCs/>
          <w:color w:val="1F3864"/>
          <w:sz w:val="30"/>
          <w:szCs w:val="30"/>
        </w:rPr>
        <w:t xml:space="preserve">3. Solution Overview</w:t>
      </w:r>
    </w:p>
    <w:p>
      <w:pPr>
        <w:pStyle w:val="Heading2"/>
        <w:spacing w:after="120" w:before="240"/>
      </w:pPr>
      <w:r>
        <w:rPr>
          <w:b/>
          <w:bCs/>
          <w:color w:val="2E5496"/>
          <w:sz w:val="26"/>
          <w:szCs w:val="26"/>
        </w:rPr>
        <w:t xml:space="preserve">3.1 Conceptual Architecture</w:t>
      </w:r>
    </w:p>
    <w:p>
      <w:pPr>
        <w:spacing w:after="120" w:line="276"/>
        <w:jc w:val="both"/>
      </w:pPr>
      <w:r>
        <w:rPr>
          <w:sz w:val="21"/>
          <w:szCs w:val="21"/>
        </w:rPr>
        <w:t xml:space="preserve">SRSE separates two concerns that must never be conflated: rule authoring (a governance and UX problem) and rule execution at population scale (an analytical query problem). Authoring is owned by SRSE's own UI now, designed to be replaceable by CP4BA/ODM later. Execution is always pushed down to the lakehouse query engine, where the data lives.</w:t>
      </w:r>
    </w:p>
    <w:p>
      <w:pPr>
        <w:spacing w:after="120" w:line="276"/>
        <w:jc w:val="both"/>
      </w:pPr>
      <w:r>
        <w:rPr>
          <w:b/>
          <w:bCs/>
          <w:sz w:val="21"/>
          <w:szCs w:val="21"/>
        </w:rPr>
        <w:t xml:space="preserve">Author (UI) </w:t>
      </w:r>
      <w:r>
        <w:rPr>
          <w:sz w:val="21"/>
          <w:szCs w:val="21"/>
        </w:rPr>
        <w:t xml:space="preserve">→ Ruleset (DMN-shaped) → Decision-service seam (REST) → </w:t>
      </w:r>
      <w:r>
        <w:rPr>
          <w:b/>
          <w:bCs/>
          <w:sz w:val="21"/>
          <w:szCs w:val="21"/>
        </w:rPr>
        <w:t xml:space="preserve">Rule-to-SQL compiler </w:t>
      </w:r>
      <w:r>
        <w:rPr>
          <w:sz w:val="21"/>
          <w:szCs w:val="21"/>
        </w:rPr>
        <w:t xml:space="preserve">→ Presto push-down → </w:t>
      </w:r>
      <w:r>
        <w:rPr>
          <w:b/>
          <w:bCs/>
          <w:sz w:val="21"/>
          <w:szCs w:val="21"/>
        </w:rPr>
        <w:t xml:space="preserve">Result store </w:t>
      </w:r>
      <w:r>
        <w:rPr>
          <w:sz w:val="21"/>
          <w:szCs w:val="21"/>
        </w:rPr>
        <w:t xml:space="preserve">→ Compare.</w:t>
      </w:r>
    </w:p>
    <w:p>
      <w:pPr>
        <w:pStyle w:val="Heading2"/>
        <w:spacing w:after="120" w:before="240"/>
      </w:pPr>
      <w:r>
        <w:rPr>
          <w:b/>
          <w:bCs/>
          <w:color w:val="2E5496"/>
          <w:sz w:val="26"/>
          <w:szCs w:val="26"/>
        </w:rPr>
        <w:t xml:space="preserve">3.2 Design Principles</w:t>
      </w:r>
    </w:p>
    <w:p>
      <w:pPr>
        <w:pStyle w:val="ListParagraph"/>
        <w:numPr>
          <w:ilvl w:val="0"/>
          <w:numId w:val="2"/>
        </w:numPr>
        <w:spacing w:after="60" w:line="264"/>
      </w:pPr>
      <w:r>
        <w:rPr>
          <w:b/>
          <w:bCs/>
          <w:sz w:val="21"/>
          <w:szCs w:val="21"/>
        </w:rPr>
        <w:t xml:space="preserve">Flat field catalogue. </w:t>
      </w:r>
      <w:r>
        <w:rPr>
          <w:sz w:val="21"/>
          <w:szCs w:val="21"/>
        </w:rPr>
        <w:t xml:space="preserve">Officers only ever see simple, single-table fields. All join / cross-table / relationship logic is pre-materialised into flat lakehouse columns before SRSE sees it.</w:t>
      </w:r>
    </w:p>
    <w:p>
      <w:pPr>
        <w:pStyle w:val="ListParagraph"/>
        <w:numPr>
          <w:ilvl w:val="0"/>
          <w:numId w:val="2"/>
        </w:numPr>
        <w:spacing w:after="60" w:line="264"/>
      </w:pPr>
      <w:r>
        <w:rPr>
          <w:b/>
          <w:bCs/>
          <w:sz w:val="21"/>
          <w:szCs w:val="21"/>
        </w:rPr>
        <w:t xml:space="preserve">Push-down execution. </w:t>
      </w:r>
      <w:r>
        <w:rPr>
          <w:sz w:val="21"/>
          <w:szCs w:val="21"/>
        </w:rPr>
        <w:t xml:space="preserve">The population count runs in Presto against Iceberg tables; SRSE never pulls large row sets into the application tier.</w:t>
      </w:r>
    </w:p>
    <w:p>
      <w:pPr>
        <w:pStyle w:val="ListParagraph"/>
        <w:numPr>
          <w:ilvl w:val="0"/>
          <w:numId w:val="2"/>
        </w:numPr>
        <w:spacing w:after="60" w:line="264"/>
      </w:pPr>
      <w:r>
        <w:rPr>
          <w:b/>
          <w:bCs/>
          <w:sz w:val="21"/>
          <w:szCs w:val="21"/>
        </w:rPr>
        <w:t xml:space="preserve">DMN-shaped rules. </w:t>
      </w:r>
      <w:r>
        <w:rPr>
          <w:sz w:val="21"/>
          <w:szCs w:val="21"/>
        </w:rPr>
        <w:t xml:space="preserve">The rule model mirrors DMN decision tables so the authoring surface can later be swapped for CP4BA/ODM with no change to the execution engine.</w:t>
      </w:r>
    </w:p>
    <w:p>
      <w:pPr>
        <w:pStyle w:val="ListParagraph"/>
        <w:numPr>
          <w:ilvl w:val="0"/>
          <w:numId w:val="2"/>
        </w:numPr>
        <w:spacing w:after="60" w:line="264"/>
      </w:pPr>
      <w:r>
        <w:rPr>
          <w:b/>
          <w:bCs/>
          <w:sz w:val="21"/>
          <w:szCs w:val="21"/>
        </w:rPr>
        <w:t xml:space="preserve">Schema-agnostic core. </w:t>
      </w:r>
      <w:r>
        <w:rPr>
          <w:sz w:val="21"/>
          <w:szCs w:val="21"/>
        </w:rPr>
        <w:t xml:space="preserve">No physical column name is hard-coded anywhere. The metadata mapping binds abstract fields to physical columns at deployment time.</w:t>
      </w:r>
    </w:p>
    <w:p>
      <w:pPr>
        <w:pStyle w:val="ListParagraph"/>
        <w:numPr>
          <w:ilvl w:val="0"/>
          <w:numId w:val="2"/>
        </w:numPr>
        <w:spacing w:after="60" w:line="264"/>
      </w:pPr>
      <w:r>
        <w:rPr>
          <w:b/>
          <w:bCs/>
          <w:sz w:val="21"/>
          <w:szCs w:val="21"/>
        </w:rPr>
        <w:t xml:space="preserve">Config-switched data source. </w:t>
      </w:r>
      <w:r>
        <w:rPr>
          <w:sz w:val="21"/>
          <w:szCs w:val="21"/>
        </w:rPr>
        <w:t xml:space="preserve">One codebase runs against synthetic data locally and the real lakehouse when deployed, differing only by configuration.</w:t>
      </w:r>
    </w:p>
    <w:p>
      <w:pPr>
        <w:pStyle w:val="ListParagraph"/>
        <w:numPr>
          <w:ilvl w:val="0"/>
          <w:numId w:val="2"/>
        </w:numPr>
        <w:spacing w:after="60" w:line="264"/>
      </w:pPr>
      <w:r>
        <w:rPr>
          <w:b/>
          <w:bCs/>
          <w:sz w:val="21"/>
          <w:szCs w:val="21"/>
        </w:rPr>
        <w:t xml:space="preserve">Two data planes. </w:t>
      </w:r>
      <w:r>
        <w:rPr>
          <w:sz w:val="21"/>
          <w:szCs w:val="21"/>
        </w:rPr>
        <w:t xml:space="preserve">SRSE's own operational data lives in DB2 via JPA; the analytical simulation query runs in Presto via JDBC. Never conflated.</w:t>
      </w:r>
    </w:p>
    <w:p>
      <w:pPr>
        <w:pStyle w:val="ListParagraph"/>
        <w:numPr>
          <w:ilvl w:val="0"/>
          <w:numId w:val="2"/>
        </w:numPr>
        <w:spacing w:after="60" w:line="264"/>
      </w:pPr>
      <w:r>
        <w:rPr>
          <w:b/>
          <w:bCs/>
          <w:sz w:val="21"/>
          <w:szCs w:val="21"/>
        </w:rPr>
        <w:t xml:space="preserve">Scope discipline. </w:t>
      </w:r>
      <w:r>
        <w:rPr>
          <w:sz w:val="21"/>
          <w:szCs w:val="21"/>
        </w:rPr>
        <w:t xml:space="preserve">Minimal, aligned to current reality; no over-engineering for hypothetical future states.</w:t>
      </w:r>
    </w:p>
    <w:p>
      <w:pPr>
        <w:pStyle w:val="Heading2"/>
        <w:spacing w:after="120" w:before="240"/>
      </w:pPr>
      <w:r>
        <w:rPr>
          <w:b/>
          <w:bCs/>
          <w:color w:val="2E5496"/>
          <w:sz w:val="26"/>
          <w:szCs w:val="26"/>
        </w:rPr>
        <w:t xml:space="preserve">3.3 The Authoring-Execution Boundary</w:t>
      </w:r>
    </w:p>
    <w:p>
      <w:pPr>
        <w:spacing w:after="120" w:line="276"/>
        <w:jc w:val="both"/>
      </w:pPr>
      <w:r>
        <w:rPr>
          <w:sz w:val="21"/>
          <w:szCs w:val="21"/>
        </w:rPr>
        <w:t xml:space="preserve">This boundary is the single most important architectural decision in SRSE, and it is deliberate. Rule-authoring tools (including CP4BA/ODM) are transactional decision engines: they evaluate rules for one record at a time in milliseconds. The officers' actual need is set-based — evaluate a ruleset across an entire beneficiary population and count matches. Forcing population-scale analytics through a transactional engine is an anti-pattern (millions of single-record evaluations). SRSE therefore keeps authoring and execution on opposite sides of a clean REST seam: the authoring side emits a ruleset; the execution side compiles it to a single set-based Presto query. This is honest, defensible architecture — CP4BA is used for what it is good at (authoring, governance), and the lakehouse for what it is good at (analytical scale).</w:t>
      </w:r>
    </w:p>
    <w:p>
      <w:pPr>
        <w:pStyle w:val="Heading2"/>
        <w:spacing w:after="120" w:before="240"/>
      </w:pPr>
      <w:r>
        <w:rPr>
          <w:b/>
          <w:bCs/>
          <w:color w:val="2E5496"/>
          <w:sz w:val="26"/>
          <w:szCs w:val="26"/>
        </w:rPr>
        <w:t xml:space="preserve">3.4 CP4BA Positioning (Forward Path)</w:t>
      </w:r>
    </w:p>
    <w:p>
      <w:pPr>
        <w:spacing w:after="120" w:line="276"/>
        <w:jc w:val="both"/>
      </w:pPr>
      <w:r>
        <w:rPr>
          <w:sz w:val="21"/>
          <w:szCs w:val="21"/>
        </w:rPr>
        <w:t xml:space="preserve">SRSE is built now as a self-contained Java 17 / Spring Boot 3.x microservice with a Next.js frontend. The rule model is DMN-shaped and the authoring interface sits behind a REST decision-service seam so that, following IBM-led CP4BA enablement, the authoring surface can be substituted by ODM Decision Center (or Automation Decision Services) without reworking the compiler, execution, or result-store layers. The commercial intent — demonstrable CP4BA usage — is served by this migration path (Section 12), while delivery risk is contained by not depending on CP4BA for the first working version.</w:t>
      </w:r>
    </w:p>
    <w:p>
      <w:r>
        <w:br w:type="page"/>
      </w:r>
    </w:p>
    <w:p>
      <w:pPr>
        <w:pStyle w:val="Heading1"/>
        <w:spacing w:after="160" w:before="320"/>
      </w:pPr>
      <w:r>
        <w:rPr>
          <w:b/>
          <w:bCs/>
          <w:color w:val="1F3864"/>
          <w:sz w:val="30"/>
          <w:szCs w:val="30"/>
        </w:rPr>
        <w:t xml:space="preserve">4. Architecture Design</w:t>
      </w:r>
    </w:p>
    <w:p>
      <w:pPr>
        <w:pStyle w:val="Heading2"/>
        <w:spacing w:after="120" w:before="240"/>
      </w:pPr>
      <w:r>
        <w:rPr>
          <w:b/>
          <w:bCs/>
          <w:color w:val="2E5496"/>
          <w:sz w:val="26"/>
          <w:szCs w:val="26"/>
        </w:rPr>
        <w:t xml:space="preserve">4.1 Deployment Shape — Two-Container Microservice</w:t>
      </w:r>
    </w:p>
    <w:p>
      <w:pPr>
        <w:spacing w:after="120" w:line="276"/>
        <w:jc w:val="both"/>
      </w:pPr>
      <w:r>
        <w:rPr>
          <w:sz w:val="21"/>
          <w:szCs w:val="21"/>
        </w:rPr>
        <w:t xml:space="preserve">SRSE deploys as two independent Docker containers with their own release lifecycle, decoupled from the SMART portal:</w:t>
      </w:r>
    </w:p>
    <w:p>
      <w:pPr>
        <w:pStyle w:val="ListParagraph"/>
        <w:numPr>
          <w:ilvl w:val="0"/>
          <w:numId w:val="2"/>
        </w:numPr>
        <w:spacing w:after="60" w:line="264"/>
      </w:pPr>
      <w:r>
        <w:rPr>
          <w:b/>
          <w:bCs/>
          <w:sz w:val="21"/>
          <w:szCs w:val="21"/>
        </w:rPr>
        <w:t xml:space="preserve">srse-frontend </w:t>
      </w:r>
      <w:r>
        <w:rPr>
          <w:sz w:val="21"/>
          <w:szCs w:val="21"/>
        </w:rPr>
        <w:t xml:space="preserve">— Next.js 16 / React 19 app; a pure presentation container that talks to the backend over HTTP.</w:t>
      </w:r>
    </w:p>
    <w:p>
      <w:pPr>
        <w:pStyle w:val="ListParagraph"/>
        <w:numPr>
          <w:ilvl w:val="0"/>
          <w:numId w:val="2"/>
        </w:numPr>
        <w:spacing w:after="60" w:line="264"/>
      </w:pPr>
      <w:r>
        <w:rPr>
          <w:b/>
          <w:bCs/>
          <w:sz w:val="21"/>
          <w:szCs w:val="21"/>
        </w:rPr>
        <w:t xml:space="preserve">srse-backend </w:t>
      </w:r>
      <w:r>
        <w:rPr>
          <w:sz w:val="21"/>
          <w:szCs w:val="21"/>
        </w:rPr>
        <w:t xml:space="preserve">— Java 17 / Spring Boot 3.x self-contained fat-JAR (embedded Tomcat); a pure JSON API. No WAR, no external servlet container.</w:t>
      </w:r>
    </w:p>
    <w:tbl>
      <w:tblPr>
        <w:tblW w:type="pct" w:w="100%"/>
        <w:tblBorders>
          <w:top w:val="single" w:color="375623" w:sz="4"/>
          <w:left w:val="single" w:color="375623" w:sz="18"/>
          <w:bottom w:val="single" w:color="375623" w:sz="4"/>
          <w:right w:val="single" w:color="375623" w:sz="4"/>
          <w:insideH w:val="none"/>
          <w:insideV w:val="none"/>
        </w:tblBorders>
      </w:tblPr>
      <w:tblGrid>
        <w:gridCol w:w="9360"/>
      </w:tblGrid>
      <w:tr>
        <w:tc>
          <w:tcPr>
            <w:tcW w:type="dxa" w:w="9360"/>
            <w:shd w:fill="E2EFDA" w:val="clear"/>
            <w:tcMar>
              <w:top w:type="dxa" w:w="100"/>
              <w:left w:type="dxa" w:w="140"/>
              <w:bottom w:type="dxa" w:w="100"/>
              <w:right w:type="dxa" w:w="140"/>
            </w:tcMar>
          </w:tcPr>
          <w:p>
            <w:pPr>
              <w:spacing w:after="60"/>
            </w:pPr>
            <w:r>
              <w:rPr>
                <w:b/>
                <w:bCs/>
                <w:color w:val="375623"/>
                <w:sz w:val="20"/>
                <w:szCs w:val="20"/>
              </w:rPr>
              <w:t xml:space="preserve">✔ DECISION — Runtime decision (locked)</w:t>
            </w:r>
          </w:p>
          <w:p>
            <w:pPr>
              <w:spacing w:after="40"/>
              <w:jc w:val="both"/>
            </w:pPr>
            <w:r>
              <w:rPr>
                <w:color w:val="1A1A1A"/>
                <w:sz w:val="20"/>
                <w:szCs w:val="20"/>
              </w:rPr>
              <w:t xml:space="preserve">SRSE runs on Java 17 / Spring Boot 3.x as a standalone fat-JAR microservice — NOT the portal's Java 8 / WAR / external-Tomcat model. Because SRSE is isolated in its own container, it is free to use a modern LTS; Java 17 records, switch expressions, and text blocks materially improve the compiler/AST code. Frontend and backend are two separate containers for true microservice separation and independent deployability.</w:t>
            </w:r>
          </w:p>
        </w:tc>
      </w:tr>
    </w:tbl>
    <w:p>
      <w:pPr>
        <w:pStyle w:val="Heading2"/>
        <w:spacing w:after="120" w:before="240"/>
      </w:pPr>
      <w:r>
        <w:rPr>
          <w:b/>
          <w:bCs/>
          <w:color w:val="2E5496"/>
          <w:sz w:val="26"/>
          <w:szCs w:val="26"/>
        </w:rPr>
        <w:t xml:space="preserve">4.2 Logical Architecture</w:t>
      </w:r>
    </w:p>
    <w:p>
      <w:pPr>
        <w:spacing w:after="120" w:line="276"/>
        <w:jc w:val="both"/>
      </w:pPr>
      <w:r>
        <w:rPr>
          <w:sz w:val="21"/>
          <w:szCs w:val="21"/>
        </w:rPr>
        <w:t xml:space="preserve">Within the backend, five logical tiers. The operational and analytical data planes are distinct.</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1700"/>
        <w:gridCol w:w="4760"/>
        <w:gridCol w:w="2900"/>
      </w:tblGrid>
      <w:tr>
        <w:trPr>
          <w:tblHeader/>
        </w:trPr>
        <w:tc>
          <w:tcPr>
            <w:tcW w:type="dxa" w:w="1700"/>
            <w:shd w:fill="1F3864" w:val="clear"/>
            <w:tcMar>
              <w:top w:type="dxa" w:w="60"/>
              <w:left w:type="dxa" w:w="90"/>
              <w:bottom w:type="dxa" w:w="60"/>
              <w:right w:type="dxa" w:w="90"/>
            </w:tcMar>
          </w:tcPr>
          <w:p>
            <w:r>
              <w:rPr>
                <w:b/>
                <w:bCs/>
                <w:color w:val="FFFFFF"/>
                <w:sz w:val="18"/>
                <w:szCs w:val="18"/>
              </w:rPr>
              <w:t xml:space="preserve">Tier</w:t>
            </w:r>
          </w:p>
        </w:tc>
        <w:tc>
          <w:tcPr>
            <w:tcW w:type="dxa" w:w="4760"/>
            <w:shd w:fill="1F3864" w:val="clear"/>
            <w:tcMar>
              <w:top w:type="dxa" w:w="60"/>
              <w:left w:type="dxa" w:w="90"/>
              <w:bottom w:type="dxa" w:w="60"/>
              <w:right w:type="dxa" w:w="90"/>
            </w:tcMar>
          </w:tcPr>
          <w:p>
            <w:r>
              <w:rPr>
                <w:b/>
                <w:bCs/>
                <w:color w:val="FFFFFF"/>
                <w:sz w:val="18"/>
                <w:szCs w:val="18"/>
              </w:rPr>
              <w:t xml:space="preserve">Responsibility</w:t>
            </w:r>
          </w:p>
        </w:tc>
        <w:tc>
          <w:tcPr>
            <w:tcW w:type="dxa" w:w="2900"/>
            <w:shd w:fill="1F3864" w:val="clear"/>
            <w:tcMar>
              <w:top w:type="dxa" w:w="60"/>
              <w:left w:type="dxa" w:w="90"/>
              <w:bottom w:type="dxa" w:w="60"/>
              <w:right w:type="dxa" w:w="90"/>
            </w:tcMar>
          </w:tcPr>
          <w:p>
            <w:r>
              <w:rPr>
                <w:b/>
                <w:bCs/>
                <w:color w:val="FFFFFF"/>
                <w:sz w:val="18"/>
                <w:szCs w:val="18"/>
              </w:rPr>
              <w:t xml:space="preserve">Technology</w:t>
            </w:r>
          </w:p>
        </w:tc>
      </w:tr>
      <w:tr>
        <w:tc>
          <w:tcPr>
            <w:tcW w:type="dxa" w:w="1700"/>
            <w:shd w:fill="FFFFFF" w:val="clear"/>
            <w:tcMar>
              <w:top w:type="dxa" w:w="50"/>
              <w:left w:type="dxa" w:w="90"/>
              <w:bottom w:type="dxa" w:w="50"/>
              <w:right w:type="dxa" w:w="90"/>
            </w:tcMar>
          </w:tcPr>
          <w:p>
            <w:pPr>
              <w:spacing w:after="20"/>
            </w:pPr>
            <w:r>
              <w:rPr>
                <w:sz w:val="17"/>
                <w:szCs w:val="17"/>
              </w:rPr>
              <w:t xml:space="preserve">Presentation</w:t>
            </w:r>
          </w:p>
        </w:tc>
        <w:tc>
          <w:tcPr>
            <w:tcW w:type="dxa" w:w="4760"/>
            <w:shd w:fill="FFFFFF" w:val="clear"/>
            <w:tcMar>
              <w:top w:type="dxa" w:w="50"/>
              <w:left w:type="dxa" w:w="90"/>
              <w:bottom w:type="dxa" w:w="50"/>
              <w:right w:type="dxa" w:w="90"/>
            </w:tcMar>
          </w:tcPr>
          <w:p>
            <w:pPr>
              <w:spacing w:after="20"/>
            </w:pPr>
            <w:r>
              <w:rPr>
                <w:sz w:val="17"/>
                <w:szCs w:val="17"/>
              </w:rPr>
              <w:t xml:space="preserve">Rule builder, threshold controls, results &amp; comparison, admin mapping screens.</w:t>
            </w:r>
          </w:p>
        </w:tc>
        <w:tc>
          <w:tcPr>
            <w:tcW w:type="dxa" w:w="2900"/>
            <w:shd w:fill="FFFFFF" w:val="clear"/>
            <w:tcMar>
              <w:top w:type="dxa" w:w="50"/>
              <w:left w:type="dxa" w:w="90"/>
              <w:bottom w:type="dxa" w:w="50"/>
              <w:right w:type="dxa" w:w="90"/>
            </w:tcMar>
          </w:tcPr>
          <w:p>
            <w:pPr>
              <w:spacing w:after="20"/>
            </w:pPr>
            <w:r>
              <w:rPr>
                <w:sz w:val="17"/>
                <w:szCs w:val="17"/>
              </w:rPr>
              <w:t xml:space="preserve">Next.js 16 / React 19 / TS / HeroUI / Tailwind</w:t>
            </w:r>
          </w:p>
        </w:tc>
      </w:tr>
      <w:tr>
        <w:tc>
          <w:tcPr>
            <w:tcW w:type="dxa" w:w="1700"/>
            <w:shd w:fill="EAF0FA" w:val="clear"/>
            <w:tcMar>
              <w:top w:type="dxa" w:w="50"/>
              <w:left w:type="dxa" w:w="90"/>
              <w:bottom w:type="dxa" w:w="50"/>
              <w:right w:type="dxa" w:w="90"/>
            </w:tcMar>
          </w:tcPr>
          <w:p>
            <w:pPr>
              <w:spacing w:after="20"/>
            </w:pPr>
            <w:r>
              <w:rPr>
                <w:sz w:val="17"/>
                <w:szCs w:val="17"/>
              </w:rPr>
              <w:t xml:space="preserve">Application / API</w:t>
            </w:r>
          </w:p>
        </w:tc>
        <w:tc>
          <w:tcPr>
            <w:tcW w:type="dxa" w:w="4760"/>
            <w:shd w:fill="EAF0FA" w:val="clear"/>
            <w:tcMar>
              <w:top w:type="dxa" w:w="50"/>
              <w:left w:type="dxa" w:w="90"/>
              <w:bottom w:type="dxa" w:w="50"/>
              <w:right w:type="dxa" w:w="90"/>
            </w:tcMar>
          </w:tcPr>
          <w:p>
            <w:pPr>
              <w:spacing w:after="20"/>
            </w:pPr>
            <w:r>
              <w:rPr>
                <w:sz w:val="17"/>
                <w:szCs w:val="17"/>
              </w:rPr>
              <w:t xml:space="preserve">Decision-service seam, rule-to-SQL compiler, orchestration, guardrails.</w:t>
            </w:r>
          </w:p>
        </w:tc>
        <w:tc>
          <w:tcPr>
            <w:tcW w:type="dxa" w:w="2900"/>
            <w:shd w:fill="EAF0FA" w:val="clear"/>
            <w:tcMar>
              <w:top w:type="dxa" w:w="50"/>
              <w:left w:type="dxa" w:w="90"/>
              <w:bottom w:type="dxa" w:w="50"/>
              <w:right w:type="dxa" w:w="90"/>
            </w:tcMar>
          </w:tcPr>
          <w:p>
            <w:pPr>
              <w:spacing w:after="20"/>
            </w:pPr>
            <w:r>
              <w:rPr>
                <w:sz w:val="17"/>
                <w:szCs w:val="17"/>
              </w:rPr>
              <w:t xml:space="preserve">Spring Boot 3.x (Java 17)</w:t>
            </w:r>
          </w:p>
        </w:tc>
      </w:tr>
      <w:tr>
        <w:tc>
          <w:tcPr>
            <w:tcW w:type="dxa" w:w="1700"/>
            <w:shd w:fill="FFFFFF" w:val="clear"/>
            <w:tcMar>
              <w:top w:type="dxa" w:w="50"/>
              <w:left w:type="dxa" w:w="90"/>
              <w:bottom w:type="dxa" w:w="50"/>
              <w:right w:type="dxa" w:w="90"/>
            </w:tcMar>
          </w:tcPr>
          <w:p>
            <w:pPr>
              <w:spacing w:after="20"/>
            </w:pPr>
            <w:r>
              <w:rPr>
                <w:sz w:val="17"/>
                <w:szCs w:val="17"/>
              </w:rPr>
              <w:t xml:space="preserve">Operational data</w:t>
            </w:r>
          </w:p>
        </w:tc>
        <w:tc>
          <w:tcPr>
            <w:tcW w:type="dxa" w:w="4760"/>
            <w:shd w:fill="FFFFFF" w:val="clear"/>
            <w:tcMar>
              <w:top w:type="dxa" w:w="50"/>
              <w:left w:type="dxa" w:w="90"/>
              <w:bottom w:type="dxa" w:w="50"/>
              <w:right w:type="dxa" w:w="90"/>
            </w:tcMar>
          </w:tcPr>
          <w:p>
            <w:pPr>
              <w:spacing w:after="20"/>
            </w:pPr>
            <w:r>
              <w:rPr>
                <w:sz w:val="17"/>
                <w:szCs w:val="17"/>
              </w:rPr>
              <w:t xml:space="preserve">Field catalogue, field→column mapping, scheme registry, rulesets, scenarios.</w:t>
            </w:r>
          </w:p>
        </w:tc>
        <w:tc>
          <w:tcPr>
            <w:tcW w:type="dxa" w:w="2900"/>
            <w:shd w:fill="FFFFFF" w:val="clear"/>
            <w:tcMar>
              <w:top w:type="dxa" w:w="50"/>
              <w:left w:type="dxa" w:w="90"/>
              <w:bottom w:type="dxa" w:w="50"/>
              <w:right w:type="dxa" w:w="90"/>
            </w:tcMar>
          </w:tcPr>
          <w:p>
            <w:pPr>
              <w:spacing w:after="20"/>
            </w:pPr>
            <w:r>
              <w:rPr>
                <w:sz w:val="17"/>
                <w:szCs w:val="17"/>
              </w:rPr>
              <w:t xml:space="preserve">DB2 (JCC) via Spring Data JPA</w:t>
            </w:r>
          </w:p>
        </w:tc>
      </w:tr>
      <w:tr>
        <w:tc>
          <w:tcPr>
            <w:tcW w:type="dxa" w:w="1700"/>
            <w:shd w:fill="EAF0FA" w:val="clear"/>
            <w:tcMar>
              <w:top w:type="dxa" w:w="50"/>
              <w:left w:type="dxa" w:w="90"/>
              <w:bottom w:type="dxa" w:w="50"/>
              <w:right w:type="dxa" w:w="90"/>
            </w:tcMar>
          </w:tcPr>
          <w:p>
            <w:pPr>
              <w:spacing w:after="20"/>
            </w:pPr>
            <w:r>
              <w:rPr>
                <w:sz w:val="17"/>
                <w:szCs w:val="17"/>
              </w:rPr>
              <w:t xml:space="preserve">Analytical execution</w:t>
            </w:r>
          </w:p>
        </w:tc>
        <w:tc>
          <w:tcPr>
            <w:tcW w:type="dxa" w:w="4760"/>
            <w:shd w:fill="EAF0FA" w:val="clear"/>
            <w:tcMar>
              <w:top w:type="dxa" w:w="50"/>
              <w:left w:type="dxa" w:w="90"/>
              <w:bottom w:type="dxa" w:w="50"/>
              <w:right w:type="dxa" w:w="90"/>
            </w:tcMar>
          </w:tcPr>
          <w:p>
            <w:pPr>
              <w:spacing w:after="20"/>
            </w:pPr>
            <w:r>
              <w:rPr>
                <w:sz w:val="17"/>
                <w:szCs w:val="17"/>
              </w:rPr>
              <w:t xml:space="preserve">Set-based simulation query execution.</w:t>
            </w:r>
          </w:p>
        </w:tc>
        <w:tc>
          <w:tcPr>
            <w:tcW w:type="dxa" w:w="2900"/>
            <w:shd w:fill="EAF0FA" w:val="clear"/>
            <w:tcMar>
              <w:top w:type="dxa" w:w="50"/>
              <w:left w:type="dxa" w:w="90"/>
              <w:bottom w:type="dxa" w:w="50"/>
              <w:right w:type="dxa" w:w="90"/>
            </w:tcMar>
          </w:tcPr>
          <w:p>
            <w:pPr>
              <w:spacing w:after="20"/>
            </w:pPr>
            <w:r>
              <w:rPr>
                <w:sz w:val="17"/>
                <w:szCs w:val="17"/>
              </w:rPr>
              <w:t xml:space="preserve">Presto 0.297 via JDBC (JdbcTemplate)</w:t>
            </w:r>
          </w:p>
        </w:tc>
      </w:tr>
      <w:tr>
        <w:tc>
          <w:tcPr>
            <w:tcW w:type="dxa" w:w="1700"/>
            <w:shd w:fill="FFFFFF" w:val="clear"/>
            <w:tcMar>
              <w:top w:type="dxa" w:w="50"/>
              <w:left w:type="dxa" w:w="90"/>
              <w:bottom w:type="dxa" w:w="50"/>
              <w:right w:type="dxa" w:w="90"/>
            </w:tcMar>
          </w:tcPr>
          <w:p>
            <w:pPr>
              <w:spacing w:after="20"/>
            </w:pPr>
            <w:r>
              <w:rPr>
                <w:sz w:val="17"/>
                <w:szCs w:val="17"/>
              </w:rPr>
              <w:t xml:space="preserve">Data (live)</w:t>
            </w:r>
          </w:p>
        </w:tc>
        <w:tc>
          <w:tcPr>
            <w:tcW w:type="dxa" w:w="4760"/>
            <w:shd w:fill="FFFFFF" w:val="clear"/>
            <w:tcMar>
              <w:top w:type="dxa" w:w="50"/>
              <w:left w:type="dxa" w:w="90"/>
              <w:bottom w:type="dxa" w:w="50"/>
              <w:right w:type="dxa" w:w="90"/>
            </w:tcMar>
          </w:tcPr>
          <w:p>
            <w:pPr>
              <w:spacing w:after="20"/>
            </w:pPr>
            <w:r>
              <w:rPr>
                <w:sz w:val="17"/>
                <w:szCs w:val="17"/>
              </w:rPr>
              <w:t xml:space="preserve">Beneficiary population and pre-materialised derived fields.</w:t>
            </w:r>
          </w:p>
        </w:tc>
        <w:tc>
          <w:tcPr>
            <w:tcW w:type="dxa" w:w="2900"/>
            <w:shd w:fill="FFFFFF" w:val="clear"/>
            <w:tcMar>
              <w:top w:type="dxa" w:w="50"/>
              <w:left w:type="dxa" w:w="90"/>
              <w:bottom w:type="dxa" w:w="50"/>
              <w:right w:type="dxa" w:w="90"/>
            </w:tcMar>
          </w:tcPr>
          <w:p>
            <w:pPr>
              <w:spacing w:after="20"/>
            </w:pPr>
            <w:r>
              <w:rPr>
                <w:sz w:val="17"/>
                <w:szCs w:val="17"/>
              </w:rPr>
              <w:t xml:space="preserve">Iceberg on MinIO (Presto-queried)</w:t>
            </w:r>
          </w:p>
        </w:tc>
      </w:tr>
    </w:tbl>
    <w:p>
      <w:pPr>
        <w:pStyle w:val="Heading2"/>
        <w:spacing w:after="120" w:before="240"/>
      </w:pPr>
      <w:r>
        <w:rPr>
          <w:b/>
          <w:bCs/>
          <w:color w:val="2E5496"/>
          <w:sz w:val="26"/>
          <w:szCs w:val="26"/>
        </w:rPr>
        <w:t xml:space="preserve">4.3 Component Responsibilities</w:t>
      </w:r>
    </w:p>
    <w:p>
      <w:pPr>
        <w:pStyle w:val="ListParagraph"/>
        <w:numPr>
          <w:ilvl w:val="0"/>
          <w:numId w:val="2"/>
        </w:numPr>
        <w:spacing w:after="60" w:line="264"/>
      </w:pPr>
      <w:r>
        <w:rPr>
          <w:b/>
          <w:bCs/>
          <w:sz w:val="21"/>
          <w:szCs w:val="21"/>
        </w:rPr>
        <w:t xml:space="preserve">Rule Builder UI — </w:t>
      </w:r>
      <w:r>
        <w:rPr>
          <w:sz w:val="21"/>
          <w:szCs w:val="21"/>
        </w:rPr>
        <w:t xml:space="preserve">officers compose predicates from catalogue fields, set operators/values, combine with AND/OR, edit thresholds. State in Zustand.</w:t>
      </w:r>
    </w:p>
    <w:p>
      <w:pPr>
        <w:pStyle w:val="ListParagraph"/>
        <w:numPr>
          <w:ilvl w:val="0"/>
          <w:numId w:val="2"/>
        </w:numPr>
        <w:spacing w:after="60" w:line="264"/>
      </w:pPr>
      <w:r>
        <w:rPr>
          <w:b/>
          <w:bCs/>
          <w:sz w:val="21"/>
          <w:szCs w:val="21"/>
        </w:rPr>
        <w:t xml:space="preserve">Decision Service (REST seam) — </w:t>
      </w:r>
      <w:r>
        <w:rPr>
          <w:sz w:val="21"/>
          <w:szCs w:val="21"/>
        </w:rPr>
        <w:t xml:space="preserve">accepts a ruleset + parameters, returns a normalised predicate specification. Backed by SRSE's rule store now; by ODM later.</w:t>
      </w:r>
    </w:p>
    <w:p>
      <w:pPr>
        <w:pStyle w:val="ListParagraph"/>
        <w:numPr>
          <w:ilvl w:val="0"/>
          <w:numId w:val="2"/>
        </w:numPr>
        <w:spacing w:after="60" w:line="264"/>
      </w:pPr>
      <w:r>
        <w:rPr>
          <w:b/>
          <w:bCs/>
          <w:sz w:val="21"/>
          <w:szCs w:val="21"/>
        </w:rPr>
        <w:t xml:space="preserve">Rule-to-SQL Compiler — </w:t>
      </w:r>
      <w:r>
        <w:rPr>
          <w:sz w:val="21"/>
          <w:szCs w:val="21"/>
        </w:rPr>
        <w:t xml:space="preserve">translates the predicate specification into a single parameterised Presto SQL statement.</w:t>
      </w:r>
    </w:p>
    <w:p>
      <w:pPr>
        <w:pStyle w:val="ListParagraph"/>
        <w:numPr>
          <w:ilvl w:val="0"/>
          <w:numId w:val="2"/>
        </w:numPr>
        <w:spacing w:after="60" w:line="264"/>
      </w:pPr>
      <w:r>
        <w:rPr>
          <w:b/>
          <w:bCs/>
          <w:sz w:val="21"/>
          <w:szCs w:val="21"/>
        </w:rPr>
        <w:t xml:space="preserve">Execution Service — </w:t>
      </w:r>
      <w:r>
        <w:rPr>
          <w:sz w:val="21"/>
          <w:szCs w:val="21"/>
        </w:rPr>
        <w:t xml:space="preserve">runs the SQL on Presto via JdbcTemplate, applies guardrails, returns count + breakdown + optional cohort.</w:t>
      </w:r>
    </w:p>
    <w:p>
      <w:pPr>
        <w:pStyle w:val="ListParagraph"/>
        <w:numPr>
          <w:ilvl w:val="0"/>
          <w:numId w:val="2"/>
        </w:numPr>
        <w:spacing w:after="60" w:line="264"/>
      </w:pPr>
      <w:r>
        <w:rPr>
          <w:b/>
          <w:bCs/>
          <w:sz w:val="21"/>
          <w:szCs w:val="21"/>
        </w:rPr>
        <w:t xml:space="preserve">Metadata / Mapping Service — </w:t>
      </w:r>
      <w:r>
        <w:rPr>
          <w:sz w:val="21"/>
          <w:szCs w:val="21"/>
        </w:rPr>
        <w:t xml:space="preserve">resolves abstract fields to physical table.column or expression; manages scheme registry and catalogue. Read-heavy lookups cached in Caffeine.</w:t>
      </w:r>
    </w:p>
    <w:p>
      <w:pPr>
        <w:pStyle w:val="ListParagraph"/>
        <w:numPr>
          <w:ilvl w:val="0"/>
          <w:numId w:val="2"/>
        </w:numPr>
        <w:spacing w:after="60" w:line="264"/>
      </w:pPr>
      <w:r>
        <w:rPr>
          <w:b/>
          <w:bCs/>
          <w:sz w:val="21"/>
          <w:szCs w:val="21"/>
        </w:rPr>
        <w:t xml:space="preserve">Scenario Store — </w:t>
      </w:r>
      <w:r>
        <w:rPr>
          <w:sz w:val="21"/>
          <w:szCs w:val="21"/>
        </w:rPr>
        <w:t xml:space="preserve">persists each run's ruleset version, parameters, and result snapshot (DB2/JPA) for comparison.</w:t>
      </w:r>
    </w:p>
    <w:p>
      <w:pPr>
        <w:pStyle w:val="Heading2"/>
        <w:spacing w:after="120" w:before="240"/>
      </w:pPr>
      <w:r>
        <w:rPr>
          <w:b/>
          <w:bCs/>
          <w:color w:val="2E5496"/>
          <w:sz w:val="26"/>
          <w:szCs w:val="26"/>
        </w:rPr>
        <w:t xml:space="preserve">4.4 The Two Data Planes (critical)</w:t>
      </w:r>
    </w:p>
    <w:p>
      <w:pPr>
        <w:spacing w:after="120" w:line="276"/>
        <w:jc w:val="both"/>
      </w:pPr>
      <w:r>
        <w:rPr>
          <w:sz w:val="21"/>
          <w:szCs w:val="21"/>
        </w:rPr>
        <w:t xml:space="preserve">SRSE holds two DataSources, wired to two different engines for two different jobs. This is idiomatic and must be explicit in the Spring configuration.</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1700"/>
        <w:gridCol w:w="3830"/>
        <w:gridCol w:w="3830"/>
      </w:tblGrid>
      <w:tr>
        <w:trPr>
          <w:tblHeader/>
        </w:trPr>
        <w:tc>
          <w:tcPr>
            <w:tcW w:type="dxa" w:w="1700"/>
            <w:shd w:fill="1F3864" w:val="clear"/>
            <w:tcMar>
              <w:top w:type="dxa" w:w="60"/>
              <w:left w:type="dxa" w:w="90"/>
              <w:bottom w:type="dxa" w:w="60"/>
              <w:right w:type="dxa" w:w="90"/>
            </w:tcMar>
          </w:tcPr>
          <w:p>
            <w:r>
              <w:rPr>
                <w:b/>
                <w:bCs/>
                <w:color w:val="FFFFFF"/>
                <w:sz w:val="18"/>
                <w:szCs w:val="18"/>
              </w:rPr>
              <w:t xml:space="preserve">Aspect</w:t>
            </w:r>
          </w:p>
        </w:tc>
        <w:tc>
          <w:tcPr>
            <w:tcW w:type="dxa" w:w="3830"/>
            <w:shd w:fill="1F3864" w:val="clear"/>
            <w:tcMar>
              <w:top w:type="dxa" w:w="60"/>
              <w:left w:type="dxa" w:w="90"/>
              <w:bottom w:type="dxa" w:w="60"/>
              <w:right w:type="dxa" w:w="90"/>
            </w:tcMar>
          </w:tcPr>
          <w:p>
            <w:r>
              <w:rPr>
                <w:b/>
                <w:bCs/>
                <w:color w:val="FFFFFF"/>
                <w:sz w:val="18"/>
                <w:szCs w:val="18"/>
              </w:rPr>
              <w:t xml:space="preserve">Operational plane</w:t>
            </w:r>
          </w:p>
        </w:tc>
        <w:tc>
          <w:tcPr>
            <w:tcW w:type="dxa" w:w="3830"/>
            <w:shd w:fill="1F3864" w:val="clear"/>
            <w:tcMar>
              <w:top w:type="dxa" w:w="60"/>
              <w:left w:type="dxa" w:w="90"/>
              <w:bottom w:type="dxa" w:w="60"/>
              <w:right w:type="dxa" w:w="90"/>
            </w:tcMar>
          </w:tcPr>
          <w:p>
            <w:r>
              <w:rPr>
                <w:b/>
                <w:bCs/>
                <w:color w:val="FFFFFF"/>
                <w:sz w:val="18"/>
                <w:szCs w:val="18"/>
              </w:rPr>
              <w:t xml:space="preserve">Analytical plane</w:t>
            </w:r>
          </w:p>
        </w:tc>
      </w:tr>
      <w:tr>
        <w:tc>
          <w:tcPr>
            <w:tcW w:type="dxa" w:w="1700"/>
            <w:shd w:fill="FFFFFF" w:val="clear"/>
            <w:tcMar>
              <w:top w:type="dxa" w:w="50"/>
              <w:left w:type="dxa" w:w="90"/>
              <w:bottom w:type="dxa" w:w="50"/>
              <w:right w:type="dxa" w:w="90"/>
            </w:tcMar>
          </w:tcPr>
          <w:p>
            <w:pPr>
              <w:spacing w:after="20"/>
            </w:pPr>
            <w:r>
              <w:rPr>
                <w:sz w:val="17"/>
                <w:szCs w:val="17"/>
              </w:rPr>
              <w:t xml:space="preserve">Purpose</w:t>
            </w:r>
          </w:p>
        </w:tc>
        <w:tc>
          <w:tcPr>
            <w:tcW w:type="dxa" w:w="3830"/>
            <w:shd w:fill="FFFFFF" w:val="clear"/>
            <w:tcMar>
              <w:top w:type="dxa" w:w="50"/>
              <w:left w:type="dxa" w:w="90"/>
              <w:bottom w:type="dxa" w:w="50"/>
              <w:right w:type="dxa" w:w="90"/>
            </w:tcMar>
          </w:tcPr>
          <w:p>
            <w:pPr>
              <w:spacing w:after="20"/>
            </w:pPr>
            <w:r>
              <w:rPr>
                <w:sz w:val="17"/>
                <w:szCs w:val="17"/>
              </w:rPr>
              <w:t xml:space="preserve">SRSE's own config &amp; results</w:t>
            </w:r>
          </w:p>
        </w:tc>
        <w:tc>
          <w:tcPr>
            <w:tcW w:type="dxa" w:w="3830"/>
            <w:shd w:fill="FFFFFF" w:val="clear"/>
            <w:tcMar>
              <w:top w:type="dxa" w:w="50"/>
              <w:left w:type="dxa" w:w="90"/>
              <w:bottom w:type="dxa" w:w="50"/>
              <w:right w:type="dxa" w:w="90"/>
            </w:tcMar>
          </w:tcPr>
          <w:p>
            <w:pPr>
              <w:spacing w:after="20"/>
            </w:pPr>
            <w:r>
              <w:rPr>
                <w:sz w:val="17"/>
                <w:szCs w:val="17"/>
              </w:rPr>
              <w:t xml:space="preserve">The beneficiary simulation query</w:t>
            </w:r>
          </w:p>
        </w:tc>
      </w:tr>
      <w:tr>
        <w:tc>
          <w:tcPr>
            <w:tcW w:type="dxa" w:w="1700"/>
            <w:shd w:fill="EAF0FA" w:val="clear"/>
            <w:tcMar>
              <w:top w:type="dxa" w:w="50"/>
              <w:left w:type="dxa" w:w="90"/>
              <w:bottom w:type="dxa" w:w="50"/>
              <w:right w:type="dxa" w:w="90"/>
            </w:tcMar>
          </w:tcPr>
          <w:p>
            <w:pPr>
              <w:spacing w:after="20"/>
            </w:pPr>
            <w:r>
              <w:rPr>
                <w:sz w:val="17"/>
                <w:szCs w:val="17"/>
              </w:rPr>
              <w:t xml:space="preserve">Engine</w:t>
            </w:r>
          </w:p>
        </w:tc>
        <w:tc>
          <w:tcPr>
            <w:tcW w:type="dxa" w:w="3830"/>
            <w:shd w:fill="EAF0FA" w:val="clear"/>
            <w:tcMar>
              <w:top w:type="dxa" w:w="50"/>
              <w:left w:type="dxa" w:w="90"/>
              <w:bottom w:type="dxa" w:w="50"/>
              <w:right w:type="dxa" w:w="90"/>
            </w:tcMar>
          </w:tcPr>
          <w:p>
            <w:pPr>
              <w:spacing w:after="20"/>
            </w:pPr>
            <w:r>
              <w:rPr>
                <w:sz w:val="17"/>
                <w:szCs w:val="17"/>
              </w:rPr>
              <w:t xml:space="preserve">DB2</w:t>
            </w:r>
          </w:p>
        </w:tc>
        <w:tc>
          <w:tcPr>
            <w:tcW w:type="dxa" w:w="3830"/>
            <w:shd w:fill="EAF0FA" w:val="clear"/>
            <w:tcMar>
              <w:top w:type="dxa" w:w="50"/>
              <w:left w:type="dxa" w:w="90"/>
              <w:bottom w:type="dxa" w:w="50"/>
              <w:right w:type="dxa" w:w="90"/>
            </w:tcMar>
          </w:tcPr>
          <w:p>
            <w:pPr>
              <w:spacing w:after="20"/>
            </w:pPr>
            <w:r>
              <w:rPr>
                <w:sz w:val="17"/>
                <w:szCs w:val="17"/>
              </w:rPr>
              <w:t xml:space="preserve">Presto 0.297 over Iceberg</w:t>
            </w:r>
          </w:p>
        </w:tc>
      </w:tr>
      <w:tr>
        <w:tc>
          <w:tcPr>
            <w:tcW w:type="dxa" w:w="1700"/>
            <w:shd w:fill="FFFFFF" w:val="clear"/>
            <w:tcMar>
              <w:top w:type="dxa" w:w="50"/>
              <w:left w:type="dxa" w:w="90"/>
              <w:bottom w:type="dxa" w:w="50"/>
              <w:right w:type="dxa" w:w="90"/>
            </w:tcMar>
          </w:tcPr>
          <w:p>
            <w:pPr>
              <w:spacing w:after="20"/>
            </w:pPr>
            <w:r>
              <w:rPr>
                <w:sz w:val="17"/>
                <w:szCs w:val="17"/>
              </w:rPr>
              <w:t xml:space="preserve">Driver</w:t>
            </w:r>
          </w:p>
        </w:tc>
        <w:tc>
          <w:tcPr>
            <w:tcW w:type="dxa" w:w="3830"/>
            <w:shd w:fill="FFFFFF" w:val="clear"/>
            <w:tcMar>
              <w:top w:type="dxa" w:w="50"/>
              <w:left w:type="dxa" w:w="90"/>
              <w:bottom w:type="dxa" w:w="50"/>
              <w:right w:type="dxa" w:w="90"/>
            </w:tcMar>
          </w:tcPr>
          <w:p>
            <w:pPr>
              <w:spacing w:after="20"/>
            </w:pPr>
            <w:r>
              <w:rPr>
                <w:sz w:val="17"/>
                <w:szCs w:val="17"/>
              </w:rPr>
              <w:t xml:space="preserve">IBM JCC 11.5.8 (existing)</w:t>
            </w:r>
          </w:p>
        </w:tc>
        <w:tc>
          <w:tcPr>
            <w:tcW w:type="dxa" w:w="3830"/>
            <w:shd w:fill="FFFFFF" w:val="clear"/>
            <w:tcMar>
              <w:top w:type="dxa" w:w="50"/>
              <w:left w:type="dxa" w:w="90"/>
              <w:bottom w:type="dxa" w:w="50"/>
              <w:right w:type="dxa" w:w="90"/>
            </w:tcMar>
          </w:tcPr>
          <w:p>
            <w:pPr>
              <w:spacing w:after="20"/>
            </w:pPr>
            <w:r>
              <w:rPr>
                <w:sz w:val="17"/>
                <w:szCs w:val="17"/>
              </w:rPr>
              <w:t xml:space="preserve">PrestoDB JDBC (new dependency)</w:t>
            </w:r>
          </w:p>
        </w:tc>
      </w:tr>
      <w:tr>
        <w:tc>
          <w:tcPr>
            <w:tcW w:type="dxa" w:w="1700"/>
            <w:shd w:fill="EAF0FA" w:val="clear"/>
            <w:tcMar>
              <w:top w:type="dxa" w:w="50"/>
              <w:left w:type="dxa" w:w="90"/>
              <w:bottom w:type="dxa" w:w="50"/>
              <w:right w:type="dxa" w:w="90"/>
            </w:tcMar>
          </w:tcPr>
          <w:p>
            <w:pPr>
              <w:spacing w:after="20"/>
            </w:pPr>
            <w:r>
              <w:rPr>
                <w:sz w:val="17"/>
                <w:szCs w:val="17"/>
              </w:rPr>
              <w:t xml:space="preserve">Access</w:t>
            </w:r>
          </w:p>
        </w:tc>
        <w:tc>
          <w:tcPr>
            <w:tcW w:type="dxa" w:w="3830"/>
            <w:shd w:fill="EAF0FA" w:val="clear"/>
            <w:tcMar>
              <w:top w:type="dxa" w:w="50"/>
              <w:left w:type="dxa" w:w="90"/>
              <w:bottom w:type="dxa" w:w="50"/>
              <w:right w:type="dxa" w:w="90"/>
            </w:tcMar>
          </w:tcPr>
          <w:p>
            <w:pPr>
              <w:spacing w:after="20"/>
            </w:pPr>
            <w:r>
              <w:rPr>
                <w:sz w:val="17"/>
                <w:szCs w:val="17"/>
              </w:rPr>
              <w:t xml:space="preserve">Spring Data JPA (entities)</w:t>
            </w:r>
          </w:p>
        </w:tc>
        <w:tc>
          <w:tcPr>
            <w:tcW w:type="dxa" w:w="3830"/>
            <w:shd w:fill="EAF0FA" w:val="clear"/>
            <w:tcMar>
              <w:top w:type="dxa" w:w="50"/>
              <w:left w:type="dxa" w:w="90"/>
              <w:bottom w:type="dxa" w:w="50"/>
              <w:right w:type="dxa" w:w="90"/>
            </w:tcMar>
          </w:tcPr>
          <w:p>
            <w:pPr>
              <w:spacing w:after="20"/>
            </w:pPr>
            <w:r>
              <w:rPr>
                <w:sz w:val="17"/>
                <w:szCs w:val="17"/>
              </w:rPr>
              <w:t xml:space="preserve">JdbcTemplate (raw set-based SQL)</w:t>
            </w:r>
          </w:p>
        </w:tc>
      </w:tr>
      <w:tr>
        <w:tc>
          <w:tcPr>
            <w:tcW w:type="dxa" w:w="1700"/>
            <w:shd w:fill="FFFFFF" w:val="clear"/>
            <w:tcMar>
              <w:top w:type="dxa" w:w="50"/>
              <w:left w:type="dxa" w:w="90"/>
              <w:bottom w:type="dxa" w:w="50"/>
              <w:right w:type="dxa" w:w="90"/>
            </w:tcMar>
          </w:tcPr>
          <w:p>
            <w:pPr>
              <w:spacing w:after="20"/>
            </w:pPr>
            <w:r>
              <w:rPr>
                <w:sz w:val="17"/>
                <w:szCs w:val="17"/>
              </w:rPr>
              <w:t xml:space="preserve">Why not the other</w:t>
            </w:r>
          </w:p>
        </w:tc>
        <w:tc>
          <w:tcPr>
            <w:tcW w:type="dxa" w:w="3830"/>
            <w:shd w:fill="FFFFFF" w:val="clear"/>
            <w:tcMar>
              <w:top w:type="dxa" w:w="50"/>
              <w:left w:type="dxa" w:w="90"/>
              <w:bottom w:type="dxa" w:w="50"/>
              <w:right w:type="dxa" w:w="90"/>
            </w:tcMar>
          </w:tcPr>
          <w:p>
            <w:pPr>
              <w:spacing w:after="20"/>
            </w:pPr>
            <w:r>
              <w:rPr>
                <w:sz w:val="17"/>
                <w:szCs w:val="17"/>
              </w:rPr>
              <w:t xml:space="preserve">ORM fits small transactional data</w:t>
            </w:r>
          </w:p>
        </w:tc>
        <w:tc>
          <w:tcPr>
            <w:tcW w:type="dxa" w:w="3830"/>
            <w:shd w:fill="FFFFFF" w:val="clear"/>
            <w:tcMar>
              <w:top w:type="dxa" w:w="50"/>
              <w:left w:type="dxa" w:w="90"/>
              <w:bottom w:type="dxa" w:w="50"/>
              <w:right w:type="dxa" w:w="90"/>
            </w:tcMar>
          </w:tcPr>
          <w:p>
            <w:pPr>
              <w:spacing w:after="20"/>
            </w:pPr>
            <w:r>
              <w:rPr>
                <w:sz w:val="17"/>
                <w:szCs w:val="17"/>
              </w:rPr>
              <w:t xml:space="preserve">No ORM for analytical set-queries; Hibernate has no Presto dialect</w:t>
            </w:r>
          </w:p>
        </w:tc>
      </w:tr>
    </w:tbl>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PrestoDB vs Trino driver — verify</w:t>
            </w:r>
          </w:p>
          <w:p>
            <w:pPr>
              <w:spacing w:after="40"/>
              <w:jc w:val="both"/>
            </w:pPr>
            <w:r>
              <w:rPr>
                <w:color w:val="1A1A1A"/>
                <w:sz w:val="20"/>
                <w:szCs w:val="20"/>
              </w:rPr>
              <w:t xml:space="preserve">watsonx.data 2.3.1 exposes PrestoDB 0.297 (the Facebook/Presto lineage), NOT Trino. Since the 2020 fork these are different drivers: use com.facebook.presto:presto-jdbc, not io.trino:trino-jdbc. Connecting with the wrong flavour is a classic early failure. Confirm the exact driver/coordinates with Lovadeep against the live watsonx.data endpoint before wiring.</w:t>
            </w:r>
          </w:p>
        </w:tc>
      </w:tr>
    </w:tbl>
    <w:p>
      <w:pPr>
        <w:pStyle w:val="Heading2"/>
        <w:spacing w:after="120" w:before="240"/>
      </w:pPr>
      <w:r>
        <w:rPr>
          <w:b/>
          <w:bCs/>
          <w:color w:val="2E5496"/>
          <w:sz w:val="26"/>
          <w:szCs w:val="26"/>
        </w:rPr>
        <w:t xml:space="preserve">4.5 Integration Topology</w:t>
      </w:r>
    </w:p>
    <w:p>
      <w:pPr>
        <w:pStyle w:val="ListParagraph"/>
        <w:numPr>
          <w:ilvl w:val="0"/>
          <w:numId w:val="2"/>
        </w:numPr>
        <w:spacing w:after="60" w:line="264"/>
      </w:pPr>
      <w:r>
        <w:rPr>
          <w:sz w:val="21"/>
          <w:szCs w:val="21"/>
        </w:rPr>
        <w:t xml:space="preserve">RajSewadwar-style SSO for authentication in the client environment; JJWT for token handling; cookie-based JWT to the backend. Local dev uses a mock JWT issuer so the app runs offline.</w:t>
      </w:r>
    </w:p>
    <w:p>
      <w:pPr>
        <w:pStyle w:val="ListParagraph"/>
        <w:numPr>
          <w:ilvl w:val="0"/>
          <w:numId w:val="2"/>
        </w:numPr>
        <w:spacing w:after="60" w:line="264"/>
      </w:pPr>
      <w:r>
        <w:rPr>
          <w:sz w:val="21"/>
          <w:szCs w:val="21"/>
        </w:rPr>
        <w:t xml:space="preserve">Presto connection (host, port, catalog, schema) supplied as deployment configuration; credentials via environment/secrets.</w:t>
      </w:r>
    </w:p>
    <w:p>
      <w:pPr>
        <w:pStyle w:val="ListParagraph"/>
        <w:numPr>
          <w:ilvl w:val="0"/>
          <w:numId w:val="2"/>
        </w:numPr>
        <w:spacing w:after="60" w:line="264"/>
      </w:pPr>
      <w:r>
        <w:rPr>
          <w:sz w:val="21"/>
          <w:szCs w:val="21"/>
        </w:rPr>
        <w:t xml:space="preserve">MDS resolves Iceberg table schemas to Presto; SRSE does not talk to MDS directly — it goes through Presto.</w:t>
      </w:r>
    </w:p>
    <w:p>
      <w:pPr>
        <w:pStyle w:val="ListParagraph"/>
        <w:numPr>
          <w:ilvl w:val="0"/>
          <w:numId w:val="2"/>
        </w:numPr>
        <w:spacing w:after="60" w:line="264"/>
      </w:pPr>
      <w:r>
        <w:rPr>
          <w:sz w:val="21"/>
          <w:szCs w:val="21"/>
        </w:rPr>
        <w:t xml:space="preserve">REL-01 (Family Relationship Resolver) and Spark ETL populate pre-materialised derived fields upstream; SRSE consumes them as flat columns.</w:t>
      </w:r>
    </w:p>
    <w:p>
      <w:pPr>
        <w:pStyle w:val="ListParagraph"/>
        <w:numPr>
          <w:ilvl w:val="0"/>
          <w:numId w:val="2"/>
        </w:numPr>
        <w:spacing w:after="60" w:line="264"/>
      </w:pPr>
      <w:r>
        <w:rPr>
          <w:sz w:val="21"/>
          <w:szCs w:val="21"/>
        </w:rPr>
        <w:t xml:space="preserve">MinIO Java SDK 9.0.1 (already in the estate) available if scenario exports or artefacts need object storage; not required for the core flow.</w:t>
      </w:r>
    </w:p>
    <w:p>
      <w:pPr>
        <w:pStyle w:val="Heading2"/>
        <w:spacing w:after="120" w:before="240"/>
      </w:pPr>
      <w:r>
        <w:rPr>
          <w:b/>
          <w:bCs/>
          <w:color w:val="2E5496"/>
          <w:sz w:val="26"/>
          <w:szCs w:val="26"/>
        </w:rPr>
        <w:t xml:space="preserve">4.6 End-to-End Request Flow</w:t>
      </w:r>
    </w:p>
    <w:p>
      <w:pPr>
        <w:shd w:fill="F2F2F2" w:val="clear"/>
        <w:spacing w:after="0" w:line="240"/>
      </w:pPr>
      <w:r>
        <w:rPr>
          <w:rFonts w:ascii="Consolas" w:cs="Consolas" w:eastAsia="Consolas" w:hAnsi="Consolas"/>
          <w:color w:val="1A1A1A"/>
          <w:sz w:val="18"/>
          <w:szCs w:val="18"/>
        </w:rPr>
        <w:t xml:space="preserve">1.  Officer composes/edits ruleset in UI, adjusts thresholds (Zustand)</w:t>
      </w:r>
    </w:p>
    <w:p>
      <w:pPr>
        <w:shd w:fill="F2F2F2" w:val="clear"/>
        <w:spacing w:after="0" w:line="240"/>
      </w:pPr>
      <w:r>
        <w:rPr>
          <w:rFonts w:ascii="Consolas" w:cs="Consolas" w:eastAsia="Consolas" w:hAnsi="Consolas"/>
          <w:color w:val="1A1A1A"/>
          <w:sz w:val="18"/>
          <w:szCs w:val="18"/>
        </w:rPr>
        <w:t xml:space="preserve">2.  UI  --POST /api/decision/evaluate--&gt;  Decision Service (backend)</w:t>
      </w:r>
    </w:p>
    <w:p>
      <w:pPr>
        <w:shd w:fill="F2F2F2" w:val="clear"/>
        <w:spacing w:after="0" w:line="240"/>
      </w:pPr>
      <w:r>
        <w:rPr>
          <w:rFonts w:ascii="Consolas" w:cs="Consolas" w:eastAsia="Consolas" w:hAnsi="Consolas"/>
          <w:color w:val="1A1A1A"/>
          <w:sz w:val="18"/>
          <w:szCs w:val="18"/>
        </w:rPr>
        <w:t xml:space="preserve">        body: { schemeId, rulesetVersion, parameters[] }</w:t>
      </w:r>
    </w:p>
    <w:p>
      <w:pPr>
        <w:shd w:fill="F2F2F2" w:val="clear"/>
        <w:spacing w:after="0" w:line="240"/>
      </w:pPr>
      <w:r>
        <w:rPr>
          <w:rFonts w:ascii="Consolas" w:cs="Consolas" w:eastAsia="Consolas" w:hAnsi="Consolas"/>
          <w:color w:val="1A1A1A"/>
          <w:sz w:val="18"/>
          <w:szCs w:val="18"/>
        </w:rPr>
        <w:t xml:space="preserve">3.  Decision Service resolves ruleset -&gt; normalised PredicateSpec</w:t>
      </w:r>
    </w:p>
    <w:p>
      <w:pPr>
        <w:shd w:fill="F2F2F2" w:val="clear"/>
        <w:spacing w:after="0" w:line="240"/>
      </w:pPr>
      <w:r>
        <w:rPr>
          <w:rFonts w:ascii="Consolas" w:cs="Consolas" w:eastAsia="Consolas" w:hAnsi="Consolas"/>
          <w:color w:val="1A1A1A"/>
          <w:sz w:val="18"/>
          <w:szCs w:val="18"/>
        </w:rPr>
        <w:t xml:space="preserve">4.  Compiler(PredicateSpec, FieldMapping) -&gt; Presto SQL (parameterised)</w:t>
      </w:r>
    </w:p>
    <w:p>
      <w:pPr>
        <w:shd w:fill="F2F2F2" w:val="clear"/>
        <w:spacing w:after="0" w:line="240"/>
      </w:pPr>
      <w:r>
        <w:rPr>
          <w:rFonts w:ascii="Consolas" w:cs="Consolas" w:eastAsia="Consolas" w:hAnsi="Consolas"/>
          <w:color w:val="1A1A1A"/>
          <w:sz w:val="18"/>
          <w:szCs w:val="18"/>
        </w:rPr>
        <w:t xml:space="preserve">5.  Execution Service runs SQL on Presto via JdbcTemplate (guardrails)</w:t>
      </w:r>
    </w:p>
    <w:p>
      <w:pPr>
        <w:shd w:fill="F2F2F2" w:val="clear"/>
        <w:spacing w:after="0" w:line="240"/>
      </w:pPr>
      <w:r>
        <w:rPr>
          <w:rFonts w:ascii="Consolas" w:cs="Consolas" w:eastAsia="Consolas" w:hAnsi="Consolas"/>
          <w:color w:val="1A1A1A"/>
          <w:sz w:val="18"/>
          <w:szCs w:val="18"/>
        </w:rPr>
        <w:t xml:space="preserve">6.  Returns { count, breakdown[], cohortSample[] }</w:t>
      </w:r>
    </w:p>
    <w:p>
      <w:pPr>
        <w:shd w:fill="F2F2F2" w:val="clear"/>
        <w:spacing w:after="0" w:line="240"/>
      </w:pPr>
      <w:r>
        <w:rPr>
          <w:rFonts w:ascii="Consolas" w:cs="Consolas" w:eastAsia="Consolas" w:hAnsi="Consolas"/>
          <w:color w:val="1A1A1A"/>
          <w:sz w:val="18"/>
          <w:szCs w:val="18"/>
        </w:rPr>
        <w:t xml:space="preserve">7.  Scenario Store persists { rulesetVersion, parameters, result } (DB2/JPA)</w:t>
      </w:r>
    </w:p>
    <w:p>
      <w:pPr>
        <w:shd w:fill="F2F2F2" w:val="clear"/>
        <w:spacing w:after="0" w:line="240"/>
      </w:pPr>
      <w:r>
        <w:rPr>
          <w:rFonts w:ascii="Consolas" w:cs="Consolas" w:eastAsia="Consolas" w:hAnsi="Consolas"/>
          <w:color w:val="1A1A1A"/>
          <w:sz w:val="18"/>
          <w:szCs w:val="18"/>
        </w:rPr>
        <w:t xml:space="preserve">8.  UI renders result (Recharts / TanStack Table); offers side-by-side compare</w:t>
      </w:r>
    </w:p>
    <w:p>
      <w:r>
        <w:br w:type="page"/>
      </w:r>
    </w:p>
    <w:p>
      <w:pPr>
        <w:pStyle w:val="Heading1"/>
        <w:spacing w:after="160" w:before="320"/>
      </w:pPr>
      <w:r>
        <w:rPr>
          <w:b/>
          <w:bCs/>
          <w:color w:val="1F3864"/>
          <w:sz w:val="30"/>
          <w:szCs w:val="30"/>
        </w:rPr>
        <w:t xml:space="preserve">5. CP4BA Component Design (Forward-Path Specification)</w:t>
      </w:r>
    </w:p>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Read this section as design, not build steps</w:t>
            </w:r>
          </w:p>
          <w:p>
            <w:pPr>
              <w:spacing w:after="40"/>
              <w:jc w:val="both"/>
            </w:pPr>
            <w:r>
              <w:rPr>
                <w:color w:val="1A1A1A"/>
                <w:sz w:val="20"/>
                <w:szCs w:val="20"/>
              </w:rPr>
              <w:t xml:space="preserve">SRSE is built as a standalone microservice (Option 1) now. This section specifies WHAT the CP4BA authoring layer will contain so the seam is CP4BA-ready and IBM enablement has a target. The HOW (Decision Center click-paths, deployment) is realised in IBM tooling during IBM-led training and must follow the manuals for your installed CP4BA version. This document does not invent IBM click-paths.</w:t>
            </w:r>
          </w:p>
        </w:tc>
      </w:tr>
    </w:tbl>
    <w:p>
      <w:pPr>
        <w:pStyle w:val="Heading2"/>
        <w:spacing w:after="120" w:before="240"/>
      </w:pPr>
      <w:r>
        <w:rPr>
          <w:b/>
          <w:bCs/>
          <w:color w:val="2E5496"/>
          <w:sz w:val="26"/>
          <w:szCs w:val="26"/>
        </w:rPr>
        <w:t xml:space="preserve">5.1 ODM / ADS — Decision Model (specification)</w:t>
      </w:r>
    </w:p>
    <w:p>
      <w:pPr>
        <w:pStyle w:val="Heading3"/>
        <w:spacing w:after="100" w:before="180"/>
      </w:pPr>
      <w:r>
        <w:rPr>
          <w:b/>
          <w:bCs/>
          <w:color w:val="2E5496"/>
          <w:sz w:val="23"/>
          <w:szCs w:val="23"/>
        </w:rPr>
        <w:t xml:space="preserve">5.1.1 Business Object Model (Vocabulary)</w:t>
      </w:r>
    </w:p>
    <w:p>
      <w:pPr>
        <w:spacing w:after="120" w:line="276"/>
        <w:jc w:val="both"/>
      </w:pPr>
      <w:r>
        <w:rPr>
          <w:sz w:val="21"/>
          <w:szCs w:val="21"/>
        </w:rPr>
        <w:t xml:space="preserve">The vocabulary officers author against is the same flat field catalogue SRSE exposes today. When ODM is introduced, this catalogue becomes the ODM Business Object Model (BOM): a business term, a data type, and a verbalisation per field. Provided here as a design artifact; entry into ODM is manual.</w:t>
      </w:r>
    </w:p>
    <w:p>
      <w:pPr>
        <w:pStyle w:val="Heading3"/>
        <w:spacing w:after="100" w:before="180"/>
      </w:pPr>
      <w:r>
        <w:rPr>
          <w:b/>
          <w:bCs/>
          <w:color w:val="2E5496"/>
          <w:sz w:val="23"/>
          <w:szCs w:val="23"/>
        </w:rPr>
        <w:t xml:space="preserve">5.1.2 DMN Decision Tables</w:t>
      </w:r>
    </w:p>
    <w:p>
      <w:pPr>
        <w:spacing w:after="120" w:line="276"/>
        <w:jc w:val="both"/>
      </w:pPr>
      <w:r>
        <w:rPr>
          <w:sz w:val="21"/>
          <w:szCs w:val="21"/>
        </w:rPr>
        <w:t xml:space="preserve">Each scheme's ruleset maps to a DMN decision table: rows are eligibility conditions, the output is an eligibility flag. DMN content is authored in this document and portable to ODM because DMN is an open OMG standard. Appendix B shows the Ekal Naari decision table.</w:t>
      </w:r>
    </w:p>
    <w:p>
      <w:pPr>
        <w:pStyle w:val="Heading3"/>
        <w:spacing w:after="100" w:before="180"/>
      </w:pPr>
      <w:r>
        <w:rPr>
          <w:b/>
          <w:bCs/>
          <w:color w:val="2E5496"/>
          <w:sz w:val="23"/>
          <w:szCs w:val="23"/>
        </w:rPr>
        <w:t xml:space="preserve">5.1.3 Threshold Parameterisation</w:t>
      </w:r>
    </w:p>
    <w:p>
      <w:pPr>
        <w:spacing w:after="120" w:line="276"/>
        <w:jc w:val="both"/>
      </w:pPr>
      <w:r>
        <w:rPr>
          <w:sz w:val="21"/>
          <w:szCs w:val="21"/>
        </w:rPr>
        <w:t xml:space="preserve">Thresholds (age, income) are parameters on the decision table, editable by officers. In SRSE-now this is the UI threshold control; in ODM this is native Decision Center rule-parameter editing.</w:t>
      </w:r>
    </w:p>
    <w:p>
      <w:pPr>
        <w:pStyle w:val="Heading3"/>
        <w:spacing w:after="100" w:before="180"/>
      </w:pPr>
      <w:r>
        <w:rPr>
          <w:b/>
          <w:bCs/>
          <w:color w:val="2E5496"/>
          <w:sz w:val="23"/>
          <w:szCs w:val="23"/>
        </w:rPr>
        <w:t xml:space="preserve">5.1.4 Versioning &amp; Governance</w:t>
      </w:r>
    </w:p>
    <w:p>
      <w:pPr>
        <w:spacing w:after="120" w:line="276"/>
        <w:jc w:val="both"/>
      </w:pPr>
      <w:r>
        <w:rPr>
          <w:sz w:val="21"/>
          <w:szCs w:val="21"/>
        </w:rPr>
        <w:t xml:space="preserve">Ruleset versioning and maker-checker promotion exist in SRSE's rule/scenario store now, and map to ODM Decision Center version control plus a BAW human task later. Note: ODM/ADS version rulesets but do NOT store population-result snapshots — the scenario comparison store (Section 6.5) remains SRSE's responsibility regardless of the CP4BA path.</w:t>
      </w:r>
    </w:p>
    <w:p>
      <w:pPr>
        <w:pStyle w:val="Heading2"/>
        <w:spacing w:after="120" w:before="240"/>
      </w:pPr>
      <w:r>
        <w:rPr>
          <w:b/>
          <w:bCs/>
          <w:color w:val="2E5496"/>
          <w:sz w:val="26"/>
          <w:szCs w:val="26"/>
        </w:rPr>
        <w:t xml:space="preserve">5.2 Decision-Service Seam</w:t>
      </w:r>
    </w:p>
    <w:p>
      <w:pPr>
        <w:spacing w:after="120" w:line="276"/>
        <w:jc w:val="both"/>
      </w:pPr>
      <w:r>
        <w:rPr>
          <w:sz w:val="21"/>
          <w:szCs w:val="21"/>
        </w:rPr>
        <w:t xml:space="preserve">The REST contract in Section 8.1 is deliberately shaped like an ODM decision-service invocation (a stateless POST taking input data, returning a decision). This is the substitution point: the same contract is fulfilled by SRSE's rule store now and by an ODM-hosted decision service later. No other component changes.</w:t>
      </w:r>
    </w:p>
    <w:p>
      <w:r>
        <w:br w:type="page"/>
      </w:r>
    </w:p>
    <w:p>
      <w:pPr>
        <w:pStyle w:val="Heading1"/>
        <w:spacing w:after="160" w:before="320"/>
      </w:pPr>
      <w:r>
        <w:rPr>
          <w:b/>
          <w:bCs/>
          <w:color w:val="1F3864"/>
          <w:sz w:val="30"/>
          <w:szCs w:val="30"/>
        </w:rPr>
        <w:t xml:space="preserve">6. Custom Development Design (Claude + Cursor Scope)</w:t>
      </w:r>
    </w:p>
    <w:p>
      <w:pPr>
        <w:spacing w:after="120" w:line="276"/>
        <w:jc w:val="both"/>
      </w:pPr>
      <w:r>
        <w:rPr>
          <w:sz w:val="21"/>
          <w:szCs w:val="21"/>
        </w:rPr>
        <w:t xml:space="preserve">This is the substance of the build. Every subsystem here is ordinary Java 17 / Spring Boot 3.x / Next.js / SQL and is fully deliverable by Claude + Cursor with no proprietary tooling.</w:t>
      </w:r>
    </w:p>
    <w:tbl>
      <w:tblPr>
        <w:tblW w:type="pct" w:w="100%"/>
        <w:tblBorders>
          <w:top w:val="single" w:color="375623" w:sz="4"/>
          <w:left w:val="single" w:color="375623" w:sz="18"/>
          <w:bottom w:val="single" w:color="375623" w:sz="4"/>
          <w:right w:val="single" w:color="375623" w:sz="4"/>
          <w:insideH w:val="none"/>
          <w:insideV w:val="none"/>
        </w:tblBorders>
      </w:tblPr>
      <w:tblGrid>
        <w:gridCol w:w="9360"/>
      </w:tblGrid>
      <w:tr>
        <w:tc>
          <w:tcPr>
            <w:tcW w:type="dxa" w:w="9360"/>
            <w:shd w:fill="E2EFDA" w:val="clear"/>
            <w:tcMar>
              <w:top w:type="dxa" w:w="100"/>
              <w:left w:type="dxa" w:w="140"/>
              <w:bottom w:type="dxa" w:w="100"/>
              <w:right w:type="dxa" w:w="140"/>
            </w:tcMar>
          </w:tcPr>
          <w:p>
            <w:pPr>
              <w:spacing w:after="60"/>
            </w:pPr>
            <w:r>
              <w:rPr>
                <w:b/>
                <w:bCs/>
                <w:color w:val="375623"/>
                <w:sz w:val="20"/>
                <w:szCs w:val="20"/>
              </w:rPr>
              <w:t xml:space="preserve">✔ DECISION — Java 17 code-style constraint</w:t>
            </w:r>
          </w:p>
          <w:p>
            <w:pPr>
              <w:spacing w:after="40"/>
              <w:jc w:val="both"/>
            </w:pPr>
            <w:r>
              <w:rPr>
                <w:color w:val="1A1A1A"/>
                <w:sz w:val="20"/>
                <w:szCs w:val="20"/>
              </w:rPr>
              <w:t xml:space="preserve">Backend code targets Java 17: records for immutable AST/DTO nodes, switch expressions for the operator emitter, text blocks for SQL templates, sealed interfaces where the node hierarchy benefits. Cursor should generate idiomatic Java 17 — NOT Java 8. Lombok remains available but records supersede it for simple value types.</w:t>
            </w:r>
          </w:p>
        </w:tc>
      </w:tr>
    </w:tbl>
    <w:p>
      <w:pPr>
        <w:pStyle w:val="Heading2"/>
        <w:spacing w:after="120" w:before="240"/>
      </w:pPr>
      <w:r>
        <w:rPr>
          <w:b/>
          <w:bCs/>
          <w:color w:val="2E5496"/>
          <w:sz w:val="26"/>
          <w:szCs w:val="26"/>
        </w:rPr>
        <w:t xml:space="preserve">6.1 Rule-to-SQL Compiler</w:t>
      </w:r>
    </w:p>
    <w:p>
      <w:pPr>
        <w:spacing w:after="120" w:line="276"/>
        <w:jc w:val="both"/>
      </w:pPr>
      <w:r>
        <w:rPr>
          <w:sz w:val="21"/>
          <w:szCs w:val="21"/>
        </w:rPr>
        <w:t xml:space="preserve">The compiler is the hard core of SRSE and should be built and tested first. It transforms a normalised predicate specification into a single parameterised Presto SQL statement. Because all cross-table logic is pre-materialised (Section 6.3), the compiler only ever handles single-table threshold predicates combined by boolean operators — a bounded, testable transformation.</w:t>
      </w:r>
    </w:p>
    <w:p>
      <w:pPr>
        <w:pStyle w:val="Heading3"/>
        <w:spacing w:after="100" w:before="180"/>
      </w:pPr>
      <w:r>
        <w:rPr>
          <w:b/>
          <w:bCs/>
          <w:color w:val="2E5496"/>
          <w:sz w:val="23"/>
          <w:szCs w:val="23"/>
        </w:rPr>
        <w:t xml:space="preserve">6.1.1 Rule AST / Intermediate Representation (Java 17)</w:t>
      </w:r>
    </w:p>
    <w:p>
      <w:pPr>
        <w:shd w:fill="F2F2F2" w:val="clear"/>
        <w:spacing w:after="0" w:line="240"/>
      </w:pPr>
      <w:r>
        <w:rPr>
          <w:rFonts w:ascii="Consolas" w:cs="Consolas" w:eastAsia="Consolas" w:hAnsi="Consolas"/>
          <w:color w:val="1A1A1A"/>
          <w:sz w:val="18"/>
          <w:szCs w:val="18"/>
        </w:rPr>
        <w:t xml:space="preserve">// Sealed hierarchy + records — Java 17</w:t>
      </w:r>
    </w:p>
    <w:p>
      <w:pPr>
        <w:shd w:fill="F2F2F2" w:val="clear"/>
        <w:spacing w:after="0" w:line="240"/>
      </w:pPr>
      <w:r>
        <w:rPr>
          <w:rFonts w:ascii="Consolas" w:cs="Consolas" w:eastAsia="Consolas" w:hAnsi="Consolas"/>
          <w:color w:val="1A1A1A"/>
          <w:sz w:val="18"/>
          <w:szCs w:val="18"/>
        </w:rPr>
        <w:t xml:space="preserve">sealed interface Node permits GroupNode, PredicateNode {}</w:t>
      </w:r>
    </w:p>
    <w:p>
      <w:pPr>
        <w:shd w:fill="F2F2F2" w:val="clear"/>
        <w:spacing w:after="0" w:line="240"/>
      </w:pPr>
      <w:r>
        <w:rPr>
          <w:rFonts w:ascii="Consolas" w:cs="Consolas" w:eastAsia="Consolas" w:hAnsi="Consolas"/>
          <w:color w:val="1A1A1A"/>
          <w:sz w:val="18"/>
          <w:szCs w:val="18"/>
        </w:rPr>
        <w:t xml:space="preserve"> </w:t>
      </w:r>
    </w:p>
    <w:p>
      <w:pPr>
        <w:shd w:fill="F2F2F2" w:val="clear"/>
        <w:spacing w:after="0" w:line="240"/>
      </w:pPr>
      <w:r>
        <w:rPr>
          <w:rFonts w:ascii="Consolas" w:cs="Consolas" w:eastAsia="Consolas" w:hAnsi="Consolas"/>
          <w:color w:val="1A1A1A"/>
          <w:sz w:val="18"/>
          <w:szCs w:val="18"/>
        </w:rPr>
        <w:t xml:space="preserve">record GroupNode(BoolOp op, List&lt;Node&gt; children) implements Node {}</w:t>
      </w:r>
    </w:p>
    <w:p>
      <w:pPr>
        <w:shd w:fill="F2F2F2" w:val="clear"/>
        <w:spacing w:after="0" w:line="240"/>
      </w:pPr>
      <w:r>
        <w:rPr>
          <w:rFonts w:ascii="Consolas" w:cs="Consolas" w:eastAsia="Consolas" w:hAnsi="Consolas"/>
          <w:color w:val="1A1A1A"/>
          <w:sz w:val="18"/>
          <w:szCs w:val="18"/>
        </w:rPr>
        <w:t xml:space="preserve">record PredicateNode(String fieldKey, Operator operator,</w:t>
      </w:r>
    </w:p>
    <w:p>
      <w:pPr>
        <w:shd w:fill="F2F2F2" w:val="clear"/>
        <w:spacing w:after="0" w:line="240"/>
      </w:pPr>
      <w:r>
        <w:rPr>
          <w:rFonts w:ascii="Consolas" w:cs="Consolas" w:eastAsia="Consolas" w:hAnsi="Consolas"/>
          <w:color w:val="1A1A1A"/>
          <w:sz w:val="18"/>
          <w:szCs w:val="18"/>
        </w:rPr>
        <w:t xml:space="preserve">                     Object value) implements Node {}</w:t>
      </w:r>
    </w:p>
    <w:p>
      <w:pPr>
        <w:shd w:fill="F2F2F2" w:val="clear"/>
        <w:spacing w:after="0" w:line="240"/>
      </w:pPr>
      <w:r>
        <w:rPr>
          <w:rFonts w:ascii="Consolas" w:cs="Consolas" w:eastAsia="Consolas" w:hAnsi="Consolas"/>
          <w:color w:val="1A1A1A"/>
          <w:sz w:val="18"/>
          <w:szCs w:val="18"/>
        </w:rPr>
        <w:t xml:space="preserve"> </w:t>
      </w:r>
    </w:p>
    <w:p>
      <w:pPr>
        <w:shd w:fill="F2F2F2" w:val="clear"/>
        <w:spacing w:after="0" w:line="240"/>
      </w:pPr>
      <w:r>
        <w:rPr>
          <w:rFonts w:ascii="Consolas" w:cs="Consolas" w:eastAsia="Consolas" w:hAnsi="Consolas"/>
          <w:color w:val="1A1A1A"/>
          <w:sz w:val="18"/>
          <w:szCs w:val="18"/>
        </w:rPr>
        <w:t xml:space="preserve">enum BoolOp { AND, OR }</w:t>
      </w:r>
    </w:p>
    <w:p>
      <w:pPr>
        <w:shd w:fill="F2F2F2" w:val="clear"/>
        <w:spacing w:after="0" w:line="240"/>
      </w:pPr>
      <w:r>
        <w:rPr>
          <w:rFonts w:ascii="Consolas" w:cs="Consolas" w:eastAsia="Consolas" w:hAnsi="Consolas"/>
          <w:color w:val="1A1A1A"/>
          <w:sz w:val="18"/>
          <w:szCs w:val="18"/>
        </w:rPr>
        <w:t xml:space="preserve">enum Operator { EQ, NE, LT, LTE, GT, GTE, IN, NOT_IN,</w:t>
      </w:r>
    </w:p>
    <w:p>
      <w:pPr>
        <w:shd w:fill="F2F2F2" w:val="clear"/>
        <w:spacing w:after="0" w:line="240"/>
      </w:pPr>
      <w:r>
        <w:rPr>
          <w:rFonts w:ascii="Consolas" w:cs="Consolas" w:eastAsia="Consolas" w:hAnsi="Consolas"/>
          <w:color w:val="1A1A1A"/>
          <w:sz w:val="18"/>
          <w:szCs w:val="18"/>
        </w:rPr>
        <w:t xml:space="preserve">                BETWEEN, IS_TRUE, IS_FALSE, IS_NULL, NOT_NULL }</w:t>
      </w:r>
    </w:p>
    <w:p>
      <w:pPr>
        <w:shd w:fill="F2F2F2" w:val="clear"/>
        <w:spacing w:after="0" w:line="240"/>
      </w:pPr>
      <w:r>
        <w:rPr>
          <w:rFonts w:ascii="Consolas" w:cs="Consolas" w:eastAsia="Consolas" w:hAnsi="Consolas"/>
          <w:color w:val="1A1A1A"/>
          <w:sz w:val="18"/>
          <w:szCs w:val="18"/>
        </w:rPr>
        <w:t xml:space="preserve"> </w:t>
      </w:r>
    </w:p>
    <w:p>
      <w:pPr>
        <w:shd w:fill="F2F2F2" w:val="clear"/>
        <w:spacing w:after="0" w:line="240"/>
      </w:pPr>
      <w:r>
        <w:rPr>
          <w:rFonts w:ascii="Consolas" w:cs="Consolas" w:eastAsia="Consolas" w:hAnsi="Consolas"/>
          <w:color w:val="1A1A1A"/>
          <w:sz w:val="18"/>
          <w:szCs w:val="18"/>
        </w:rPr>
        <w:t xml:space="preserve">record PredicateSpec(Node root) {}</w:t>
      </w:r>
    </w:p>
    <w:p>
      <w:pPr>
        <w:pStyle w:val="Heading3"/>
        <w:spacing w:after="100" w:before="180"/>
      </w:pPr>
      <w:r>
        <w:rPr>
          <w:b/>
          <w:bCs/>
          <w:color w:val="2E5496"/>
          <w:sz w:val="23"/>
          <w:szCs w:val="23"/>
        </w:rPr>
        <w:t xml:space="preserve">6.1.2 Operator Set &amp; Type Handling</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1900"/>
        <w:gridCol w:w="3560"/>
        <w:gridCol w:w="3900"/>
      </w:tblGrid>
      <w:tr>
        <w:trPr>
          <w:tblHeader/>
        </w:trPr>
        <w:tc>
          <w:tcPr>
            <w:tcW w:type="dxa" w:w="1900"/>
            <w:shd w:fill="1F3864" w:val="clear"/>
            <w:tcMar>
              <w:top w:type="dxa" w:w="60"/>
              <w:left w:type="dxa" w:w="90"/>
              <w:bottom w:type="dxa" w:w="60"/>
              <w:right w:type="dxa" w:w="90"/>
            </w:tcMar>
          </w:tcPr>
          <w:p>
            <w:r>
              <w:rPr>
                <w:b/>
                <w:bCs/>
                <w:color w:val="FFFFFF"/>
                <w:sz w:val="18"/>
                <w:szCs w:val="18"/>
              </w:rPr>
              <w:t xml:space="preserve">Field type</w:t>
            </w:r>
          </w:p>
        </w:tc>
        <w:tc>
          <w:tcPr>
            <w:tcW w:type="dxa" w:w="3560"/>
            <w:shd w:fill="1F3864" w:val="clear"/>
            <w:tcMar>
              <w:top w:type="dxa" w:w="60"/>
              <w:left w:type="dxa" w:w="90"/>
              <w:bottom w:type="dxa" w:w="60"/>
              <w:right w:type="dxa" w:w="90"/>
            </w:tcMar>
          </w:tcPr>
          <w:p>
            <w:r>
              <w:rPr>
                <w:b/>
                <w:bCs/>
                <w:color w:val="FFFFFF"/>
                <w:sz w:val="18"/>
                <w:szCs w:val="18"/>
              </w:rPr>
              <w:t xml:space="preserve">Allowed operators</w:t>
            </w:r>
          </w:p>
        </w:tc>
        <w:tc>
          <w:tcPr>
            <w:tcW w:type="dxa" w:w="3900"/>
            <w:shd w:fill="1F3864" w:val="clear"/>
            <w:tcMar>
              <w:top w:type="dxa" w:w="60"/>
              <w:left w:type="dxa" w:w="90"/>
              <w:bottom w:type="dxa" w:w="60"/>
              <w:right w:type="dxa" w:w="90"/>
            </w:tcMar>
          </w:tcPr>
          <w:p>
            <w:r>
              <w:rPr>
                <w:b/>
                <w:bCs/>
                <w:color w:val="FFFFFF"/>
                <w:sz w:val="18"/>
                <w:szCs w:val="18"/>
              </w:rPr>
              <w:t xml:space="preserve">Presto emission note</w:t>
            </w:r>
          </w:p>
        </w:tc>
      </w:tr>
      <w:tr>
        <w:tc>
          <w:tcPr>
            <w:tcW w:type="dxa" w:w="1900"/>
            <w:shd w:fill="FFFFFF" w:val="clear"/>
            <w:tcMar>
              <w:top w:type="dxa" w:w="50"/>
              <w:left w:type="dxa" w:w="90"/>
              <w:bottom w:type="dxa" w:w="50"/>
              <w:right w:type="dxa" w:w="90"/>
            </w:tcMar>
          </w:tcPr>
          <w:p>
            <w:pPr>
              <w:spacing w:after="20"/>
            </w:pPr>
            <w:r>
              <w:rPr>
                <w:sz w:val="17"/>
                <w:szCs w:val="17"/>
              </w:rPr>
              <w:t xml:space="preserve">integer / decimal</w:t>
            </w:r>
          </w:p>
        </w:tc>
        <w:tc>
          <w:tcPr>
            <w:tcW w:type="dxa" w:w="3560"/>
            <w:shd w:fill="FFFFFF" w:val="clear"/>
            <w:tcMar>
              <w:top w:type="dxa" w:w="50"/>
              <w:left w:type="dxa" w:w="90"/>
              <w:bottom w:type="dxa" w:w="50"/>
              <w:right w:type="dxa" w:w="90"/>
            </w:tcMar>
          </w:tcPr>
          <w:p>
            <w:pPr>
              <w:spacing w:after="20"/>
            </w:pPr>
            <w:r>
              <w:rPr>
                <w:sz w:val="17"/>
                <w:szCs w:val="17"/>
              </w:rPr>
              <w:t xml:space="preserve">EQ NE LT LTE GT GTE BETWEEN</w:t>
            </w:r>
          </w:p>
        </w:tc>
        <w:tc>
          <w:tcPr>
            <w:tcW w:type="dxa" w:w="3900"/>
            <w:shd w:fill="FFFFFF" w:val="clear"/>
            <w:tcMar>
              <w:top w:type="dxa" w:w="50"/>
              <w:left w:type="dxa" w:w="90"/>
              <w:bottom w:type="dxa" w:w="50"/>
              <w:right w:type="dxa" w:w="90"/>
            </w:tcMar>
          </w:tcPr>
          <w:p>
            <w:pPr>
              <w:spacing w:after="20"/>
            </w:pPr>
            <w:r>
              <w:rPr>
                <w:sz w:val="17"/>
                <w:szCs w:val="17"/>
              </w:rPr>
              <w:t xml:space="preserve">Numeric literal binding; no quoting.</w:t>
            </w:r>
          </w:p>
        </w:tc>
      </w:tr>
      <w:tr>
        <w:tc>
          <w:tcPr>
            <w:tcW w:type="dxa" w:w="1900"/>
            <w:shd w:fill="EAF0FA" w:val="clear"/>
            <w:tcMar>
              <w:top w:type="dxa" w:w="50"/>
              <w:left w:type="dxa" w:w="90"/>
              <w:bottom w:type="dxa" w:w="50"/>
              <w:right w:type="dxa" w:w="90"/>
            </w:tcMar>
          </w:tcPr>
          <w:p>
            <w:pPr>
              <w:spacing w:after="20"/>
            </w:pPr>
            <w:r>
              <w:rPr>
                <w:sz w:val="17"/>
                <w:szCs w:val="17"/>
              </w:rPr>
              <w:t xml:space="preserve">date</w:t>
            </w:r>
          </w:p>
        </w:tc>
        <w:tc>
          <w:tcPr>
            <w:tcW w:type="dxa" w:w="3560"/>
            <w:shd w:fill="EAF0FA" w:val="clear"/>
            <w:tcMar>
              <w:top w:type="dxa" w:w="50"/>
              <w:left w:type="dxa" w:w="90"/>
              <w:bottom w:type="dxa" w:w="50"/>
              <w:right w:type="dxa" w:w="90"/>
            </w:tcMar>
          </w:tcPr>
          <w:p>
            <w:pPr>
              <w:spacing w:after="20"/>
            </w:pPr>
            <w:r>
              <w:rPr>
                <w:sz w:val="17"/>
                <w:szCs w:val="17"/>
              </w:rPr>
              <w:t xml:space="preserve">EQ NE LT LTE GT GTE BETWEEN</w:t>
            </w:r>
          </w:p>
        </w:tc>
        <w:tc>
          <w:tcPr>
            <w:tcW w:type="dxa" w:w="3900"/>
            <w:shd w:fill="EAF0FA" w:val="clear"/>
            <w:tcMar>
              <w:top w:type="dxa" w:w="50"/>
              <w:left w:type="dxa" w:w="90"/>
              <w:bottom w:type="dxa" w:w="50"/>
              <w:right w:type="dxa" w:w="90"/>
            </w:tcMar>
          </w:tcPr>
          <w:p>
            <w:pPr>
              <w:spacing w:after="20"/>
            </w:pPr>
            <w:r>
              <w:rPr>
                <w:sz w:val="17"/>
                <w:szCs w:val="17"/>
              </w:rPr>
              <w:t xml:space="preserve">DATE 'yyyy-mm-dd'; age handled as derived int (§6.3).</w:t>
            </w:r>
          </w:p>
        </w:tc>
      </w:tr>
      <w:tr>
        <w:tc>
          <w:tcPr>
            <w:tcW w:type="dxa" w:w="1900"/>
            <w:shd w:fill="FFFFFF" w:val="clear"/>
            <w:tcMar>
              <w:top w:type="dxa" w:w="50"/>
              <w:left w:type="dxa" w:w="90"/>
              <w:bottom w:type="dxa" w:w="50"/>
              <w:right w:type="dxa" w:w="90"/>
            </w:tcMar>
          </w:tcPr>
          <w:p>
            <w:pPr>
              <w:spacing w:after="20"/>
            </w:pPr>
            <w:r>
              <w:rPr>
                <w:sz w:val="17"/>
                <w:szCs w:val="17"/>
              </w:rPr>
              <w:t xml:space="preserve">string / code</w:t>
            </w:r>
          </w:p>
        </w:tc>
        <w:tc>
          <w:tcPr>
            <w:tcW w:type="dxa" w:w="3560"/>
            <w:shd w:fill="FFFFFF" w:val="clear"/>
            <w:tcMar>
              <w:top w:type="dxa" w:w="50"/>
              <w:left w:type="dxa" w:w="90"/>
              <w:bottom w:type="dxa" w:w="50"/>
              <w:right w:type="dxa" w:w="90"/>
            </w:tcMar>
          </w:tcPr>
          <w:p>
            <w:pPr>
              <w:spacing w:after="20"/>
            </w:pPr>
            <w:r>
              <w:rPr>
                <w:sz w:val="17"/>
                <w:szCs w:val="17"/>
              </w:rPr>
              <w:t xml:space="preserve">EQ NE IN NOT_IN</w:t>
            </w:r>
          </w:p>
        </w:tc>
        <w:tc>
          <w:tcPr>
            <w:tcW w:type="dxa" w:w="3900"/>
            <w:shd w:fill="FFFFFF" w:val="clear"/>
            <w:tcMar>
              <w:top w:type="dxa" w:w="50"/>
              <w:left w:type="dxa" w:w="90"/>
              <w:bottom w:type="dxa" w:w="50"/>
              <w:right w:type="dxa" w:w="90"/>
            </w:tcMar>
          </w:tcPr>
          <w:p>
            <w:pPr>
              <w:spacing w:after="20"/>
            </w:pPr>
            <w:r>
              <w:rPr>
                <w:sz w:val="17"/>
                <w:szCs w:val="17"/>
              </w:rPr>
              <w:t xml:space="preserve">Parameterised; never string-concatenated.</w:t>
            </w:r>
          </w:p>
        </w:tc>
      </w:tr>
      <w:tr>
        <w:tc>
          <w:tcPr>
            <w:tcW w:type="dxa" w:w="1900"/>
            <w:shd w:fill="EAF0FA" w:val="clear"/>
            <w:tcMar>
              <w:top w:type="dxa" w:w="50"/>
              <w:left w:type="dxa" w:w="90"/>
              <w:bottom w:type="dxa" w:w="50"/>
              <w:right w:type="dxa" w:w="90"/>
            </w:tcMar>
          </w:tcPr>
          <w:p>
            <w:pPr>
              <w:spacing w:after="20"/>
            </w:pPr>
            <w:r>
              <w:rPr>
                <w:sz w:val="17"/>
                <w:szCs w:val="17"/>
              </w:rPr>
              <w:t xml:space="preserve">boolean / flag</w:t>
            </w:r>
          </w:p>
        </w:tc>
        <w:tc>
          <w:tcPr>
            <w:tcW w:type="dxa" w:w="3560"/>
            <w:shd w:fill="EAF0FA" w:val="clear"/>
            <w:tcMar>
              <w:top w:type="dxa" w:w="50"/>
              <w:left w:type="dxa" w:w="90"/>
              <w:bottom w:type="dxa" w:w="50"/>
              <w:right w:type="dxa" w:w="90"/>
            </w:tcMar>
          </w:tcPr>
          <w:p>
            <w:pPr>
              <w:spacing w:after="20"/>
            </w:pPr>
            <w:r>
              <w:rPr>
                <w:sz w:val="17"/>
                <w:szCs w:val="17"/>
              </w:rPr>
              <w:t xml:space="preserve">IS_TRUE IS_FALSE</w:t>
            </w:r>
          </w:p>
        </w:tc>
        <w:tc>
          <w:tcPr>
            <w:tcW w:type="dxa" w:w="3900"/>
            <w:shd w:fill="EAF0FA" w:val="clear"/>
            <w:tcMar>
              <w:top w:type="dxa" w:w="50"/>
              <w:left w:type="dxa" w:w="90"/>
              <w:bottom w:type="dxa" w:w="50"/>
              <w:right w:type="dxa" w:w="90"/>
            </w:tcMar>
          </w:tcPr>
          <w:p>
            <w:pPr>
              <w:spacing w:after="20"/>
            </w:pPr>
            <w:r>
              <w:rPr>
                <w:sz w:val="17"/>
                <w:szCs w:val="17"/>
              </w:rPr>
              <w:t xml:space="preserve">Maps to = TRUE / = FALSE on flat flag column.</w:t>
            </w:r>
          </w:p>
        </w:tc>
      </w:tr>
      <w:tr>
        <w:tc>
          <w:tcPr>
            <w:tcW w:type="dxa" w:w="1900"/>
            <w:shd w:fill="FFFFFF" w:val="clear"/>
            <w:tcMar>
              <w:top w:type="dxa" w:w="50"/>
              <w:left w:type="dxa" w:w="90"/>
              <w:bottom w:type="dxa" w:w="50"/>
              <w:right w:type="dxa" w:w="90"/>
            </w:tcMar>
          </w:tcPr>
          <w:p>
            <w:pPr>
              <w:spacing w:after="20"/>
            </w:pPr>
            <w:r>
              <w:rPr>
                <w:sz w:val="17"/>
                <w:szCs w:val="17"/>
              </w:rPr>
              <w:t xml:space="preserve">any</w:t>
            </w:r>
          </w:p>
        </w:tc>
        <w:tc>
          <w:tcPr>
            <w:tcW w:type="dxa" w:w="3560"/>
            <w:shd w:fill="FFFFFF" w:val="clear"/>
            <w:tcMar>
              <w:top w:type="dxa" w:w="50"/>
              <w:left w:type="dxa" w:w="90"/>
              <w:bottom w:type="dxa" w:w="50"/>
              <w:right w:type="dxa" w:w="90"/>
            </w:tcMar>
          </w:tcPr>
          <w:p>
            <w:pPr>
              <w:spacing w:after="20"/>
            </w:pPr>
            <w:r>
              <w:rPr>
                <w:sz w:val="17"/>
                <w:szCs w:val="17"/>
              </w:rPr>
              <w:t xml:space="preserve">IS_NULL NOT_NULL</w:t>
            </w:r>
          </w:p>
        </w:tc>
        <w:tc>
          <w:tcPr>
            <w:tcW w:type="dxa" w:w="3900"/>
            <w:shd w:fill="FFFFFF" w:val="clear"/>
            <w:tcMar>
              <w:top w:type="dxa" w:w="50"/>
              <w:left w:type="dxa" w:w="90"/>
              <w:bottom w:type="dxa" w:w="50"/>
              <w:right w:type="dxa" w:w="90"/>
            </w:tcMar>
          </w:tcPr>
          <w:p>
            <w:pPr>
              <w:spacing w:after="20"/>
            </w:pPr>
            <w:r>
              <w:rPr>
                <w:sz w:val="17"/>
                <w:szCs w:val="17"/>
              </w:rPr>
              <w:t xml:space="preserve">Null-safety for optional fields.</w:t>
            </w:r>
          </w:p>
        </w:tc>
      </w:tr>
    </w:tbl>
    <w:p>
      <w:pPr>
        <w:pStyle w:val="Heading3"/>
        <w:spacing w:after="100" w:before="180"/>
      </w:pPr>
      <w:r>
        <w:rPr>
          <w:b/>
          <w:bCs/>
          <w:color w:val="2E5496"/>
          <w:sz w:val="23"/>
          <w:szCs w:val="23"/>
        </w:rPr>
        <w:t xml:space="preserve">6.1.3 Predicate Generation &amp; Parameterisation</w:t>
      </w:r>
    </w:p>
    <w:p>
      <w:pPr>
        <w:spacing w:after="120" w:line="276"/>
        <w:jc w:val="both"/>
      </w:pPr>
      <w:r>
        <w:rPr>
          <w:sz w:val="21"/>
          <w:szCs w:val="21"/>
        </w:rPr>
        <w:t xml:space="preserve">Each PredicateNode resolves its fieldKey to a physical column via the mapping service, then emits a parameterised fragment. Values are always bound parameters, never inlined — an injection defence and a plan-cache benefit. The compiler returns the SQL text plus an ordered parameter list, consumed by JdbcTemplate.</w:t>
      </w:r>
    </w:p>
    <w:p>
      <w:pPr>
        <w:shd w:fill="F2F2F2" w:val="clear"/>
        <w:spacing w:after="0" w:line="240"/>
      </w:pPr>
      <w:r>
        <w:rPr>
          <w:rFonts w:ascii="Consolas" w:cs="Consolas" w:eastAsia="Consolas" w:hAnsi="Consolas"/>
          <w:color w:val="1A1A1A"/>
          <w:sz w:val="18"/>
          <w:szCs w:val="18"/>
        </w:rPr>
        <w:t xml:space="preserve">// switch expression over Operator (Java 17)</w:t>
      </w:r>
    </w:p>
    <w:p>
      <w:pPr>
        <w:shd w:fill="F2F2F2" w:val="clear"/>
        <w:spacing w:after="0" w:line="240"/>
      </w:pPr>
      <w:r>
        <w:rPr>
          <w:rFonts w:ascii="Consolas" w:cs="Consolas" w:eastAsia="Consolas" w:hAnsi="Consolas"/>
          <w:color w:val="1A1A1A"/>
          <w:sz w:val="18"/>
          <w:szCs w:val="18"/>
        </w:rPr>
        <w:t xml:space="preserve">// PredicateNode(annual_income, LT, 48000)</w:t>
      </w:r>
    </w:p>
    <w:p>
      <w:pPr>
        <w:shd w:fill="F2F2F2" w:val="clear"/>
        <w:spacing w:after="0" w:line="240"/>
      </w:pPr>
      <w:r>
        <w:rPr>
          <w:rFonts w:ascii="Consolas" w:cs="Consolas" w:eastAsia="Consolas" w:hAnsi="Consolas"/>
          <w:color w:val="1A1A1A"/>
          <w:sz w:val="18"/>
          <w:szCs w:val="18"/>
        </w:rPr>
        <w:t xml:space="preserve">// mapping: annual_income -&gt; beneficiary.annual_income_total</w:t>
      </w:r>
    </w:p>
    <w:p>
      <w:pPr>
        <w:shd w:fill="F2F2F2" w:val="clear"/>
        <w:spacing w:after="0" w:line="240"/>
      </w:pPr>
      <w:r>
        <w:rPr>
          <w:rFonts w:ascii="Consolas" w:cs="Consolas" w:eastAsia="Consolas" w:hAnsi="Consolas"/>
          <w:color w:val="1A1A1A"/>
          <w:sz w:val="18"/>
          <w:szCs w:val="18"/>
        </w:rPr>
        <w:t xml:space="preserve">//   emits:  beneficiary.annual_income_total &lt; ?     [param: 48000]</w:t>
      </w:r>
    </w:p>
    <w:p>
      <w:pPr>
        <w:shd w:fill="F2F2F2" w:val="clear"/>
        <w:spacing w:after="0" w:line="240"/>
      </w:pPr>
      <w:r>
        <w:rPr>
          <w:rFonts w:ascii="Consolas" w:cs="Consolas" w:eastAsia="Consolas" w:hAnsi="Consolas"/>
          <w:color w:val="1A1A1A"/>
          <w:sz w:val="18"/>
          <w:szCs w:val="18"/>
        </w:rPr>
        <w:t xml:space="preserve">// GroupNode(AND,[f1,f2]) -&gt; ( &lt;f1&gt; AND &lt;f2&gt; )</w:t>
      </w:r>
    </w:p>
    <w:p>
      <w:pPr>
        <w:pStyle w:val="Heading3"/>
        <w:spacing w:after="100" w:before="180"/>
      </w:pPr>
      <w:r>
        <w:rPr>
          <w:b/>
          <w:bCs/>
          <w:color w:val="2E5496"/>
          <w:sz w:val="23"/>
          <w:szCs w:val="23"/>
        </w:rPr>
        <w:t xml:space="preserve">6.1.4 The Derived-Field Contract (critical)</w:t>
      </w:r>
    </w:p>
    <w:p>
      <w:pPr>
        <w:spacing w:after="120" w:line="276"/>
        <w:jc w:val="both"/>
      </w:pPr>
      <w:r>
        <w:rPr>
          <w:sz w:val="21"/>
          <w:szCs w:val="21"/>
        </w:rPr>
        <w:t xml:space="preserve">The compiler must NEVER emit a join or an on-the-fly cross-table calculation. Any field whose value depends on more than one table, on relationship resolution, or on temporal aggregation is pre-computed upstream into a flat column and registered in the catalogue as an ordinary field. This keeps the compiler simple, the queries fast, and the results correct.</w:t>
      </w:r>
    </w:p>
    <w:tbl>
      <w:tblPr>
        <w:tblW w:type="pct" w:w="100%"/>
        <w:tblBorders>
          <w:top w:val="single" w:color="375623" w:sz="4"/>
          <w:left w:val="single" w:color="375623" w:sz="18"/>
          <w:bottom w:val="single" w:color="375623" w:sz="4"/>
          <w:right w:val="single" w:color="375623" w:sz="4"/>
          <w:insideH w:val="none"/>
          <w:insideV w:val="none"/>
        </w:tblBorders>
      </w:tblPr>
      <w:tblGrid>
        <w:gridCol w:w="9360"/>
      </w:tblGrid>
      <w:tr>
        <w:tc>
          <w:tcPr>
            <w:tcW w:type="dxa" w:w="9360"/>
            <w:shd w:fill="E2EFDA" w:val="clear"/>
            <w:tcMar>
              <w:top w:type="dxa" w:w="100"/>
              <w:left w:type="dxa" w:w="140"/>
              <w:bottom w:type="dxa" w:w="100"/>
              <w:right w:type="dxa" w:w="140"/>
            </w:tcMar>
          </w:tcPr>
          <w:p>
            <w:pPr>
              <w:spacing w:after="60"/>
            </w:pPr>
            <w:r>
              <w:rPr>
                <w:b/>
                <w:bCs/>
                <w:color w:val="375623"/>
                <w:sz w:val="20"/>
                <w:szCs w:val="20"/>
              </w:rPr>
              <w:t xml:space="preserve">✔ DECISION — Load-bearing principle</w:t>
            </w:r>
          </w:p>
          <w:p>
            <w:pPr>
              <w:spacing w:after="40"/>
              <w:jc w:val="both"/>
            </w:pPr>
            <w:r>
              <w:rPr>
                <w:color w:val="1A1A1A"/>
                <w:sz w:val="20"/>
                <w:szCs w:val="20"/>
              </w:rPr>
              <w:t xml:space="preserve">Officers compose rules from a flat catalogue. Joins, family-relationship logic (via REL-01), and temporal aggregates (e.g. 3-year average income) are materialised into flat Golden Layer columns by Spark ETL before SRSE sees them. Genuinely new cross-table fields require a one-time data-engineering step to add the flat column — after which officers use them as simple fields. This trade is deliberate and must be stated to officers.</w:t>
            </w:r>
          </w:p>
        </w:tc>
      </w:tr>
    </w:tbl>
    <w:p>
      <w:pPr>
        <w:pStyle w:val="Heading2"/>
        <w:spacing w:after="120" w:before="240"/>
      </w:pPr>
      <w:r>
        <w:rPr>
          <w:b/>
          <w:bCs/>
          <w:color w:val="2E5496"/>
          <w:sz w:val="26"/>
          <w:szCs w:val="26"/>
        </w:rPr>
        <w:t xml:space="preserve">6.2 Execution Service (Lakehouse Push-Down)</w:t>
      </w:r>
    </w:p>
    <w:p>
      <w:pPr>
        <w:pStyle w:val="Heading3"/>
        <w:spacing w:after="100" w:before="180"/>
      </w:pPr>
      <w:r>
        <w:rPr>
          <w:b/>
          <w:bCs/>
          <w:color w:val="2E5496"/>
          <w:sz w:val="23"/>
          <w:szCs w:val="23"/>
        </w:rPr>
        <w:t xml:space="preserve">6.2.1 Single-Pass Query Strategy</w:t>
      </w:r>
    </w:p>
    <w:p>
      <w:pPr>
        <w:spacing w:after="120" w:line="276"/>
        <w:jc w:val="both"/>
      </w:pPr>
      <w:r>
        <w:rPr>
          <w:sz w:val="21"/>
          <w:szCs w:val="21"/>
        </w:rPr>
        <w:t xml:space="preserve">Count, demographic breakdown, and cohort sample are obtained economically. The count and grouped breakdown come from one aggregate query; the cohort drill-down is a separate, capped query fetched only on demand (not eagerly).</w:t>
      </w:r>
    </w:p>
    <w:p>
      <w:pPr>
        <w:shd w:fill="F2F2F2" w:val="clear"/>
        <w:spacing w:after="0" w:line="240"/>
      </w:pPr>
      <w:r>
        <w:rPr>
          <w:rFonts w:ascii="Consolas" w:cs="Consolas" w:eastAsia="Consolas" w:hAnsi="Consolas"/>
          <w:color w:val="1A1A1A"/>
          <w:sz w:val="18"/>
          <w:szCs w:val="18"/>
        </w:rPr>
        <w:t xml:space="preserve">-- Count + breakdown (single pass, via JdbcTemplate)</w:t>
      </w:r>
    </w:p>
    <w:p>
      <w:pPr>
        <w:shd w:fill="F2F2F2" w:val="clear"/>
        <w:spacing w:after="0" w:line="240"/>
      </w:pPr>
      <w:r>
        <w:rPr>
          <w:rFonts w:ascii="Consolas" w:cs="Consolas" w:eastAsia="Consolas" w:hAnsi="Consolas"/>
          <w:color w:val="1A1A1A"/>
          <w:sz w:val="18"/>
          <w:szCs w:val="18"/>
        </w:rPr>
        <w:t xml:space="preserve">SELECT district, gender, age_band, COUNT(*) AS n</w:t>
      </w:r>
    </w:p>
    <w:p>
      <w:pPr>
        <w:shd w:fill="F2F2F2" w:val="clear"/>
        <w:spacing w:after="0" w:line="240"/>
      </w:pPr>
      <w:r>
        <w:rPr>
          <w:rFonts w:ascii="Consolas" w:cs="Consolas" w:eastAsia="Consolas" w:hAnsi="Consolas"/>
          <w:color w:val="1A1A1A"/>
          <w:sz w:val="18"/>
          <w:szCs w:val="18"/>
        </w:rPr>
        <w:t xml:space="preserve">FROM   &lt;mapped_beneficiary_table&gt;</w:t>
      </w:r>
    </w:p>
    <w:p>
      <w:pPr>
        <w:shd w:fill="F2F2F2" w:val="clear"/>
        <w:spacing w:after="0" w:line="240"/>
      </w:pPr>
      <w:r>
        <w:rPr>
          <w:rFonts w:ascii="Consolas" w:cs="Consolas" w:eastAsia="Consolas" w:hAnsi="Consolas"/>
          <w:color w:val="1A1A1A"/>
          <w:sz w:val="18"/>
          <w:szCs w:val="18"/>
        </w:rPr>
        <w:t xml:space="preserve">WHERE  &lt;compiled_predicate&gt;</w:t>
      </w:r>
    </w:p>
    <w:p>
      <w:pPr>
        <w:shd w:fill="F2F2F2" w:val="clear"/>
        <w:spacing w:after="0" w:line="240"/>
      </w:pPr>
      <w:r>
        <w:rPr>
          <w:rFonts w:ascii="Consolas" w:cs="Consolas" w:eastAsia="Consolas" w:hAnsi="Consolas"/>
          <w:color w:val="1A1A1A"/>
          <w:sz w:val="18"/>
          <w:szCs w:val="18"/>
        </w:rPr>
        <w:t xml:space="preserve">GROUP BY district, gender, age_band;</w:t>
      </w:r>
    </w:p>
    <w:p>
      <w:pPr>
        <w:shd w:fill="F2F2F2" w:val="clear"/>
        <w:spacing w:after="0" w:line="240"/>
      </w:pPr>
      <w:r>
        <w:rPr>
          <w:rFonts w:ascii="Consolas" w:cs="Consolas" w:eastAsia="Consolas" w:hAnsi="Consolas"/>
          <w:color w:val="1A1A1A"/>
          <w:sz w:val="18"/>
          <w:szCs w:val="18"/>
        </w:rPr>
        <w:t xml:space="preserve"> </w:t>
      </w:r>
    </w:p>
    <w:p>
      <w:pPr>
        <w:shd w:fill="F2F2F2" w:val="clear"/>
        <w:spacing w:after="0" w:line="240"/>
      </w:pPr>
      <w:r>
        <w:rPr>
          <w:rFonts w:ascii="Consolas" w:cs="Consolas" w:eastAsia="Consolas" w:hAnsi="Consolas"/>
          <w:color w:val="1A1A1A"/>
          <w:sz w:val="18"/>
          <w:szCs w:val="18"/>
        </w:rPr>
        <w:t xml:space="preserve">-- Cohort drill-down (only on demand, capped):</w:t>
      </w:r>
    </w:p>
    <w:p>
      <w:pPr>
        <w:shd w:fill="F2F2F2" w:val="clear"/>
        <w:spacing w:after="0" w:line="240"/>
      </w:pPr>
      <w:r>
        <w:rPr>
          <w:rFonts w:ascii="Consolas" w:cs="Consolas" w:eastAsia="Consolas" w:hAnsi="Consolas"/>
          <w:color w:val="1A1A1A"/>
          <w:sz w:val="18"/>
          <w:szCs w:val="18"/>
        </w:rPr>
        <w:t xml:space="preserve">SELECT &lt;id&gt;, &lt;display_cols&gt;</w:t>
      </w:r>
    </w:p>
    <w:p>
      <w:pPr>
        <w:shd w:fill="F2F2F2" w:val="clear"/>
        <w:spacing w:after="0" w:line="240"/>
      </w:pPr>
      <w:r>
        <w:rPr>
          <w:rFonts w:ascii="Consolas" w:cs="Consolas" w:eastAsia="Consolas" w:hAnsi="Consolas"/>
          <w:color w:val="1A1A1A"/>
          <w:sz w:val="18"/>
          <w:szCs w:val="18"/>
        </w:rPr>
        <w:t xml:space="preserve">FROM   &lt;mapped_beneficiary_table&gt;</w:t>
      </w:r>
    </w:p>
    <w:p>
      <w:pPr>
        <w:shd w:fill="F2F2F2" w:val="clear"/>
        <w:spacing w:after="0" w:line="240"/>
      </w:pPr>
      <w:r>
        <w:rPr>
          <w:rFonts w:ascii="Consolas" w:cs="Consolas" w:eastAsia="Consolas" w:hAnsi="Consolas"/>
          <w:color w:val="1A1A1A"/>
          <w:sz w:val="18"/>
          <w:szCs w:val="18"/>
        </w:rPr>
        <w:t xml:space="preserve">WHERE  &lt;compiled_predicate&gt;</w:t>
      </w:r>
    </w:p>
    <w:p>
      <w:pPr>
        <w:shd w:fill="F2F2F2" w:val="clear"/>
        <w:spacing w:after="0" w:line="240"/>
      </w:pPr>
      <w:r>
        <w:rPr>
          <w:rFonts w:ascii="Consolas" w:cs="Consolas" w:eastAsia="Consolas" w:hAnsi="Consolas"/>
          <w:color w:val="1A1A1A"/>
          <w:sz w:val="18"/>
          <w:szCs w:val="18"/>
        </w:rPr>
        <w:t xml:space="preserve">LIMIT  &lt;cohort_cap&gt;;</w:t>
      </w:r>
    </w:p>
    <w:p>
      <w:pPr>
        <w:pStyle w:val="Heading3"/>
        <w:spacing w:after="100" w:before="180"/>
      </w:pPr>
      <w:r>
        <w:rPr>
          <w:b/>
          <w:bCs/>
          <w:color w:val="2E5496"/>
          <w:sz w:val="23"/>
          <w:szCs w:val="23"/>
        </w:rPr>
        <w:t xml:space="preserve">6.2.2 Target Engine &amp; Driver</w:t>
      </w:r>
    </w:p>
    <w:p>
      <w:pPr>
        <w:spacing w:after="120" w:line="276"/>
        <w:jc w:val="both"/>
      </w:pPr>
      <w:r>
        <w:rPr>
          <w:sz w:val="21"/>
          <w:szCs w:val="21"/>
        </w:rPr>
        <w:t xml:space="preserve">Live execution targets Presto 0.297 over Iceberg via the PrestoDB JDBC driver (com.facebook.presto:presto-jdbc), wired as a dedicated non-JPA DataSource + JdbcTemplate bean. Connection parameters are configuration, not code.</w:t>
      </w:r>
    </w:p>
    <w:p>
      <w:pPr>
        <w:pStyle w:val="Heading3"/>
        <w:spacing w:after="100" w:before="180"/>
      </w:pPr>
      <w:r>
        <w:rPr>
          <w:b/>
          <w:bCs/>
          <w:color w:val="2E5496"/>
          <w:sz w:val="23"/>
          <w:szCs w:val="23"/>
        </w:rPr>
        <w:t xml:space="preserve">6.2.3 Performance &amp; Result-Size Guardrails</w:t>
      </w:r>
    </w:p>
    <w:p>
      <w:pPr>
        <w:pStyle w:val="ListParagraph"/>
        <w:numPr>
          <w:ilvl w:val="0"/>
          <w:numId w:val="2"/>
        </w:numPr>
        <w:spacing w:after="60" w:line="264"/>
      </w:pPr>
      <w:r>
        <w:rPr>
          <w:sz w:val="21"/>
          <w:szCs w:val="21"/>
        </w:rPr>
        <w:t xml:space="preserve">Cohort drill-down hard-capped (configurable, e.g. 1,000 rows); never returns full populations to the app tier.</w:t>
      </w:r>
    </w:p>
    <w:p>
      <w:pPr>
        <w:pStyle w:val="ListParagraph"/>
        <w:numPr>
          <w:ilvl w:val="0"/>
          <w:numId w:val="2"/>
        </w:numPr>
        <w:spacing w:after="60" w:line="264"/>
      </w:pPr>
      <w:r>
        <w:rPr>
          <w:sz w:val="21"/>
          <w:szCs w:val="21"/>
        </w:rPr>
        <w:t xml:space="preserve">Query timeout enforced; long-running simulations cancelled with a clear message.</w:t>
      </w:r>
    </w:p>
    <w:p>
      <w:pPr>
        <w:pStyle w:val="ListParagraph"/>
        <w:numPr>
          <w:ilvl w:val="0"/>
          <w:numId w:val="2"/>
        </w:numPr>
        <w:spacing w:after="60" w:line="264"/>
      </w:pPr>
      <w:r>
        <w:rPr>
          <w:sz w:val="21"/>
          <w:szCs w:val="21"/>
        </w:rPr>
        <w:t xml:space="preserve">Breakdown dimensions are a fixed set (district, gender, age band) to keep GROUP BY bounded.</w:t>
      </w:r>
    </w:p>
    <w:p>
      <w:pPr>
        <w:pStyle w:val="ListParagraph"/>
        <w:numPr>
          <w:ilvl w:val="0"/>
          <w:numId w:val="2"/>
        </w:numPr>
        <w:spacing w:after="60" w:line="264"/>
      </w:pPr>
      <w:r>
        <w:rPr>
          <w:sz w:val="21"/>
          <w:szCs w:val="21"/>
        </w:rPr>
        <w:t xml:space="preserve">The count query returns aggregates only — never row-level data — so it is safe on large populations.</w:t>
      </w:r>
    </w:p>
    <w:p>
      <w:pPr>
        <w:pStyle w:val="Heading2"/>
        <w:spacing w:after="120" w:before="240"/>
      </w:pPr>
      <w:r>
        <w:rPr>
          <w:b/>
          <w:bCs/>
          <w:color w:val="2E5496"/>
          <w:sz w:val="26"/>
          <w:szCs w:val="26"/>
        </w:rPr>
        <w:t xml:space="preserve">6.3 Derived / Temporal Field Pre-Materialisation</w:t>
      </w:r>
    </w:p>
    <w:p>
      <w:pPr>
        <w:spacing w:after="120" w:line="276"/>
        <w:jc w:val="both"/>
      </w:pPr>
      <w:r>
        <w:rPr>
          <w:sz w:val="21"/>
          <w:szCs w:val="21"/>
        </w:rPr>
        <w:t xml:space="preserve">An upstream responsibility, not part of the SRSE runtime but essential to its correctness. Fields such as age (from date of birth), 3-year average income, or 'is girl child of HoF' are computed by Spark ETL / REL-01 into flat Golden Layer columns carrying a last_refreshed_at marker. SRSE consumes them as ordinary catalogue fields.</w:t>
      </w:r>
    </w:p>
    <w:tbl>
      <w:tblPr>
        <w:tblW w:type="pct" w:w="100%"/>
        <w:tblBorders>
          <w:top w:val="single" w:color="375623" w:sz="4"/>
          <w:left w:val="single" w:color="375623" w:sz="18"/>
          <w:bottom w:val="single" w:color="375623" w:sz="4"/>
          <w:right w:val="single" w:color="375623" w:sz="4"/>
          <w:insideH w:val="none"/>
          <w:insideV w:val="none"/>
        </w:tblBorders>
      </w:tblPr>
      <w:tblGrid>
        <w:gridCol w:w="9360"/>
      </w:tblGrid>
      <w:tr>
        <w:tc>
          <w:tcPr>
            <w:tcW w:type="dxa" w:w="9360"/>
            <w:shd w:fill="E2EFDA" w:val="clear"/>
            <w:tcMar>
              <w:top w:type="dxa" w:w="100"/>
              <w:left w:type="dxa" w:w="140"/>
              <w:bottom w:type="dxa" w:w="100"/>
              <w:right w:type="dxa" w:w="140"/>
            </w:tcMar>
          </w:tcPr>
          <w:p>
            <w:pPr>
              <w:spacing w:after="60"/>
            </w:pPr>
            <w:r>
              <w:rPr>
                <w:b/>
                <w:bCs/>
                <w:color w:val="375623"/>
                <w:sz w:val="20"/>
                <w:szCs w:val="20"/>
              </w:rPr>
              <w:t xml:space="preserve">✔ DECISION — Reuse REL-01</w:t>
            </w:r>
          </w:p>
          <w:p>
            <w:pPr>
              <w:spacing w:after="40"/>
              <w:jc w:val="both"/>
            </w:pPr>
            <w:r>
              <w:rPr>
                <w:color w:val="1A1A1A"/>
                <w:sz w:val="20"/>
                <w:szCs w:val="20"/>
              </w:rPr>
              <w:t xml:space="preserve">Relationship-derived flags (e.g. girl child of HoF, single-woman status) come from the existing REL-01 Family Relationship Resolver output, not from live joins inside SRSE. This reuses designed capability and honours the flat-catalogue principle.</w:t>
            </w:r>
          </w:p>
        </w:tc>
      </w:tr>
    </w:tbl>
    <w:p>
      <w:pPr>
        <w:pStyle w:val="Heading2"/>
        <w:spacing w:after="120" w:before="240"/>
      </w:pPr>
      <w:r>
        <w:rPr>
          <w:b/>
          <w:bCs/>
          <w:color w:val="2E5496"/>
          <w:sz w:val="26"/>
          <w:szCs w:val="26"/>
        </w:rPr>
        <w:t xml:space="preserve">6.4 Metadata / Data-to-Rule Mapping Service</w:t>
      </w:r>
    </w:p>
    <w:p>
      <w:pPr>
        <w:pStyle w:val="Heading3"/>
        <w:spacing w:after="100" w:before="180"/>
      </w:pPr>
      <w:r>
        <w:rPr>
          <w:b/>
          <w:bCs/>
          <w:color w:val="2E5496"/>
          <w:sz w:val="23"/>
          <w:szCs w:val="23"/>
        </w:rPr>
        <w:t xml:space="preserve">6.4.1 Field→Column Mapping Schema</w:t>
      </w:r>
    </w:p>
    <w:p>
      <w:pPr>
        <w:spacing w:after="120" w:line="276"/>
        <w:jc w:val="both"/>
      </w:pPr>
      <w:r>
        <w:rPr>
          <w:sz w:val="21"/>
          <w:szCs w:val="21"/>
        </w:rPr>
        <w:t xml:space="preserve">The mapping service makes SRSE schema-agnostic and answers 'I don't know the lakehouse column names yet'. Each catalogue field maps to a physical binding supplied at deployment. Three binding tiers:</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700"/>
        <w:gridCol w:w="2700"/>
        <w:gridCol w:w="2400"/>
        <w:gridCol w:w="3560"/>
      </w:tblGrid>
      <w:tr>
        <w:trPr>
          <w:tblHeader/>
        </w:trPr>
        <w:tc>
          <w:tcPr>
            <w:tcW w:type="dxa" w:w="700"/>
            <w:shd w:fill="1F3864" w:val="clear"/>
            <w:tcMar>
              <w:top w:type="dxa" w:w="60"/>
              <w:left w:type="dxa" w:w="90"/>
              <w:bottom w:type="dxa" w:w="60"/>
              <w:right w:type="dxa" w:w="90"/>
            </w:tcMar>
          </w:tcPr>
          <w:p>
            <w:r>
              <w:rPr>
                <w:b/>
                <w:bCs/>
                <w:color w:val="FFFFFF"/>
                <w:sz w:val="18"/>
                <w:szCs w:val="18"/>
              </w:rPr>
              <w:t xml:space="preserve">Tier</w:t>
            </w:r>
          </w:p>
        </w:tc>
        <w:tc>
          <w:tcPr>
            <w:tcW w:type="dxa" w:w="2700"/>
            <w:shd w:fill="1F3864" w:val="clear"/>
            <w:tcMar>
              <w:top w:type="dxa" w:w="60"/>
              <w:left w:type="dxa" w:w="90"/>
              <w:bottom w:type="dxa" w:w="60"/>
              <w:right w:type="dxa" w:w="90"/>
            </w:tcMar>
          </w:tcPr>
          <w:p>
            <w:r>
              <w:rPr>
                <w:b/>
                <w:bCs/>
                <w:color w:val="FFFFFF"/>
                <w:sz w:val="18"/>
                <w:szCs w:val="18"/>
              </w:rPr>
              <w:t xml:space="preserve">Binding kind</w:t>
            </w:r>
          </w:p>
        </w:tc>
        <w:tc>
          <w:tcPr>
            <w:tcW w:type="dxa" w:w="2400"/>
            <w:shd w:fill="1F3864" w:val="clear"/>
            <w:tcMar>
              <w:top w:type="dxa" w:w="60"/>
              <w:left w:type="dxa" w:w="90"/>
              <w:bottom w:type="dxa" w:w="60"/>
              <w:right w:type="dxa" w:w="90"/>
            </w:tcMar>
          </w:tcPr>
          <w:p>
            <w:r>
              <w:rPr>
                <w:b/>
                <w:bCs/>
                <w:color w:val="FFFFFF"/>
                <w:sz w:val="18"/>
                <w:szCs w:val="18"/>
              </w:rPr>
              <w:t xml:space="preserve">UI-mappable?</w:t>
            </w:r>
          </w:p>
        </w:tc>
        <w:tc>
          <w:tcPr>
            <w:tcW w:type="dxa" w:w="3560"/>
            <w:shd w:fill="1F3864" w:val="clear"/>
            <w:tcMar>
              <w:top w:type="dxa" w:w="60"/>
              <w:left w:type="dxa" w:w="90"/>
              <w:bottom w:type="dxa" w:w="60"/>
              <w:right w:type="dxa" w:w="90"/>
            </w:tcMar>
          </w:tcPr>
          <w:p>
            <w:r>
              <w:rPr>
                <w:b/>
                <w:bCs/>
                <w:color w:val="FFFFFF"/>
                <w:sz w:val="18"/>
                <w:szCs w:val="18"/>
              </w:rPr>
              <w:t xml:space="preserve">Example</w:t>
            </w:r>
          </w:p>
        </w:tc>
      </w:tr>
      <w:tr>
        <w:tc>
          <w:tcPr>
            <w:tcW w:type="dxa" w:w="700"/>
            <w:shd w:fill="FFFFFF" w:val="clear"/>
            <w:tcMar>
              <w:top w:type="dxa" w:w="50"/>
              <w:left w:type="dxa" w:w="90"/>
              <w:bottom w:type="dxa" w:w="50"/>
              <w:right w:type="dxa" w:w="90"/>
            </w:tcMar>
          </w:tcPr>
          <w:p>
            <w:pPr>
              <w:spacing w:after="20"/>
            </w:pPr>
            <w:r>
              <w:rPr>
                <w:sz w:val="17"/>
                <w:szCs w:val="17"/>
              </w:rPr>
              <w:t xml:space="preserve">1</w:t>
            </w:r>
          </w:p>
        </w:tc>
        <w:tc>
          <w:tcPr>
            <w:tcW w:type="dxa" w:w="2700"/>
            <w:shd w:fill="FFFFFF" w:val="clear"/>
            <w:tcMar>
              <w:top w:type="dxa" w:w="50"/>
              <w:left w:type="dxa" w:w="90"/>
              <w:bottom w:type="dxa" w:w="50"/>
              <w:right w:type="dxa" w:w="90"/>
            </w:tcMar>
          </w:tcPr>
          <w:p>
            <w:pPr>
              <w:spacing w:after="20"/>
            </w:pPr>
            <w:r>
              <w:rPr>
                <w:sz w:val="17"/>
                <w:szCs w:val="17"/>
              </w:rPr>
              <w:t xml:space="preserve">Direct column</w:t>
            </w:r>
          </w:p>
        </w:tc>
        <w:tc>
          <w:tcPr>
            <w:tcW w:type="dxa" w:w="2400"/>
            <w:shd w:fill="FFFFFF" w:val="clear"/>
            <w:tcMar>
              <w:top w:type="dxa" w:w="50"/>
              <w:left w:type="dxa" w:w="90"/>
              <w:bottom w:type="dxa" w:w="50"/>
              <w:right w:type="dxa" w:w="90"/>
            </w:tcMar>
          </w:tcPr>
          <w:p>
            <w:pPr>
              <w:spacing w:after="20"/>
            </w:pPr>
            <w:r>
              <w:rPr>
                <w:sz w:val="17"/>
                <w:szCs w:val="17"/>
              </w:rPr>
              <w:t xml:space="preserve">Yes (admin screen)</w:t>
            </w:r>
          </w:p>
        </w:tc>
        <w:tc>
          <w:tcPr>
            <w:tcW w:type="dxa" w:w="3560"/>
            <w:shd w:fill="FFFFFF" w:val="clear"/>
            <w:tcMar>
              <w:top w:type="dxa" w:w="50"/>
              <w:left w:type="dxa" w:w="90"/>
              <w:bottom w:type="dxa" w:w="50"/>
              <w:right w:type="dxa" w:w="90"/>
            </w:tcMar>
          </w:tcPr>
          <w:p>
            <w:pPr>
              <w:spacing w:after="20"/>
            </w:pPr>
            <w:r>
              <w:rPr>
                <w:sz w:val="17"/>
                <w:szCs w:val="17"/>
              </w:rPr>
              <w:t xml:space="preserve">age → beneficiary.age_years</w:t>
            </w:r>
          </w:p>
        </w:tc>
      </w:tr>
      <w:tr>
        <w:tc>
          <w:tcPr>
            <w:tcW w:type="dxa" w:w="700"/>
            <w:shd w:fill="EAF0FA" w:val="clear"/>
            <w:tcMar>
              <w:top w:type="dxa" w:w="50"/>
              <w:left w:type="dxa" w:w="90"/>
              <w:bottom w:type="dxa" w:w="50"/>
              <w:right w:type="dxa" w:w="90"/>
            </w:tcMar>
          </w:tcPr>
          <w:p>
            <w:pPr>
              <w:spacing w:after="20"/>
            </w:pPr>
            <w:r>
              <w:rPr>
                <w:sz w:val="17"/>
                <w:szCs w:val="17"/>
              </w:rPr>
              <w:t xml:space="preserve">2</w:t>
            </w:r>
          </w:p>
        </w:tc>
        <w:tc>
          <w:tcPr>
            <w:tcW w:type="dxa" w:w="2700"/>
            <w:shd w:fill="EAF0FA" w:val="clear"/>
            <w:tcMar>
              <w:top w:type="dxa" w:w="50"/>
              <w:left w:type="dxa" w:w="90"/>
              <w:bottom w:type="dxa" w:w="50"/>
              <w:right w:type="dxa" w:w="90"/>
            </w:tcMar>
          </w:tcPr>
          <w:p>
            <w:pPr>
              <w:spacing w:after="20"/>
            </w:pPr>
            <w:r>
              <w:rPr>
                <w:sz w:val="17"/>
                <w:szCs w:val="17"/>
              </w:rPr>
              <w:t xml:space="preserve">Same-table expression</w:t>
            </w:r>
          </w:p>
        </w:tc>
        <w:tc>
          <w:tcPr>
            <w:tcW w:type="dxa" w:w="2400"/>
            <w:shd w:fill="EAF0FA" w:val="clear"/>
            <w:tcMar>
              <w:top w:type="dxa" w:w="50"/>
              <w:left w:type="dxa" w:w="90"/>
              <w:bottom w:type="dxa" w:w="50"/>
              <w:right w:type="dxa" w:w="90"/>
            </w:tcMar>
          </w:tcPr>
          <w:p>
            <w:pPr>
              <w:spacing w:after="20"/>
            </w:pPr>
            <w:r>
              <w:rPr>
                <w:sz w:val="17"/>
                <w:szCs w:val="17"/>
              </w:rPr>
              <w:t xml:space="preserve">Yes (expression field)</w:t>
            </w:r>
          </w:p>
        </w:tc>
        <w:tc>
          <w:tcPr>
            <w:tcW w:type="dxa" w:w="3560"/>
            <w:shd w:fill="EAF0FA" w:val="clear"/>
            <w:tcMar>
              <w:top w:type="dxa" w:w="50"/>
              <w:left w:type="dxa" w:w="90"/>
              <w:bottom w:type="dxa" w:w="50"/>
              <w:right w:type="dxa" w:w="90"/>
            </w:tcMar>
          </w:tcPr>
          <w:p>
            <w:pPr>
              <w:spacing w:after="20"/>
            </w:pPr>
            <w:r>
              <w:rPr>
                <w:sz w:val="17"/>
                <w:szCs w:val="17"/>
              </w:rPr>
              <w:t xml:space="preserve">age → date_diff('year', dob, current_date)</w:t>
            </w:r>
          </w:p>
        </w:tc>
      </w:tr>
      <w:tr>
        <w:tc>
          <w:tcPr>
            <w:tcW w:type="dxa" w:w="700"/>
            <w:shd w:fill="FFFFFF" w:val="clear"/>
            <w:tcMar>
              <w:top w:type="dxa" w:w="50"/>
              <w:left w:type="dxa" w:w="90"/>
              <w:bottom w:type="dxa" w:w="50"/>
              <w:right w:type="dxa" w:w="90"/>
            </w:tcMar>
          </w:tcPr>
          <w:p>
            <w:pPr>
              <w:spacing w:after="20"/>
            </w:pPr>
            <w:r>
              <w:rPr>
                <w:sz w:val="17"/>
                <w:szCs w:val="17"/>
              </w:rPr>
              <w:t xml:space="preserve">3</w:t>
            </w:r>
          </w:p>
        </w:tc>
        <w:tc>
          <w:tcPr>
            <w:tcW w:type="dxa" w:w="2700"/>
            <w:shd w:fill="FFFFFF" w:val="clear"/>
            <w:tcMar>
              <w:top w:type="dxa" w:w="50"/>
              <w:left w:type="dxa" w:w="90"/>
              <w:bottom w:type="dxa" w:w="50"/>
              <w:right w:type="dxa" w:w="90"/>
            </w:tcMar>
          </w:tcPr>
          <w:p>
            <w:pPr>
              <w:spacing w:after="20"/>
            </w:pPr>
            <w:r>
              <w:rPr>
                <w:sz w:val="17"/>
                <w:szCs w:val="17"/>
              </w:rPr>
              <w:t xml:space="preserve">Cross-table / join</w:t>
            </w:r>
          </w:p>
        </w:tc>
        <w:tc>
          <w:tcPr>
            <w:tcW w:type="dxa" w:w="2400"/>
            <w:shd w:fill="FFFFFF" w:val="clear"/>
            <w:tcMar>
              <w:top w:type="dxa" w:w="50"/>
              <w:left w:type="dxa" w:w="90"/>
              <w:bottom w:type="dxa" w:w="50"/>
              <w:right w:type="dxa" w:w="90"/>
            </w:tcMar>
          </w:tcPr>
          <w:p>
            <w:pPr>
              <w:spacing w:after="20"/>
            </w:pPr>
            <w:r>
              <w:rPr>
                <w:sz w:val="17"/>
                <w:szCs w:val="17"/>
              </w:rPr>
              <w:t xml:space="preserve">No — pre-materialised upstream</w:t>
            </w:r>
          </w:p>
        </w:tc>
        <w:tc>
          <w:tcPr>
            <w:tcW w:type="dxa" w:w="3560"/>
            <w:shd w:fill="FFFFFF" w:val="clear"/>
            <w:tcMar>
              <w:top w:type="dxa" w:w="50"/>
              <w:left w:type="dxa" w:w="90"/>
              <w:bottom w:type="dxa" w:w="50"/>
              <w:right w:type="dxa" w:w="90"/>
            </w:tcMar>
          </w:tcPr>
          <w:p>
            <w:pPr>
              <w:spacing w:after="20"/>
            </w:pPr>
            <w:r>
              <w:rPr>
                <w:sz w:val="17"/>
                <w:szCs w:val="17"/>
              </w:rPr>
              <w:t xml:space="preserve">is_girl_child_of_hof → flat flag column</w:t>
            </w:r>
          </w:p>
        </w:tc>
      </w:tr>
    </w:tbl>
    <w:p>
      <w:pPr>
        <w:pStyle w:val="Heading3"/>
        <w:spacing w:after="100" w:before="180"/>
      </w:pPr>
      <w:r>
        <w:rPr>
          <w:b/>
          <w:bCs/>
          <w:color w:val="2E5496"/>
          <w:sz w:val="23"/>
          <w:szCs w:val="23"/>
        </w:rPr>
        <w:t xml:space="preserve">6.4.2 New-Scheme Onboarding Flow</w:t>
      </w:r>
    </w:p>
    <w:p>
      <w:pPr>
        <w:pStyle w:val="ListParagraph"/>
        <w:numPr>
          <w:ilvl w:val="0"/>
          <w:numId w:val="4"/>
        </w:numPr>
        <w:spacing w:after="60" w:line="264"/>
      </w:pPr>
      <w:r>
        <w:rPr>
          <w:sz w:val="21"/>
          <w:szCs w:val="21"/>
        </w:rPr>
        <w:t xml:space="preserve">Register the scheme in the scheme registry (name, department, event).</w:t>
      </w:r>
    </w:p>
    <w:p>
      <w:pPr>
        <w:pStyle w:val="ListParagraph"/>
        <w:numPr>
          <w:ilvl w:val="0"/>
          <w:numId w:val="4"/>
        </w:numPr>
        <w:spacing w:after="60" w:line="264"/>
      </w:pPr>
      <w:r>
        <w:rPr>
          <w:sz w:val="21"/>
          <w:szCs w:val="21"/>
        </w:rPr>
        <w:t xml:space="preserve">Ensure each field the scheme needs exists in the catalogue; if not, register it (Tier 1/2 via admin screen; Tier 3 requires a data-engineering step to add the flat column first).</w:t>
      </w:r>
    </w:p>
    <w:p>
      <w:pPr>
        <w:pStyle w:val="ListParagraph"/>
        <w:numPr>
          <w:ilvl w:val="0"/>
          <w:numId w:val="4"/>
        </w:numPr>
        <w:spacing w:after="60" w:line="264"/>
      </w:pPr>
      <w:r>
        <w:rPr>
          <w:sz w:val="21"/>
          <w:szCs w:val="21"/>
        </w:rPr>
        <w:t xml:space="preserve">Map each field to its physical column/expression for the target environment.</w:t>
      </w:r>
    </w:p>
    <w:p>
      <w:pPr>
        <w:pStyle w:val="ListParagraph"/>
        <w:numPr>
          <w:ilvl w:val="0"/>
          <w:numId w:val="4"/>
        </w:numPr>
        <w:spacing w:after="60" w:line="264"/>
      </w:pPr>
      <w:r>
        <w:rPr>
          <w:sz w:val="21"/>
          <w:szCs w:val="21"/>
        </w:rPr>
        <w:t xml:space="preserve">Author the scheme's ruleset from the catalogue; officers can then simulate immediately.</w:t>
      </w:r>
    </w:p>
    <w:p>
      <w:pPr>
        <w:pStyle w:val="Heading2"/>
        <w:spacing w:after="120" w:before="240"/>
      </w:pPr>
      <w:r>
        <w:rPr>
          <w:b/>
          <w:bCs/>
          <w:color w:val="2E5496"/>
          <w:sz w:val="26"/>
          <w:szCs w:val="26"/>
        </w:rPr>
        <w:t xml:space="preserve">6.5 Scenario Result Store &amp; Comparison</w:t>
      </w:r>
    </w:p>
    <w:p>
      <w:pPr>
        <w:pStyle w:val="Heading3"/>
        <w:spacing w:after="100" w:before="180"/>
      </w:pPr>
      <w:r>
        <w:rPr>
          <w:b/>
          <w:bCs/>
          <w:color w:val="2E5496"/>
          <w:sz w:val="23"/>
          <w:szCs w:val="23"/>
        </w:rPr>
        <w:t xml:space="preserve">6.5.1 Snapshot Schema</w:t>
      </w:r>
    </w:p>
    <w:p>
      <w:pPr>
        <w:shd w:fill="F2F2F2" w:val="clear"/>
        <w:spacing w:after="0" w:line="240"/>
      </w:pPr>
      <w:r>
        <w:rPr>
          <w:rFonts w:ascii="Consolas" w:cs="Consolas" w:eastAsia="Consolas" w:hAnsi="Consolas"/>
          <w:color w:val="1A1A1A"/>
          <w:sz w:val="18"/>
          <w:szCs w:val="18"/>
        </w:rPr>
        <w:t xml:space="preserve">// JPA entity (DB2 operational plane)</w:t>
      </w:r>
    </w:p>
    <w:p>
      <w:pPr>
        <w:shd w:fill="F2F2F2" w:val="clear"/>
        <w:spacing w:after="0" w:line="240"/>
      </w:pPr>
      <w:r>
        <w:rPr>
          <w:rFonts w:ascii="Consolas" w:cs="Consolas" w:eastAsia="Consolas" w:hAnsi="Consolas"/>
          <w:color w:val="1A1A1A"/>
          <w:sz w:val="18"/>
          <w:szCs w:val="18"/>
        </w:rPr>
        <w:t xml:space="preserve">Scenario {</w:t>
      </w:r>
    </w:p>
    <w:p>
      <w:pPr>
        <w:shd w:fill="F2F2F2" w:val="clear"/>
        <w:spacing w:after="0" w:line="240"/>
      </w:pPr>
      <w:r>
        <w:rPr>
          <w:rFonts w:ascii="Consolas" w:cs="Consolas" w:eastAsia="Consolas" w:hAnsi="Consolas"/>
          <w:color w:val="1A1A1A"/>
          <w:sz w:val="18"/>
          <w:szCs w:val="18"/>
        </w:rPr>
        <w:t xml:space="preserve">  scenarioId, schemeId, label,</w:t>
      </w:r>
    </w:p>
    <w:p>
      <w:pPr>
        <w:shd w:fill="F2F2F2" w:val="clear"/>
        <w:spacing w:after="0" w:line="240"/>
      </w:pPr>
      <w:r>
        <w:rPr>
          <w:rFonts w:ascii="Consolas" w:cs="Consolas" w:eastAsia="Consolas" w:hAnsi="Consolas"/>
          <w:color w:val="1A1A1A"/>
          <w:sz w:val="18"/>
          <w:szCs w:val="18"/>
        </w:rPr>
        <w:t xml:space="preserve">  rulesetVersion, parameters(json),   // exact rule state at run time</w:t>
      </w:r>
    </w:p>
    <w:p>
      <w:pPr>
        <w:shd w:fill="F2F2F2" w:val="clear"/>
        <w:spacing w:after="0" w:line="240"/>
      </w:pPr>
      <w:r>
        <w:rPr>
          <w:rFonts w:ascii="Consolas" w:cs="Consolas" w:eastAsia="Consolas" w:hAnsi="Consolas"/>
          <w:color w:val="1A1A1A"/>
          <w:sz w:val="18"/>
          <w:szCs w:val="18"/>
        </w:rPr>
        <w:t xml:space="preserve">  result(json): { totalCount, breakdown[], cohortSampleRef? },</w:t>
      </w:r>
    </w:p>
    <w:p>
      <w:pPr>
        <w:shd w:fill="F2F2F2" w:val="clear"/>
        <w:spacing w:after="0" w:line="240"/>
      </w:pPr>
      <w:r>
        <w:rPr>
          <w:rFonts w:ascii="Consolas" w:cs="Consolas" w:eastAsia="Consolas" w:hAnsi="Consolas"/>
          <w:color w:val="1A1A1A"/>
          <w:sz w:val="18"/>
          <w:szCs w:val="18"/>
        </w:rPr>
        <w:t xml:space="preserve">  createdBy, createdAt, isOfficial     // maker-checker flag</w:t>
      </w:r>
    </w:p>
    <w:p>
      <w:pPr>
        <w:shd w:fill="F2F2F2" w:val="clear"/>
        <w:spacing w:after="0" w:line="240"/>
      </w:pPr>
      <w:r>
        <w:rPr>
          <w:rFonts w:ascii="Consolas" w:cs="Consolas" w:eastAsia="Consolas" w:hAnsi="Consolas"/>
          <w:color w:val="1A1A1A"/>
          <w:sz w:val="18"/>
          <w:szCs w:val="18"/>
        </w:rPr>
        <w:t xml:space="preserve">}</w:t>
      </w:r>
    </w:p>
    <w:p>
      <w:pPr>
        <w:pStyle w:val="Heading3"/>
        <w:spacing w:after="100" w:before="180"/>
      </w:pPr>
      <w:r>
        <w:rPr>
          <w:b/>
          <w:bCs/>
          <w:color w:val="2E5496"/>
          <w:sz w:val="23"/>
          <w:szCs w:val="23"/>
        </w:rPr>
        <w:t xml:space="preserve">6.5.2 Comparison Logic</w:t>
      </w:r>
    </w:p>
    <w:p>
      <w:pPr>
        <w:spacing w:after="120" w:line="276"/>
        <w:jc w:val="both"/>
      </w:pPr>
      <w:r>
        <w:rPr>
          <w:sz w:val="21"/>
          <w:szCs w:val="21"/>
        </w:rPr>
        <w:t xml:space="preserve">Officers select two or more scenarios; SRSE renders counts, deltas, and breakdown differences side by side (e.g. Ekal Naari official vs income-₹60k variant) using Recharts / TanStack Table. Because each scenario stores the exact ruleset version and parameters, comparisons are reproducible and auditable.</w:t>
      </w:r>
    </w:p>
    <w:p>
      <w:r>
        <w:br w:type="page"/>
      </w:r>
    </w:p>
    <w:p>
      <w:pPr>
        <w:pStyle w:val="Heading1"/>
        <w:spacing w:after="160" w:before="320"/>
      </w:pPr>
      <w:r>
        <w:rPr>
          <w:b/>
          <w:bCs/>
          <w:color w:val="1F3864"/>
          <w:sz w:val="30"/>
          <w:szCs w:val="30"/>
        </w:rPr>
        <w:t xml:space="preserve">7. Data Design</w:t>
      </w:r>
    </w:p>
    <w:p>
      <w:pPr>
        <w:pStyle w:val="Heading2"/>
        <w:spacing w:after="120" w:before="240"/>
      </w:pPr>
      <w:r>
        <w:rPr>
          <w:b/>
          <w:bCs/>
          <w:color w:val="2E5496"/>
          <w:sz w:val="26"/>
          <w:szCs w:val="26"/>
        </w:rPr>
        <w:t xml:space="preserve">7.1 Beneficiary Field Catalogue (initial)</w:t>
      </w:r>
    </w:p>
    <w:p>
      <w:pPr>
        <w:spacing w:after="120" w:line="276"/>
        <w:jc w:val="both"/>
      </w:pPr>
      <w:r>
        <w:rPr>
          <w:sz w:val="21"/>
          <w:szCs w:val="21"/>
        </w:rPr>
        <w:t xml:space="preserve">Derived from confirmed Jan Aadhaar fields and the SMART scheme criteria list. These abstract fields officers author against; physical bindings set per environment via the mapping service. Catalogue carries both label_en and label_hi to honour the portal's en/hi i18n pattern (Hindi content fillable later).</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2600"/>
        <w:gridCol w:w="1200"/>
        <w:gridCol w:w="700"/>
        <w:gridCol w:w="4860"/>
      </w:tblGrid>
      <w:tr>
        <w:trPr>
          <w:tblHeader/>
        </w:trPr>
        <w:tc>
          <w:tcPr>
            <w:tcW w:type="dxa" w:w="2600"/>
            <w:shd w:fill="1F3864" w:val="clear"/>
            <w:tcMar>
              <w:top w:type="dxa" w:w="60"/>
              <w:left w:type="dxa" w:w="90"/>
              <w:bottom w:type="dxa" w:w="60"/>
              <w:right w:type="dxa" w:w="90"/>
            </w:tcMar>
          </w:tcPr>
          <w:p>
            <w:r>
              <w:rPr>
                <w:b/>
                <w:bCs/>
                <w:color w:val="FFFFFF"/>
                <w:sz w:val="18"/>
                <w:szCs w:val="18"/>
              </w:rPr>
              <w:t xml:space="preserve">Field key</w:t>
            </w:r>
          </w:p>
        </w:tc>
        <w:tc>
          <w:tcPr>
            <w:tcW w:type="dxa" w:w="1200"/>
            <w:shd w:fill="1F3864" w:val="clear"/>
            <w:tcMar>
              <w:top w:type="dxa" w:w="60"/>
              <w:left w:type="dxa" w:w="90"/>
              <w:bottom w:type="dxa" w:w="60"/>
              <w:right w:type="dxa" w:w="90"/>
            </w:tcMar>
          </w:tcPr>
          <w:p>
            <w:r>
              <w:rPr>
                <w:b/>
                <w:bCs/>
                <w:color w:val="FFFFFF"/>
                <w:sz w:val="18"/>
                <w:szCs w:val="18"/>
              </w:rPr>
              <w:t xml:space="preserve">Type</w:t>
            </w:r>
          </w:p>
        </w:tc>
        <w:tc>
          <w:tcPr>
            <w:tcW w:type="dxa" w:w="700"/>
            <w:shd w:fill="1F3864" w:val="clear"/>
            <w:tcMar>
              <w:top w:type="dxa" w:w="60"/>
              <w:left w:type="dxa" w:w="90"/>
              <w:bottom w:type="dxa" w:w="60"/>
              <w:right w:type="dxa" w:w="90"/>
            </w:tcMar>
          </w:tcPr>
          <w:p>
            <w:r>
              <w:rPr>
                <w:b/>
                <w:bCs/>
                <w:color w:val="FFFFFF"/>
                <w:sz w:val="18"/>
                <w:szCs w:val="18"/>
              </w:rPr>
              <w:t xml:space="preserve">Tier</w:t>
            </w:r>
          </w:p>
        </w:tc>
        <w:tc>
          <w:tcPr>
            <w:tcW w:type="dxa" w:w="4860"/>
            <w:shd w:fill="1F3864" w:val="clear"/>
            <w:tcMar>
              <w:top w:type="dxa" w:w="60"/>
              <w:left w:type="dxa" w:w="90"/>
              <w:bottom w:type="dxa" w:w="60"/>
              <w:right w:type="dxa" w:w="90"/>
            </w:tcMar>
          </w:tcPr>
          <w:p>
            <w:r>
              <w:rPr>
                <w:b/>
                <w:bCs/>
                <w:color w:val="FFFFFF"/>
                <w:sz w:val="18"/>
                <w:szCs w:val="18"/>
              </w:rPr>
              <w:t xml:space="preserve">Notes / source</w:t>
            </w:r>
          </w:p>
        </w:tc>
      </w:tr>
      <w:tr>
        <w:tc>
          <w:tcPr>
            <w:tcW w:type="dxa" w:w="2600"/>
            <w:shd w:fill="FFFFFF" w:val="clear"/>
            <w:tcMar>
              <w:top w:type="dxa" w:w="50"/>
              <w:left w:type="dxa" w:w="90"/>
              <w:bottom w:type="dxa" w:w="50"/>
              <w:right w:type="dxa" w:w="90"/>
            </w:tcMar>
          </w:tcPr>
          <w:p>
            <w:pPr>
              <w:spacing w:after="20"/>
            </w:pPr>
            <w:r>
              <w:rPr>
                <w:sz w:val="17"/>
                <w:szCs w:val="17"/>
              </w:rPr>
              <w:t xml:space="preserve">age_years</w:t>
            </w:r>
          </w:p>
        </w:tc>
        <w:tc>
          <w:tcPr>
            <w:tcW w:type="dxa" w:w="1200"/>
            <w:shd w:fill="FFFFFF" w:val="clear"/>
            <w:tcMar>
              <w:top w:type="dxa" w:w="50"/>
              <w:left w:type="dxa" w:w="90"/>
              <w:bottom w:type="dxa" w:w="50"/>
              <w:right w:type="dxa" w:w="90"/>
            </w:tcMar>
          </w:tcPr>
          <w:p>
            <w:pPr>
              <w:spacing w:after="20"/>
            </w:pPr>
            <w:r>
              <w:rPr>
                <w:sz w:val="17"/>
                <w:szCs w:val="17"/>
              </w:rPr>
              <w:t xml:space="preserve">integer</w:t>
            </w:r>
          </w:p>
        </w:tc>
        <w:tc>
          <w:tcPr>
            <w:tcW w:type="dxa" w:w="700"/>
            <w:shd w:fill="FFFFFF" w:val="clear"/>
            <w:tcMar>
              <w:top w:type="dxa" w:w="50"/>
              <w:left w:type="dxa" w:w="90"/>
              <w:bottom w:type="dxa" w:w="50"/>
              <w:right w:type="dxa" w:w="90"/>
            </w:tcMar>
          </w:tcPr>
          <w:p>
            <w:pPr>
              <w:spacing w:after="20"/>
            </w:pPr>
            <w:r>
              <w:rPr>
                <w:sz w:val="17"/>
                <w:szCs w:val="17"/>
              </w:rPr>
              <w:t xml:space="preserve">2</w:t>
            </w:r>
          </w:p>
        </w:tc>
        <w:tc>
          <w:tcPr>
            <w:tcW w:type="dxa" w:w="4860"/>
            <w:shd w:fill="FFFFFF" w:val="clear"/>
            <w:tcMar>
              <w:top w:type="dxa" w:w="50"/>
              <w:left w:type="dxa" w:w="90"/>
              <w:bottom w:type="dxa" w:w="50"/>
              <w:right w:type="dxa" w:w="90"/>
            </w:tcMar>
          </w:tcPr>
          <w:p>
            <w:pPr>
              <w:spacing w:after="20"/>
            </w:pPr>
            <w:r>
              <w:rPr>
                <w:sz w:val="17"/>
                <w:szCs w:val="17"/>
              </w:rPr>
              <w:t xml:space="preserve">Derived from date of birth (Jan Aadhaar).</w:t>
            </w:r>
          </w:p>
        </w:tc>
      </w:tr>
      <w:tr>
        <w:tc>
          <w:tcPr>
            <w:tcW w:type="dxa" w:w="2600"/>
            <w:shd w:fill="EAF0FA" w:val="clear"/>
            <w:tcMar>
              <w:top w:type="dxa" w:w="50"/>
              <w:left w:type="dxa" w:w="90"/>
              <w:bottom w:type="dxa" w:w="50"/>
              <w:right w:type="dxa" w:w="90"/>
            </w:tcMar>
          </w:tcPr>
          <w:p>
            <w:pPr>
              <w:spacing w:after="20"/>
            </w:pPr>
            <w:r>
              <w:rPr>
                <w:sz w:val="17"/>
                <w:szCs w:val="17"/>
              </w:rPr>
              <w:t xml:space="preserve">gender</w:t>
            </w:r>
          </w:p>
        </w:tc>
        <w:tc>
          <w:tcPr>
            <w:tcW w:type="dxa" w:w="1200"/>
            <w:shd w:fill="EAF0FA" w:val="clear"/>
            <w:tcMar>
              <w:top w:type="dxa" w:w="50"/>
              <w:left w:type="dxa" w:w="90"/>
              <w:bottom w:type="dxa" w:w="50"/>
              <w:right w:type="dxa" w:w="90"/>
            </w:tcMar>
          </w:tcPr>
          <w:p>
            <w:pPr>
              <w:spacing w:after="20"/>
            </w:pPr>
            <w:r>
              <w:rPr>
                <w:sz w:val="17"/>
                <w:szCs w:val="17"/>
              </w:rPr>
              <w:t xml:space="preserve">code</w:t>
            </w:r>
          </w:p>
        </w:tc>
        <w:tc>
          <w:tcPr>
            <w:tcW w:type="dxa" w:w="700"/>
            <w:shd w:fill="EAF0FA" w:val="clear"/>
            <w:tcMar>
              <w:top w:type="dxa" w:w="50"/>
              <w:left w:type="dxa" w:w="90"/>
              <w:bottom w:type="dxa" w:w="50"/>
              <w:right w:type="dxa" w:w="90"/>
            </w:tcMar>
          </w:tcPr>
          <w:p>
            <w:pPr>
              <w:spacing w:after="20"/>
            </w:pPr>
            <w:r>
              <w:rPr>
                <w:sz w:val="17"/>
                <w:szCs w:val="17"/>
              </w:rPr>
              <w:t xml:space="preserve">1</w:t>
            </w:r>
          </w:p>
        </w:tc>
        <w:tc>
          <w:tcPr>
            <w:tcW w:type="dxa" w:w="4860"/>
            <w:shd w:fill="EAF0FA" w:val="clear"/>
            <w:tcMar>
              <w:top w:type="dxa" w:w="50"/>
              <w:left w:type="dxa" w:w="90"/>
              <w:bottom w:type="dxa" w:w="50"/>
              <w:right w:type="dxa" w:w="90"/>
            </w:tcMar>
          </w:tcPr>
          <w:p>
            <w:pPr>
              <w:spacing w:after="20"/>
            </w:pPr>
            <w:r>
              <w:rPr>
                <w:sz w:val="17"/>
                <w:szCs w:val="17"/>
              </w:rPr>
              <w:t xml:space="preserve">Jan Aadhaar.</w:t>
            </w:r>
          </w:p>
        </w:tc>
      </w:tr>
      <w:tr>
        <w:tc>
          <w:tcPr>
            <w:tcW w:type="dxa" w:w="2600"/>
            <w:shd w:fill="FFFFFF" w:val="clear"/>
            <w:tcMar>
              <w:top w:type="dxa" w:w="50"/>
              <w:left w:type="dxa" w:w="90"/>
              <w:bottom w:type="dxa" w:w="50"/>
              <w:right w:type="dxa" w:w="90"/>
            </w:tcMar>
          </w:tcPr>
          <w:p>
            <w:pPr>
              <w:spacing w:after="20"/>
            </w:pPr>
            <w:r>
              <w:rPr>
                <w:sz w:val="17"/>
                <w:szCs w:val="17"/>
              </w:rPr>
              <w:t xml:space="preserve">district</w:t>
            </w:r>
          </w:p>
        </w:tc>
        <w:tc>
          <w:tcPr>
            <w:tcW w:type="dxa" w:w="1200"/>
            <w:shd w:fill="FFFFFF" w:val="clear"/>
            <w:tcMar>
              <w:top w:type="dxa" w:w="50"/>
              <w:left w:type="dxa" w:w="90"/>
              <w:bottom w:type="dxa" w:w="50"/>
              <w:right w:type="dxa" w:w="90"/>
            </w:tcMar>
          </w:tcPr>
          <w:p>
            <w:pPr>
              <w:spacing w:after="20"/>
            </w:pPr>
            <w:r>
              <w:rPr>
                <w:sz w:val="17"/>
                <w:szCs w:val="17"/>
              </w:rPr>
              <w:t xml:space="preserve">code</w:t>
            </w:r>
          </w:p>
        </w:tc>
        <w:tc>
          <w:tcPr>
            <w:tcW w:type="dxa" w:w="700"/>
            <w:shd w:fill="FFFFFF" w:val="clear"/>
            <w:tcMar>
              <w:top w:type="dxa" w:w="50"/>
              <w:left w:type="dxa" w:w="90"/>
              <w:bottom w:type="dxa" w:w="50"/>
              <w:right w:type="dxa" w:w="90"/>
            </w:tcMar>
          </w:tcPr>
          <w:p>
            <w:pPr>
              <w:spacing w:after="20"/>
            </w:pPr>
            <w:r>
              <w:rPr>
                <w:sz w:val="17"/>
                <w:szCs w:val="17"/>
              </w:rPr>
              <w:t xml:space="preserve">1</w:t>
            </w:r>
          </w:p>
        </w:tc>
        <w:tc>
          <w:tcPr>
            <w:tcW w:type="dxa" w:w="4860"/>
            <w:shd w:fill="FFFFFF" w:val="clear"/>
            <w:tcMar>
              <w:top w:type="dxa" w:w="50"/>
              <w:left w:type="dxa" w:w="90"/>
              <w:bottom w:type="dxa" w:w="50"/>
              <w:right w:type="dxa" w:w="90"/>
            </w:tcMar>
          </w:tcPr>
          <w:p>
            <w:pPr>
              <w:spacing w:after="20"/>
            </w:pPr>
            <w:r>
              <w:rPr>
                <w:sz w:val="17"/>
                <w:szCs w:val="17"/>
              </w:rPr>
              <w:t xml:space="preserve">Jan Aadhaar address.</w:t>
            </w:r>
          </w:p>
        </w:tc>
      </w:tr>
      <w:tr>
        <w:tc>
          <w:tcPr>
            <w:tcW w:type="dxa" w:w="2600"/>
            <w:shd w:fill="EAF0FA" w:val="clear"/>
            <w:tcMar>
              <w:top w:type="dxa" w:w="50"/>
              <w:left w:type="dxa" w:w="90"/>
              <w:bottom w:type="dxa" w:w="50"/>
              <w:right w:type="dxa" w:w="90"/>
            </w:tcMar>
          </w:tcPr>
          <w:p>
            <w:pPr>
              <w:spacing w:after="20"/>
            </w:pPr>
            <w:r>
              <w:rPr>
                <w:sz w:val="17"/>
                <w:szCs w:val="17"/>
              </w:rPr>
              <w:t xml:space="preserve">annual_income_total</w:t>
            </w:r>
          </w:p>
        </w:tc>
        <w:tc>
          <w:tcPr>
            <w:tcW w:type="dxa" w:w="1200"/>
            <w:shd w:fill="EAF0FA" w:val="clear"/>
            <w:tcMar>
              <w:top w:type="dxa" w:w="50"/>
              <w:left w:type="dxa" w:w="90"/>
              <w:bottom w:type="dxa" w:w="50"/>
              <w:right w:type="dxa" w:w="90"/>
            </w:tcMar>
          </w:tcPr>
          <w:p>
            <w:pPr>
              <w:spacing w:after="20"/>
            </w:pPr>
            <w:r>
              <w:rPr>
                <w:sz w:val="17"/>
                <w:szCs w:val="17"/>
              </w:rPr>
              <w:t xml:space="preserve">decimal</w:t>
            </w:r>
          </w:p>
        </w:tc>
        <w:tc>
          <w:tcPr>
            <w:tcW w:type="dxa" w:w="700"/>
            <w:shd w:fill="EAF0FA" w:val="clear"/>
            <w:tcMar>
              <w:top w:type="dxa" w:w="50"/>
              <w:left w:type="dxa" w:w="90"/>
              <w:bottom w:type="dxa" w:w="50"/>
              <w:right w:type="dxa" w:w="90"/>
            </w:tcMar>
          </w:tcPr>
          <w:p>
            <w:pPr>
              <w:spacing w:after="20"/>
            </w:pPr>
            <w:r>
              <w:rPr>
                <w:sz w:val="17"/>
                <w:szCs w:val="17"/>
              </w:rPr>
              <w:t xml:space="preserve">1/3</w:t>
            </w:r>
          </w:p>
        </w:tc>
        <w:tc>
          <w:tcPr>
            <w:tcW w:type="dxa" w:w="4860"/>
            <w:shd w:fill="EAF0FA" w:val="clear"/>
            <w:tcMar>
              <w:top w:type="dxa" w:w="50"/>
              <w:left w:type="dxa" w:w="90"/>
              <w:bottom w:type="dxa" w:w="50"/>
              <w:right w:type="dxa" w:w="90"/>
            </w:tcMar>
          </w:tcPr>
          <w:p>
            <w:pPr>
              <w:spacing w:after="20"/>
            </w:pPr>
            <w:r>
              <w:rPr>
                <w:sz w:val="17"/>
                <w:szCs w:val="17"/>
              </w:rPr>
              <w:t xml:space="preserve">Confirmed income field; 3-yr avg is a Tier-3 pre-materialised variant.</w:t>
            </w:r>
          </w:p>
        </w:tc>
      </w:tr>
      <w:tr>
        <w:tc>
          <w:tcPr>
            <w:tcW w:type="dxa" w:w="2600"/>
            <w:shd w:fill="FFFFFF" w:val="clear"/>
            <w:tcMar>
              <w:top w:type="dxa" w:w="50"/>
              <w:left w:type="dxa" w:w="90"/>
              <w:bottom w:type="dxa" w:w="50"/>
              <w:right w:type="dxa" w:w="90"/>
            </w:tcMar>
          </w:tcPr>
          <w:p>
            <w:pPr>
              <w:spacing w:after="20"/>
            </w:pPr>
            <w:r>
              <w:rPr>
                <w:sz w:val="17"/>
                <w:szCs w:val="17"/>
              </w:rPr>
              <w:t xml:space="preserve">marital_status</w:t>
            </w:r>
          </w:p>
        </w:tc>
        <w:tc>
          <w:tcPr>
            <w:tcW w:type="dxa" w:w="1200"/>
            <w:shd w:fill="FFFFFF" w:val="clear"/>
            <w:tcMar>
              <w:top w:type="dxa" w:w="50"/>
              <w:left w:type="dxa" w:w="90"/>
              <w:bottom w:type="dxa" w:w="50"/>
              <w:right w:type="dxa" w:w="90"/>
            </w:tcMar>
          </w:tcPr>
          <w:p>
            <w:pPr>
              <w:spacing w:after="20"/>
            </w:pPr>
            <w:r>
              <w:rPr>
                <w:sz w:val="17"/>
                <w:szCs w:val="17"/>
              </w:rPr>
              <w:t xml:space="preserve">code</w:t>
            </w:r>
          </w:p>
        </w:tc>
        <w:tc>
          <w:tcPr>
            <w:tcW w:type="dxa" w:w="700"/>
            <w:shd w:fill="FFFFFF" w:val="clear"/>
            <w:tcMar>
              <w:top w:type="dxa" w:w="50"/>
              <w:left w:type="dxa" w:w="90"/>
              <w:bottom w:type="dxa" w:w="50"/>
              <w:right w:type="dxa" w:w="90"/>
            </w:tcMar>
          </w:tcPr>
          <w:p>
            <w:pPr>
              <w:spacing w:after="20"/>
            </w:pPr>
            <w:r>
              <w:rPr>
                <w:sz w:val="17"/>
                <w:szCs w:val="17"/>
              </w:rPr>
              <w:t xml:space="preserve">1</w:t>
            </w:r>
          </w:p>
        </w:tc>
        <w:tc>
          <w:tcPr>
            <w:tcW w:type="dxa" w:w="4860"/>
            <w:shd w:fill="FFFFFF" w:val="clear"/>
            <w:tcMar>
              <w:top w:type="dxa" w:w="50"/>
              <w:left w:type="dxa" w:w="90"/>
              <w:bottom w:type="dxa" w:w="50"/>
              <w:right w:type="dxa" w:w="90"/>
            </w:tcMar>
          </w:tcPr>
          <w:p>
            <w:pPr>
              <w:spacing w:after="20"/>
            </w:pPr>
            <w:r>
              <w:rPr>
                <w:sz w:val="17"/>
                <w:szCs w:val="17"/>
              </w:rPr>
              <w:t xml:space="preserve">e.g. divorced, widowed — Jan Aadhaar / Pehchan.</w:t>
            </w:r>
          </w:p>
        </w:tc>
      </w:tr>
      <w:tr>
        <w:tc>
          <w:tcPr>
            <w:tcW w:type="dxa" w:w="2600"/>
            <w:shd w:fill="EAF0FA" w:val="clear"/>
            <w:tcMar>
              <w:top w:type="dxa" w:w="50"/>
              <w:left w:type="dxa" w:w="90"/>
              <w:bottom w:type="dxa" w:w="50"/>
              <w:right w:type="dxa" w:w="90"/>
            </w:tcMar>
          </w:tcPr>
          <w:p>
            <w:pPr>
              <w:spacing w:after="20"/>
            </w:pPr>
            <w:r>
              <w:rPr>
                <w:sz w:val="17"/>
                <w:szCs w:val="17"/>
              </w:rPr>
              <w:t xml:space="preserve">is_domicile_holder</w:t>
            </w:r>
          </w:p>
        </w:tc>
        <w:tc>
          <w:tcPr>
            <w:tcW w:type="dxa" w:w="1200"/>
            <w:shd w:fill="EAF0FA" w:val="clear"/>
            <w:tcMar>
              <w:top w:type="dxa" w:w="50"/>
              <w:left w:type="dxa" w:w="90"/>
              <w:bottom w:type="dxa" w:w="50"/>
              <w:right w:type="dxa" w:w="90"/>
            </w:tcMar>
          </w:tcPr>
          <w:p>
            <w:pPr>
              <w:spacing w:after="20"/>
            </w:pPr>
            <w:r>
              <w:rPr>
                <w:sz w:val="17"/>
                <w:szCs w:val="17"/>
              </w:rPr>
              <w:t xml:space="preserve">boolean</w:t>
            </w:r>
          </w:p>
        </w:tc>
        <w:tc>
          <w:tcPr>
            <w:tcW w:type="dxa" w:w="700"/>
            <w:shd w:fill="EAF0FA" w:val="clear"/>
            <w:tcMar>
              <w:top w:type="dxa" w:w="50"/>
              <w:left w:type="dxa" w:w="90"/>
              <w:bottom w:type="dxa" w:w="50"/>
              <w:right w:type="dxa" w:w="90"/>
            </w:tcMar>
          </w:tcPr>
          <w:p>
            <w:pPr>
              <w:spacing w:after="20"/>
            </w:pPr>
            <w:r>
              <w:rPr>
                <w:sz w:val="17"/>
                <w:szCs w:val="17"/>
              </w:rPr>
              <w:t xml:space="preserve">1/3</w:t>
            </w:r>
          </w:p>
        </w:tc>
        <w:tc>
          <w:tcPr>
            <w:tcW w:type="dxa" w:w="4860"/>
            <w:shd w:fill="EAF0FA" w:val="clear"/>
            <w:tcMar>
              <w:top w:type="dxa" w:w="50"/>
              <w:left w:type="dxa" w:w="90"/>
              <w:bottom w:type="dxa" w:w="50"/>
              <w:right w:type="dxa" w:w="90"/>
            </w:tcMar>
          </w:tcPr>
          <w:p>
            <w:pPr>
              <w:spacing w:after="20"/>
            </w:pPr>
            <w:r>
              <w:rPr>
                <w:sz w:val="17"/>
                <w:szCs w:val="17"/>
              </w:rPr>
              <w:t xml:space="preserve">Domicile seeded flag.</w:t>
            </w:r>
          </w:p>
        </w:tc>
      </w:tr>
      <w:tr>
        <w:tc>
          <w:tcPr>
            <w:tcW w:type="dxa" w:w="2600"/>
            <w:shd w:fill="FFFFFF" w:val="clear"/>
            <w:tcMar>
              <w:top w:type="dxa" w:w="50"/>
              <w:left w:type="dxa" w:w="90"/>
              <w:bottom w:type="dxa" w:w="50"/>
              <w:right w:type="dxa" w:w="90"/>
            </w:tcMar>
          </w:tcPr>
          <w:p>
            <w:pPr>
              <w:spacing w:after="20"/>
            </w:pPr>
            <w:r>
              <w:rPr>
                <w:sz w:val="17"/>
                <w:szCs w:val="17"/>
              </w:rPr>
              <w:t xml:space="preserve">ration_card_category</w:t>
            </w:r>
          </w:p>
        </w:tc>
        <w:tc>
          <w:tcPr>
            <w:tcW w:type="dxa" w:w="1200"/>
            <w:shd w:fill="FFFFFF" w:val="clear"/>
            <w:tcMar>
              <w:top w:type="dxa" w:w="50"/>
              <w:left w:type="dxa" w:w="90"/>
              <w:bottom w:type="dxa" w:w="50"/>
              <w:right w:type="dxa" w:w="90"/>
            </w:tcMar>
          </w:tcPr>
          <w:p>
            <w:pPr>
              <w:spacing w:after="20"/>
            </w:pPr>
            <w:r>
              <w:rPr>
                <w:sz w:val="17"/>
                <w:szCs w:val="17"/>
              </w:rPr>
              <w:t xml:space="preserve">code</w:t>
            </w:r>
          </w:p>
        </w:tc>
        <w:tc>
          <w:tcPr>
            <w:tcW w:type="dxa" w:w="700"/>
            <w:shd w:fill="FFFFFF" w:val="clear"/>
            <w:tcMar>
              <w:top w:type="dxa" w:w="50"/>
              <w:left w:type="dxa" w:w="90"/>
              <w:bottom w:type="dxa" w:w="50"/>
              <w:right w:type="dxa" w:w="90"/>
            </w:tcMar>
          </w:tcPr>
          <w:p>
            <w:pPr>
              <w:spacing w:after="20"/>
            </w:pPr>
            <w:r>
              <w:rPr>
                <w:sz w:val="17"/>
                <w:szCs w:val="17"/>
              </w:rPr>
              <w:t xml:space="preserve">1</w:t>
            </w:r>
          </w:p>
        </w:tc>
        <w:tc>
          <w:tcPr>
            <w:tcW w:type="dxa" w:w="4860"/>
            <w:shd w:fill="FFFFFF" w:val="clear"/>
            <w:tcMar>
              <w:top w:type="dxa" w:w="50"/>
              <w:left w:type="dxa" w:w="90"/>
              <w:bottom w:type="dxa" w:w="50"/>
              <w:right w:type="dxa" w:w="90"/>
            </w:tcMar>
          </w:tcPr>
          <w:p>
            <w:pPr>
              <w:spacing w:after="20"/>
            </w:pPr>
            <w:r>
              <w:rPr>
                <w:sz w:val="17"/>
                <w:szCs w:val="17"/>
              </w:rPr>
              <w:t xml:space="preserve">BPL / Antyodaya — drives income exemptions.</w:t>
            </w:r>
          </w:p>
        </w:tc>
      </w:tr>
      <w:tr>
        <w:tc>
          <w:tcPr>
            <w:tcW w:type="dxa" w:w="2600"/>
            <w:shd w:fill="EAF0FA" w:val="clear"/>
            <w:tcMar>
              <w:top w:type="dxa" w:w="50"/>
              <w:left w:type="dxa" w:w="90"/>
              <w:bottom w:type="dxa" w:w="50"/>
              <w:right w:type="dxa" w:w="90"/>
            </w:tcMar>
          </w:tcPr>
          <w:p>
            <w:pPr>
              <w:spacing w:after="20"/>
            </w:pPr>
            <w:r>
              <w:rPr>
                <w:sz w:val="17"/>
                <w:szCs w:val="17"/>
              </w:rPr>
              <w:t xml:space="preserve">community</w:t>
            </w:r>
          </w:p>
        </w:tc>
        <w:tc>
          <w:tcPr>
            <w:tcW w:type="dxa" w:w="1200"/>
            <w:shd w:fill="EAF0FA" w:val="clear"/>
            <w:tcMar>
              <w:top w:type="dxa" w:w="50"/>
              <w:left w:type="dxa" w:w="90"/>
              <w:bottom w:type="dxa" w:w="50"/>
              <w:right w:type="dxa" w:w="90"/>
            </w:tcMar>
          </w:tcPr>
          <w:p>
            <w:pPr>
              <w:spacing w:after="20"/>
            </w:pPr>
            <w:r>
              <w:rPr>
                <w:sz w:val="17"/>
                <w:szCs w:val="17"/>
              </w:rPr>
              <w:t xml:space="preserve">code</w:t>
            </w:r>
          </w:p>
        </w:tc>
        <w:tc>
          <w:tcPr>
            <w:tcW w:type="dxa" w:w="700"/>
            <w:shd w:fill="EAF0FA" w:val="clear"/>
            <w:tcMar>
              <w:top w:type="dxa" w:w="50"/>
              <w:left w:type="dxa" w:w="90"/>
              <w:bottom w:type="dxa" w:w="50"/>
              <w:right w:type="dxa" w:w="90"/>
            </w:tcMar>
          </w:tcPr>
          <w:p>
            <w:pPr>
              <w:spacing w:after="20"/>
            </w:pPr>
            <w:r>
              <w:rPr>
                <w:sz w:val="17"/>
                <w:szCs w:val="17"/>
              </w:rPr>
              <w:t xml:space="preserve">1</w:t>
            </w:r>
          </w:p>
        </w:tc>
        <w:tc>
          <w:tcPr>
            <w:tcW w:type="dxa" w:w="4860"/>
            <w:shd w:fill="EAF0FA" w:val="clear"/>
            <w:tcMar>
              <w:top w:type="dxa" w:w="50"/>
              <w:left w:type="dxa" w:w="90"/>
              <w:bottom w:type="dxa" w:w="50"/>
              <w:right w:type="dxa" w:w="90"/>
            </w:tcMar>
          </w:tcPr>
          <w:p>
            <w:pPr>
              <w:spacing w:after="20"/>
            </w:pPr>
            <w:r>
              <w:rPr>
                <w:sz w:val="17"/>
                <w:szCs w:val="17"/>
              </w:rPr>
              <w:t xml:space="preserve">Sahariya / Kathodi / Khairwa — exemption logic.</w:t>
            </w:r>
          </w:p>
        </w:tc>
      </w:tr>
      <w:tr>
        <w:tc>
          <w:tcPr>
            <w:tcW w:type="dxa" w:w="2600"/>
            <w:shd w:fill="FFFFFF" w:val="clear"/>
            <w:tcMar>
              <w:top w:type="dxa" w:w="50"/>
              <w:left w:type="dxa" w:w="90"/>
              <w:bottom w:type="dxa" w:w="50"/>
              <w:right w:type="dxa" w:w="90"/>
            </w:tcMar>
          </w:tcPr>
          <w:p>
            <w:pPr>
              <w:spacing w:after="20"/>
            </w:pPr>
            <w:r>
              <w:rPr>
                <w:sz w:val="17"/>
                <w:szCs w:val="17"/>
              </w:rPr>
              <w:t xml:space="preserve">disability_pct</w:t>
            </w:r>
          </w:p>
        </w:tc>
        <w:tc>
          <w:tcPr>
            <w:tcW w:type="dxa" w:w="1200"/>
            <w:shd w:fill="FFFFFF" w:val="clear"/>
            <w:tcMar>
              <w:top w:type="dxa" w:w="50"/>
              <w:left w:type="dxa" w:w="90"/>
              <w:bottom w:type="dxa" w:w="50"/>
              <w:right w:type="dxa" w:w="90"/>
            </w:tcMar>
          </w:tcPr>
          <w:p>
            <w:pPr>
              <w:spacing w:after="20"/>
            </w:pPr>
            <w:r>
              <w:rPr>
                <w:sz w:val="17"/>
                <w:szCs w:val="17"/>
              </w:rPr>
              <w:t xml:space="preserve">integer</w:t>
            </w:r>
          </w:p>
        </w:tc>
        <w:tc>
          <w:tcPr>
            <w:tcW w:type="dxa" w:w="700"/>
            <w:shd w:fill="FFFFFF" w:val="clear"/>
            <w:tcMar>
              <w:top w:type="dxa" w:w="50"/>
              <w:left w:type="dxa" w:w="90"/>
              <w:bottom w:type="dxa" w:w="50"/>
              <w:right w:type="dxa" w:w="90"/>
            </w:tcMar>
          </w:tcPr>
          <w:p>
            <w:pPr>
              <w:spacing w:after="20"/>
            </w:pPr>
            <w:r>
              <w:rPr>
                <w:sz w:val="17"/>
                <w:szCs w:val="17"/>
              </w:rPr>
              <w:t xml:space="preserve">1</w:t>
            </w:r>
          </w:p>
        </w:tc>
        <w:tc>
          <w:tcPr>
            <w:tcW w:type="dxa" w:w="4860"/>
            <w:shd w:fill="FFFFFF" w:val="clear"/>
            <w:tcMar>
              <w:top w:type="dxa" w:w="50"/>
              <w:left w:type="dxa" w:w="90"/>
              <w:bottom w:type="dxa" w:w="50"/>
              <w:right w:type="dxa" w:w="90"/>
            </w:tcMar>
          </w:tcPr>
          <w:p>
            <w:pPr>
              <w:spacing w:after="20"/>
            </w:pPr>
            <w:r>
              <w:rPr>
                <w:sz w:val="17"/>
                <w:szCs w:val="17"/>
              </w:rPr>
              <w:t xml:space="preserve">For Vishesh Yogyajan pension.</w:t>
            </w:r>
          </w:p>
        </w:tc>
      </w:tr>
      <w:tr>
        <w:tc>
          <w:tcPr>
            <w:tcW w:type="dxa" w:w="2600"/>
            <w:shd w:fill="EAF0FA" w:val="clear"/>
            <w:tcMar>
              <w:top w:type="dxa" w:w="50"/>
              <w:left w:type="dxa" w:w="90"/>
              <w:bottom w:type="dxa" w:w="50"/>
              <w:right w:type="dxa" w:w="90"/>
            </w:tcMar>
          </w:tcPr>
          <w:p>
            <w:pPr>
              <w:spacing w:after="20"/>
            </w:pPr>
            <w:r>
              <w:rPr>
                <w:sz w:val="17"/>
                <w:szCs w:val="17"/>
              </w:rPr>
              <w:t xml:space="preserve">is_enrolled_in_school</w:t>
            </w:r>
          </w:p>
        </w:tc>
        <w:tc>
          <w:tcPr>
            <w:tcW w:type="dxa" w:w="1200"/>
            <w:shd w:fill="EAF0FA" w:val="clear"/>
            <w:tcMar>
              <w:top w:type="dxa" w:w="50"/>
              <w:left w:type="dxa" w:w="90"/>
              <w:bottom w:type="dxa" w:w="50"/>
              <w:right w:type="dxa" w:w="90"/>
            </w:tcMar>
          </w:tcPr>
          <w:p>
            <w:pPr>
              <w:spacing w:after="20"/>
            </w:pPr>
            <w:r>
              <w:rPr>
                <w:sz w:val="17"/>
                <w:szCs w:val="17"/>
              </w:rPr>
              <w:t xml:space="preserve">boolean</w:t>
            </w:r>
          </w:p>
        </w:tc>
        <w:tc>
          <w:tcPr>
            <w:tcW w:type="dxa" w:w="700"/>
            <w:shd w:fill="EAF0FA" w:val="clear"/>
            <w:tcMar>
              <w:top w:type="dxa" w:w="50"/>
              <w:left w:type="dxa" w:w="90"/>
              <w:bottom w:type="dxa" w:w="50"/>
              <w:right w:type="dxa" w:w="90"/>
            </w:tcMar>
          </w:tcPr>
          <w:p>
            <w:pPr>
              <w:spacing w:after="20"/>
            </w:pPr>
            <w:r>
              <w:rPr>
                <w:sz w:val="17"/>
                <w:szCs w:val="17"/>
              </w:rPr>
              <w:t xml:space="preserve">3</w:t>
            </w:r>
          </w:p>
        </w:tc>
        <w:tc>
          <w:tcPr>
            <w:tcW w:type="dxa" w:w="4860"/>
            <w:shd w:fill="EAF0FA" w:val="clear"/>
            <w:tcMar>
              <w:top w:type="dxa" w:w="50"/>
              <w:left w:type="dxa" w:w="90"/>
              <w:bottom w:type="dxa" w:w="50"/>
              <w:right w:type="dxa" w:w="90"/>
            </w:tcMar>
          </w:tcPr>
          <w:p>
            <w:pPr>
              <w:spacing w:after="20"/>
            </w:pPr>
            <w:r>
              <w:rPr>
                <w:sz w:val="17"/>
                <w:szCs w:val="17"/>
              </w:rPr>
              <w:t xml:space="preserve">ShalaDarpan-derived flat flag (Palanhaar).</w:t>
            </w:r>
          </w:p>
        </w:tc>
      </w:tr>
      <w:tr>
        <w:tc>
          <w:tcPr>
            <w:tcW w:type="dxa" w:w="2600"/>
            <w:shd w:fill="FFFFFF" w:val="clear"/>
            <w:tcMar>
              <w:top w:type="dxa" w:w="50"/>
              <w:left w:type="dxa" w:w="90"/>
              <w:bottom w:type="dxa" w:w="50"/>
              <w:right w:type="dxa" w:w="90"/>
            </w:tcMar>
          </w:tcPr>
          <w:p>
            <w:pPr>
              <w:spacing w:after="20"/>
            </w:pPr>
            <w:r>
              <w:rPr>
                <w:sz w:val="17"/>
                <w:szCs w:val="17"/>
              </w:rPr>
              <w:t xml:space="preserve">is_girl_child_of_hof</w:t>
            </w:r>
          </w:p>
        </w:tc>
        <w:tc>
          <w:tcPr>
            <w:tcW w:type="dxa" w:w="1200"/>
            <w:shd w:fill="FFFFFF" w:val="clear"/>
            <w:tcMar>
              <w:top w:type="dxa" w:w="50"/>
              <w:left w:type="dxa" w:w="90"/>
              <w:bottom w:type="dxa" w:w="50"/>
              <w:right w:type="dxa" w:w="90"/>
            </w:tcMar>
          </w:tcPr>
          <w:p>
            <w:pPr>
              <w:spacing w:after="20"/>
            </w:pPr>
            <w:r>
              <w:rPr>
                <w:sz w:val="17"/>
                <w:szCs w:val="17"/>
              </w:rPr>
              <w:t xml:space="preserve">boolean</w:t>
            </w:r>
          </w:p>
        </w:tc>
        <w:tc>
          <w:tcPr>
            <w:tcW w:type="dxa" w:w="700"/>
            <w:shd w:fill="FFFFFF" w:val="clear"/>
            <w:tcMar>
              <w:top w:type="dxa" w:w="50"/>
              <w:left w:type="dxa" w:w="90"/>
              <w:bottom w:type="dxa" w:w="50"/>
              <w:right w:type="dxa" w:w="90"/>
            </w:tcMar>
          </w:tcPr>
          <w:p>
            <w:pPr>
              <w:spacing w:after="20"/>
            </w:pPr>
            <w:r>
              <w:rPr>
                <w:sz w:val="17"/>
                <w:szCs w:val="17"/>
              </w:rPr>
              <w:t xml:space="preserve">3</w:t>
            </w:r>
          </w:p>
        </w:tc>
        <w:tc>
          <w:tcPr>
            <w:tcW w:type="dxa" w:w="4860"/>
            <w:shd w:fill="FFFFFF" w:val="clear"/>
            <w:tcMar>
              <w:top w:type="dxa" w:w="50"/>
              <w:left w:type="dxa" w:w="90"/>
              <w:bottom w:type="dxa" w:w="50"/>
              <w:right w:type="dxa" w:w="90"/>
            </w:tcMar>
          </w:tcPr>
          <w:p>
            <w:pPr>
              <w:spacing w:after="20"/>
            </w:pPr>
            <w:r>
              <w:rPr>
                <w:sz w:val="17"/>
                <w:szCs w:val="17"/>
              </w:rPr>
              <w:t xml:space="preserve">REL-01-derived flat flag.</w:t>
            </w:r>
          </w:p>
        </w:tc>
      </w:tr>
    </w:tbl>
    <w:p>
      <w:pPr>
        <w:pStyle w:val="Heading2"/>
        <w:spacing w:after="120" w:before="240"/>
      </w:pPr>
      <w:r>
        <w:rPr>
          <w:b/>
          <w:bCs/>
          <w:color w:val="2E5496"/>
          <w:sz w:val="26"/>
          <w:szCs w:val="26"/>
        </w:rPr>
        <w:t xml:space="preserve">7.2 Derived-Field Catalogue</w:t>
      </w:r>
    </w:p>
    <w:p>
      <w:pPr>
        <w:spacing w:after="120" w:line="276"/>
        <w:jc w:val="both"/>
      </w:pPr>
      <w:r>
        <w:rPr>
          <w:sz w:val="21"/>
          <w:szCs w:val="21"/>
        </w:rPr>
        <w:t xml:space="preserve">Tier-3 fields and their upstream owners. Each carries last_refreshed_at. SRSE never computes these live.</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2900"/>
        <w:gridCol w:w="2400"/>
        <w:gridCol w:w="4060"/>
      </w:tblGrid>
      <w:tr>
        <w:trPr>
          <w:tblHeader/>
        </w:trPr>
        <w:tc>
          <w:tcPr>
            <w:tcW w:type="dxa" w:w="2900"/>
            <w:shd w:fill="1F3864" w:val="clear"/>
            <w:tcMar>
              <w:top w:type="dxa" w:w="60"/>
              <w:left w:type="dxa" w:w="90"/>
              <w:bottom w:type="dxa" w:w="60"/>
              <w:right w:type="dxa" w:w="90"/>
            </w:tcMar>
          </w:tcPr>
          <w:p>
            <w:r>
              <w:rPr>
                <w:b/>
                <w:bCs/>
                <w:color w:val="FFFFFF"/>
                <w:sz w:val="18"/>
                <w:szCs w:val="18"/>
              </w:rPr>
              <w:t xml:space="preserve">Derived field</w:t>
            </w:r>
          </w:p>
        </w:tc>
        <w:tc>
          <w:tcPr>
            <w:tcW w:type="dxa" w:w="2400"/>
            <w:shd w:fill="1F3864" w:val="clear"/>
            <w:tcMar>
              <w:top w:type="dxa" w:w="60"/>
              <w:left w:type="dxa" w:w="90"/>
              <w:bottom w:type="dxa" w:w="60"/>
              <w:right w:type="dxa" w:w="90"/>
            </w:tcMar>
          </w:tcPr>
          <w:p>
            <w:r>
              <w:rPr>
                <w:b/>
                <w:bCs/>
                <w:color w:val="FFFFFF"/>
                <w:sz w:val="18"/>
                <w:szCs w:val="18"/>
              </w:rPr>
              <w:t xml:space="preserve">Computed by</w:t>
            </w:r>
          </w:p>
        </w:tc>
        <w:tc>
          <w:tcPr>
            <w:tcW w:type="dxa" w:w="4060"/>
            <w:shd w:fill="1F3864" w:val="clear"/>
            <w:tcMar>
              <w:top w:type="dxa" w:w="60"/>
              <w:left w:type="dxa" w:w="90"/>
              <w:bottom w:type="dxa" w:w="60"/>
              <w:right w:type="dxa" w:w="90"/>
            </w:tcMar>
          </w:tcPr>
          <w:p>
            <w:r>
              <w:rPr>
                <w:b/>
                <w:bCs/>
                <w:color w:val="FFFFFF"/>
                <w:sz w:val="18"/>
                <w:szCs w:val="18"/>
              </w:rPr>
              <w:t xml:space="preserve">Definition (informal)</w:t>
            </w:r>
          </w:p>
        </w:tc>
      </w:tr>
      <w:tr>
        <w:tc>
          <w:tcPr>
            <w:tcW w:type="dxa" w:w="2900"/>
            <w:shd w:fill="FFFFFF" w:val="clear"/>
            <w:tcMar>
              <w:top w:type="dxa" w:w="50"/>
              <w:left w:type="dxa" w:w="90"/>
              <w:bottom w:type="dxa" w:w="50"/>
              <w:right w:type="dxa" w:w="90"/>
            </w:tcMar>
          </w:tcPr>
          <w:p>
            <w:pPr>
              <w:spacing w:after="20"/>
            </w:pPr>
            <w:r>
              <w:rPr>
                <w:sz w:val="17"/>
                <w:szCs w:val="17"/>
              </w:rPr>
              <w:t xml:space="preserve">annual_income_3yr_avg</w:t>
            </w:r>
          </w:p>
        </w:tc>
        <w:tc>
          <w:tcPr>
            <w:tcW w:type="dxa" w:w="2400"/>
            <w:shd w:fill="FFFFFF" w:val="clear"/>
            <w:tcMar>
              <w:top w:type="dxa" w:w="50"/>
              <w:left w:type="dxa" w:w="90"/>
              <w:bottom w:type="dxa" w:w="50"/>
              <w:right w:type="dxa" w:w="90"/>
            </w:tcMar>
          </w:tcPr>
          <w:p>
            <w:pPr>
              <w:spacing w:after="20"/>
            </w:pPr>
            <w:r>
              <w:rPr>
                <w:sz w:val="17"/>
                <w:szCs w:val="17"/>
              </w:rPr>
              <w:t xml:space="preserve">Spark ETL</w:t>
            </w:r>
          </w:p>
        </w:tc>
        <w:tc>
          <w:tcPr>
            <w:tcW w:type="dxa" w:w="4060"/>
            <w:shd w:fill="FFFFFF" w:val="clear"/>
            <w:tcMar>
              <w:top w:type="dxa" w:w="50"/>
              <w:left w:type="dxa" w:w="90"/>
              <w:bottom w:type="dxa" w:w="50"/>
              <w:right w:type="dxa" w:w="90"/>
            </w:tcMar>
          </w:tcPr>
          <w:p>
            <w:pPr>
              <w:spacing w:after="20"/>
            </w:pPr>
            <w:r>
              <w:rPr>
                <w:sz w:val="17"/>
                <w:szCs w:val="17"/>
              </w:rPr>
              <w:t xml:space="preserve">Mean of annual income across last 3 assessment years.</w:t>
            </w:r>
          </w:p>
        </w:tc>
      </w:tr>
      <w:tr>
        <w:tc>
          <w:tcPr>
            <w:tcW w:type="dxa" w:w="2900"/>
            <w:shd w:fill="EAF0FA" w:val="clear"/>
            <w:tcMar>
              <w:top w:type="dxa" w:w="50"/>
              <w:left w:type="dxa" w:w="90"/>
              <w:bottom w:type="dxa" w:w="50"/>
              <w:right w:type="dxa" w:w="90"/>
            </w:tcMar>
          </w:tcPr>
          <w:p>
            <w:pPr>
              <w:spacing w:after="20"/>
            </w:pPr>
            <w:r>
              <w:rPr>
                <w:sz w:val="17"/>
                <w:szCs w:val="17"/>
              </w:rPr>
              <w:t xml:space="preserve">is_girl_child_of_hof</w:t>
            </w:r>
          </w:p>
        </w:tc>
        <w:tc>
          <w:tcPr>
            <w:tcW w:type="dxa" w:w="2400"/>
            <w:shd w:fill="EAF0FA" w:val="clear"/>
            <w:tcMar>
              <w:top w:type="dxa" w:w="50"/>
              <w:left w:type="dxa" w:w="90"/>
              <w:bottom w:type="dxa" w:w="50"/>
              <w:right w:type="dxa" w:w="90"/>
            </w:tcMar>
          </w:tcPr>
          <w:p>
            <w:pPr>
              <w:spacing w:after="20"/>
            </w:pPr>
            <w:r>
              <w:rPr>
                <w:sz w:val="17"/>
                <w:szCs w:val="17"/>
              </w:rPr>
              <w:t xml:space="preserve">REL-01</w:t>
            </w:r>
          </w:p>
        </w:tc>
        <w:tc>
          <w:tcPr>
            <w:tcW w:type="dxa" w:w="4060"/>
            <w:shd w:fill="EAF0FA" w:val="clear"/>
            <w:tcMar>
              <w:top w:type="dxa" w:w="50"/>
              <w:left w:type="dxa" w:w="90"/>
              <w:bottom w:type="dxa" w:w="50"/>
              <w:right w:type="dxa" w:w="90"/>
            </w:tcMar>
          </w:tcPr>
          <w:p>
            <w:pPr>
              <w:spacing w:after="20"/>
            </w:pPr>
            <w:r>
              <w:rPr>
                <w:sz w:val="17"/>
                <w:szCs w:val="17"/>
              </w:rPr>
              <w:t xml:space="preserve">Female child linked to current HoF.</w:t>
            </w:r>
          </w:p>
        </w:tc>
      </w:tr>
      <w:tr>
        <w:tc>
          <w:tcPr>
            <w:tcW w:type="dxa" w:w="2900"/>
            <w:shd w:fill="FFFFFF" w:val="clear"/>
            <w:tcMar>
              <w:top w:type="dxa" w:w="50"/>
              <w:left w:type="dxa" w:w="90"/>
              <w:bottom w:type="dxa" w:w="50"/>
              <w:right w:type="dxa" w:w="90"/>
            </w:tcMar>
          </w:tcPr>
          <w:p>
            <w:pPr>
              <w:spacing w:after="20"/>
            </w:pPr>
            <w:r>
              <w:rPr>
                <w:sz w:val="17"/>
                <w:szCs w:val="17"/>
              </w:rPr>
              <w:t xml:space="preserve">is_single_woman</w:t>
            </w:r>
          </w:p>
        </w:tc>
        <w:tc>
          <w:tcPr>
            <w:tcW w:type="dxa" w:w="2400"/>
            <w:shd w:fill="FFFFFF" w:val="clear"/>
            <w:tcMar>
              <w:top w:type="dxa" w:w="50"/>
              <w:left w:type="dxa" w:w="90"/>
              <w:bottom w:type="dxa" w:w="50"/>
              <w:right w:type="dxa" w:w="90"/>
            </w:tcMar>
          </w:tcPr>
          <w:p>
            <w:pPr>
              <w:spacing w:after="20"/>
            </w:pPr>
            <w:r>
              <w:rPr>
                <w:sz w:val="17"/>
                <w:szCs w:val="17"/>
              </w:rPr>
              <w:t xml:space="preserve">REL-01 + Pehchan</w:t>
            </w:r>
          </w:p>
        </w:tc>
        <w:tc>
          <w:tcPr>
            <w:tcW w:type="dxa" w:w="4060"/>
            <w:shd w:fill="FFFFFF" w:val="clear"/>
            <w:tcMar>
              <w:top w:type="dxa" w:w="50"/>
              <w:left w:type="dxa" w:w="90"/>
              <w:bottom w:type="dxa" w:w="50"/>
              <w:right w:type="dxa" w:w="90"/>
            </w:tcMar>
          </w:tcPr>
          <w:p>
            <w:pPr>
              <w:spacing w:after="20"/>
            </w:pPr>
            <w:r>
              <w:rPr>
                <w:sz w:val="17"/>
                <w:szCs w:val="17"/>
              </w:rPr>
              <w:t xml:space="preserve">Divorced/widowed status resolved from relationship + certificate.</w:t>
            </w:r>
          </w:p>
        </w:tc>
      </w:tr>
      <w:tr>
        <w:tc>
          <w:tcPr>
            <w:tcW w:type="dxa" w:w="2900"/>
            <w:shd w:fill="EAF0FA" w:val="clear"/>
            <w:tcMar>
              <w:top w:type="dxa" w:w="50"/>
              <w:left w:type="dxa" w:w="90"/>
              <w:bottom w:type="dxa" w:w="50"/>
              <w:right w:type="dxa" w:w="90"/>
            </w:tcMar>
          </w:tcPr>
          <w:p>
            <w:pPr>
              <w:spacing w:after="20"/>
            </w:pPr>
            <w:r>
              <w:rPr>
                <w:sz w:val="17"/>
                <w:szCs w:val="17"/>
              </w:rPr>
              <w:t xml:space="preserve">is_enrolled_in_school</w:t>
            </w:r>
          </w:p>
        </w:tc>
        <w:tc>
          <w:tcPr>
            <w:tcW w:type="dxa" w:w="2400"/>
            <w:shd w:fill="EAF0FA" w:val="clear"/>
            <w:tcMar>
              <w:top w:type="dxa" w:w="50"/>
              <w:left w:type="dxa" w:w="90"/>
              <w:bottom w:type="dxa" w:w="50"/>
              <w:right w:type="dxa" w:w="90"/>
            </w:tcMar>
          </w:tcPr>
          <w:p>
            <w:pPr>
              <w:spacing w:after="20"/>
            </w:pPr>
            <w:r>
              <w:rPr>
                <w:sz w:val="17"/>
                <w:szCs w:val="17"/>
              </w:rPr>
              <w:t xml:space="preserve">ShalaDarpan ETL</w:t>
            </w:r>
          </w:p>
        </w:tc>
        <w:tc>
          <w:tcPr>
            <w:tcW w:type="dxa" w:w="4060"/>
            <w:shd w:fill="EAF0FA" w:val="clear"/>
            <w:tcMar>
              <w:top w:type="dxa" w:w="50"/>
              <w:left w:type="dxa" w:w="90"/>
              <w:bottom w:type="dxa" w:w="50"/>
              <w:right w:type="dxa" w:w="90"/>
            </w:tcMar>
          </w:tcPr>
          <w:p>
            <w:pPr>
              <w:spacing w:after="20"/>
            </w:pPr>
            <w:r>
              <w:rPr>
                <w:sz w:val="17"/>
                <w:szCs w:val="17"/>
              </w:rPr>
              <w:t xml:space="preserve">Active enrolment flag.</w:t>
            </w:r>
          </w:p>
        </w:tc>
      </w:tr>
    </w:tbl>
    <w:p>
      <w:pPr>
        <w:pStyle w:val="Heading2"/>
        <w:spacing w:after="120" w:before="240"/>
      </w:pPr>
      <w:r>
        <w:rPr>
          <w:b/>
          <w:bCs/>
          <w:color w:val="2E5496"/>
          <w:sz w:val="26"/>
          <w:szCs w:val="26"/>
        </w:rPr>
        <w:t xml:space="preserve">7.3 Operational Store Schema (DB2 / JPA)</w:t>
      </w:r>
    </w:p>
    <w:p>
      <w:pPr>
        <w:shd w:fill="F2F2F2" w:val="clear"/>
        <w:spacing w:after="0" w:line="240"/>
      </w:pPr>
      <w:r>
        <w:rPr>
          <w:rFonts w:ascii="Consolas" w:cs="Consolas" w:eastAsia="Consolas" w:hAnsi="Consolas"/>
          <w:color w:val="1A1A1A"/>
          <w:sz w:val="18"/>
          <w:szCs w:val="18"/>
        </w:rPr>
        <w:t xml:space="preserve">scheme        { schemeId, name, department, event, stage }</w:t>
      </w:r>
    </w:p>
    <w:p>
      <w:pPr>
        <w:shd w:fill="F2F2F2" w:val="clear"/>
        <w:spacing w:after="0" w:line="240"/>
      </w:pPr>
      <w:r>
        <w:rPr>
          <w:rFonts w:ascii="Consolas" w:cs="Consolas" w:eastAsia="Consolas" w:hAnsi="Consolas"/>
          <w:color w:val="1A1A1A"/>
          <w:sz w:val="18"/>
          <w:szCs w:val="18"/>
        </w:rPr>
        <w:t xml:space="preserve">field_catalog { fieldKey, labelEn, labelHi, dataType, tier, allowedOps[] }</w:t>
      </w:r>
    </w:p>
    <w:p>
      <w:pPr>
        <w:shd w:fill="F2F2F2" w:val="clear"/>
        <w:spacing w:after="0" w:line="240"/>
      </w:pPr>
      <w:r>
        <w:rPr>
          <w:rFonts w:ascii="Consolas" w:cs="Consolas" w:eastAsia="Consolas" w:hAnsi="Consolas"/>
          <w:color w:val="1A1A1A"/>
          <w:sz w:val="18"/>
          <w:szCs w:val="18"/>
        </w:rPr>
        <w:t xml:space="preserve">field_mapping { fieldKey, env, bindingKind,   -- COLUMN|EXPR</w:t>
      </w:r>
    </w:p>
    <w:p>
      <w:pPr>
        <w:shd w:fill="F2F2F2" w:val="clear"/>
        <w:spacing w:after="0" w:line="240"/>
      </w:pPr>
      <w:r>
        <w:rPr>
          <w:rFonts w:ascii="Consolas" w:cs="Consolas" w:eastAsia="Consolas" w:hAnsi="Consolas"/>
          <w:color w:val="1A1A1A"/>
          <w:sz w:val="18"/>
          <w:szCs w:val="18"/>
        </w:rPr>
        <w:t xml:space="preserve">                physicalTable, physicalColumn, expressionText }</w:t>
      </w:r>
    </w:p>
    <w:p>
      <w:pPr>
        <w:shd w:fill="F2F2F2" w:val="clear"/>
        <w:spacing w:after="0" w:line="240"/>
      </w:pPr>
      <w:r>
        <w:rPr>
          <w:rFonts w:ascii="Consolas" w:cs="Consolas" w:eastAsia="Consolas" w:hAnsi="Consolas"/>
          <w:color w:val="1A1A1A"/>
          <w:sz w:val="18"/>
          <w:szCs w:val="18"/>
        </w:rPr>
        <w:t xml:space="preserve">ruleset       { rulesetId, schemeId, version, isOfficial, ast(json) }</w:t>
      </w:r>
    </w:p>
    <w:p>
      <w:pPr>
        <w:shd w:fill="F2F2F2" w:val="clear"/>
        <w:spacing w:after="0" w:line="240"/>
      </w:pPr>
      <w:r>
        <w:rPr>
          <w:rFonts w:ascii="Consolas" w:cs="Consolas" w:eastAsia="Consolas" w:hAnsi="Consolas"/>
          <w:color w:val="1A1A1A"/>
          <w:sz w:val="18"/>
          <w:szCs w:val="18"/>
        </w:rPr>
        <w:t xml:space="preserve">scenario      { scenarioId, schemeId, rulesetVersion,</w:t>
      </w:r>
    </w:p>
    <w:p>
      <w:pPr>
        <w:shd w:fill="F2F2F2" w:val="clear"/>
        <w:spacing w:after="0" w:line="240"/>
      </w:pPr>
      <w:r>
        <w:rPr>
          <w:rFonts w:ascii="Consolas" w:cs="Consolas" w:eastAsia="Consolas" w:hAnsi="Consolas"/>
          <w:color w:val="1A1A1A"/>
          <w:sz w:val="18"/>
          <w:szCs w:val="18"/>
        </w:rPr>
        <w:t xml:space="preserve">                parameters(json), result(json), createdBy, createdAt }</w:t>
      </w:r>
    </w:p>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Operational store placement</w:t>
            </w:r>
          </w:p>
          <w:p>
            <w:pPr>
              <w:spacing w:after="40"/>
              <w:jc w:val="both"/>
            </w:pPr>
            <w:r>
              <w:rPr>
                <w:color w:val="1A1A1A"/>
                <w:sz w:val="20"/>
                <w:szCs w:val="20"/>
              </w:rPr>
              <w:t xml:space="preserve">SRSE's operational data (above) lives in DB2 via JPA — distinct from the lakehouse beneficiary data queried via Presto. Whether it is a dedicated SRSE schema on an existing DB2 instance or its own database is a deployment decision — flagged for confirmation with Lovadeep. In local dev it is a DB2-in-Docker (or lightweight) instance seeded on startup.</w:t>
            </w:r>
          </w:p>
        </w:tc>
      </w:tr>
    </w:tbl>
    <w:p>
      <w:pPr>
        <w:pStyle w:val="Heading2"/>
        <w:spacing w:after="120" w:before="240"/>
      </w:pPr>
      <w:r>
        <w:rPr>
          <w:b/>
          <w:bCs/>
          <w:color w:val="2E5496"/>
          <w:sz w:val="26"/>
          <w:szCs w:val="26"/>
        </w:rPr>
        <w:t xml:space="preserve">7.4 Lineage &amp; Freshness</w:t>
      </w:r>
    </w:p>
    <w:p>
      <w:pPr>
        <w:pStyle w:val="ListParagraph"/>
        <w:numPr>
          <w:ilvl w:val="0"/>
          <w:numId w:val="2"/>
        </w:numPr>
        <w:spacing w:after="60" w:line="264"/>
      </w:pPr>
      <w:r>
        <w:rPr>
          <w:sz w:val="21"/>
          <w:szCs w:val="21"/>
        </w:rPr>
        <w:t xml:space="preserve">Every pre-materialised field exposes last_refreshed_at; the UI surfaces data freshness on results.</w:t>
      </w:r>
    </w:p>
    <w:p>
      <w:pPr>
        <w:pStyle w:val="ListParagraph"/>
        <w:numPr>
          <w:ilvl w:val="0"/>
          <w:numId w:val="2"/>
        </w:numPr>
        <w:spacing w:after="60" w:line="264"/>
      </w:pPr>
      <w:r>
        <w:rPr>
          <w:sz w:val="21"/>
          <w:szCs w:val="21"/>
        </w:rPr>
        <w:t xml:space="preserve">Scenario snapshots record ruleset version and run timestamp for auditability.</w:t>
      </w:r>
    </w:p>
    <w:p>
      <w:r>
        <w:br w:type="page"/>
      </w:r>
    </w:p>
    <w:p>
      <w:pPr>
        <w:pStyle w:val="Heading1"/>
        <w:spacing w:after="160" w:before="320"/>
      </w:pPr>
      <w:r>
        <w:rPr>
          <w:b/>
          <w:bCs/>
          <w:color w:val="1F3864"/>
          <w:sz w:val="30"/>
          <w:szCs w:val="30"/>
        </w:rPr>
        <w:t xml:space="preserve">8. Interface Design</w:t>
      </w:r>
    </w:p>
    <w:p>
      <w:pPr>
        <w:pStyle w:val="Heading2"/>
        <w:spacing w:after="120" w:before="240"/>
      </w:pPr>
      <w:r>
        <w:rPr>
          <w:b/>
          <w:bCs/>
          <w:color w:val="2E5496"/>
          <w:sz w:val="26"/>
          <w:szCs w:val="26"/>
        </w:rPr>
        <w:t xml:space="preserve">8.1 Decision-Service REST Contract (the CP4BA-ready seam)</w:t>
      </w:r>
    </w:p>
    <w:p>
      <w:pPr>
        <w:spacing w:after="120" w:line="276"/>
        <w:jc w:val="both"/>
      </w:pPr>
      <w:r>
        <w:rPr>
          <w:sz w:val="21"/>
          <w:szCs w:val="21"/>
        </w:rPr>
        <w:t xml:space="preserve">The hinge interface. Its shape mirrors an ODM decision-service call so it can later be fulfilled by CP4BA with no change to callers. Documented via springdoc-openapi.</w:t>
      </w:r>
    </w:p>
    <w:p>
      <w:pPr>
        <w:shd w:fill="F2F2F2" w:val="clear"/>
        <w:spacing w:after="0" w:line="240"/>
      </w:pPr>
      <w:r>
        <w:rPr>
          <w:rFonts w:ascii="Consolas" w:cs="Consolas" w:eastAsia="Consolas" w:hAnsi="Consolas"/>
          <w:color w:val="1A1A1A"/>
          <w:sz w:val="18"/>
          <w:szCs w:val="18"/>
        </w:rPr>
        <w:t xml:space="preserve">POST /api/decision/evaluate</w:t>
      </w:r>
    </w:p>
    <w:p>
      <w:pPr>
        <w:shd w:fill="F2F2F2" w:val="clear"/>
        <w:spacing w:after="0" w:line="240"/>
      </w:pPr>
      <w:r>
        <w:rPr>
          <w:rFonts w:ascii="Consolas" w:cs="Consolas" w:eastAsia="Consolas" w:hAnsi="Consolas"/>
          <w:color w:val="1A1A1A"/>
          <w:sz w:val="18"/>
          <w:szCs w:val="18"/>
        </w:rPr>
        <w:t xml:space="preserve">Request {</w:t>
      </w:r>
    </w:p>
    <w:p>
      <w:pPr>
        <w:shd w:fill="F2F2F2" w:val="clear"/>
        <w:spacing w:after="0" w:line="240"/>
      </w:pPr>
      <w:r>
        <w:rPr>
          <w:rFonts w:ascii="Consolas" w:cs="Consolas" w:eastAsia="Consolas" w:hAnsi="Consolas"/>
          <w:color w:val="1A1A1A"/>
          <w:sz w:val="18"/>
          <w:szCs w:val="18"/>
        </w:rPr>
        <w:t xml:space="preserve">  schemeId: string,</w:t>
      </w:r>
    </w:p>
    <w:p>
      <w:pPr>
        <w:shd w:fill="F2F2F2" w:val="clear"/>
        <w:spacing w:after="0" w:line="240"/>
      </w:pPr>
      <w:r>
        <w:rPr>
          <w:rFonts w:ascii="Consolas" w:cs="Consolas" w:eastAsia="Consolas" w:hAnsi="Consolas"/>
          <w:color w:val="1A1A1A"/>
          <w:sz w:val="18"/>
          <w:szCs w:val="18"/>
        </w:rPr>
        <w:t xml:space="preserve">  rulesetVersion: string,        // or 'draft' for unsaved edits</w:t>
      </w:r>
    </w:p>
    <w:p>
      <w:pPr>
        <w:shd w:fill="F2F2F2" w:val="clear"/>
        <w:spacing w:after="0" w:line="240"/>
      </w:pPr>
      <w:r>
        <w:rPr>
          <w:rFonts w:ascii="Consolas" w:cs="Consolas" w:eastAsia="Consolas" w:hAnsi="Consolas"/>
          <w:color w:val="1A1A1A"/>
          <w:sz w:val="18"/>
          <w:szCs w:val="18"/>
        </w:rPr>
        <w:t xml:space="preserve">  parameters: [ { fieldKey, operator, value } ],  // officer overrides</w:t>
      </w:r>
    </w:p>
    <w:p>
      <w:pPr>
        <w:shd w:fill="F2F2F2" w:val="clear"/>
        <w:spacing w:after="0" w:line="240"/>
      </w:pPr>
      <w:r>
        <w:rPr>
          <w:rFonts w:ascii="Consolas" w:cs="Consolas" w:eastAsia="Consolas" w:hAnsi="Consolas"/>
          <w:color w:val="1A1A1A"/>
          <w:sz w:val="18"/>
          <w:szCs w:val="18"/>
        </w:rPr>
        <w:t xml:space="preserve">  options: { includeBreakdown: bool, includeCohort: bool,</w:t>
      </w:r>
    </w:p>
    <w:p>
      <w:pPr>
        <w:shd w:fill="F2F2F2" w:val="clear"/>
        <w:spacing w:after="0" w:line="240"/>
      </w:pPr>
      <w:r>
        <w:rPr>
          <w:rFonts w:ascii="Consolas" w:cs="Consolas" w:eastAsia="Consolas" w:hAnsi="Consolas"/>
          <w:color w:val="1A1A1A"/>
          <w:sz w:val="18"/>
          <w:szCs w:val="18"/>
        </w:rPr>
        <w:t xml:space="preserve">             cohortLimit: int }</w:t>
      </w:r>
    </w:p>
    <w:p>
      <w:pPr>
        <w:shd w:fill="F2F2F2" w:val="clear"/>
        <w:spacing w:after="0" w:line="240"/>
      </w:pPr>
      <w:r>
        <w:rPr>
          <w:rFonts w:ascii="Consolas" w:cs="Consolas" w:eastAsia="Consolas" w:hAnsi="Consolas"/>
          <w:color w:val="1A1A1A"/>
          <w:sz w:val="18"/>
          <w:szCs w:val="18"/>
        </w:rPr>
        <w:t xml:space="preserve">}</w:t>
      </w:r>
    </w:p>
    <w:p>
      <w:pPr>
        <w:shd w:fill="F2F2F2" w:val="clear"/>
        <w:spacing w:after="0" w:line="240"/>
      </w:pPr>
      <w:r>
        <w:rPr>
          <w:rFonts w:ascii="Consolas" w:cs="Consolas" w:eastAsia="Consolas" w:hAnsi="Consolas"/>
          <w:color w:val="1A1A1A"/>
          <w:sz w:val="18"/>
          <w:szCs w:val="18"/>
        </w:rPr>
        <w:t xml:space="preserve">Response {</w:t>
      </w:r>
    </w:p>
    <w:p>
      <w:pPr>
        <w:shd w:fill="F2F2F2" w:val="clear"/>
        <w:spacing w:after="0" w:line="240"/>
      </w:pPr>
      <w:r>
        <w:rPr>
          <w:rFonts w:ascii="Consolas" w:cs="Consolas" w:eastAsia="Consolas" w:hAnsi="Consolas"/>
          <w:color w:val="1A1A1A"/>
          <w:sz w:val="18"/>
          <w:szCs w:val="18"/>
        </w:rPr>
        <w:t xml:space="preserve">  totalCount: number,</w:t>
      </w:r>
    </w:p>
    <w:p>
      <w:pPr>
        <w:shd w:fill="F2F2F2" w:val="clear"/>
        <w:spacing w:after="0" w:line="240"/>
      </w:pPr>
      <w:r>
        <w:rPr>
          <w:rFonts w:ascii="Consolas" w:cs="Consolas" w:eastAsia="Consolas" w:hAnsi="Consolas"/>
          <w:color w:val="1A1A1A"/>
          <w:sz w:val="18"/>
          <w:szCs w:val="18"/>
        </w:rPr>
        <w:t xml:space="preserve">  breakdown: [ { district, gender, ageBand, n } ],</w:t>
      </w:r>
    </w:p>
    <w:p>
      <w:pPr>
        <w:shd w:fill="F2F2F2" w:val="clear"/>
        <w:spacing w:after="0" w:line="240"/>
      </w:pPr>
      <w:r>
        <w:rPr>
          <w:rFonts w:ascii="Consolas" w:cs="Consolas" w:eastAsia="Consolas" w:hAnsi="Consolas"/>
          <w:color w:val="1A1A1A"/>
          <w:sz w:val="18"/>
          <w:szCs w:val="18"/>
        </w:rPr>
        <w:t xml:space="preserve">  cohortSample?: [ { id, ...displayCols } ],</w:t>
      </w:r>
    </w:p>
    <w:p>
      <w:pPr>
        <w:shd w:fill="F2F2F2" w:val="clear"/>
        <w:spacing w:after="0" w:line="240"/>
      </w:pPr>
      <w:r>
        <w:rPr>
          <w:rFonts w:ascii="Consolas" w:cs="Consolas" w:eastAsia="Consolas" w:hAnsi="Consolas"/>
          <w:color w:val="1A1A1A"/>
          <w:sz w:val="18"/>
          <w:szCs w:val="18"/>
        </w:rPr>
        <w:t xml:space="preserve">  compiledSqlRef?: string,       // for audit/debug (not raw creds)</w:t>
      </w:r>
    </w:p>
    <w:p>
      <w:pPr>
        <w:shd w:fill="F2F2F2" w:val="clear"/>
        <w:spacing w:after="0" w:line="240"/>
      </w:pPr>
      <w:r>
        <w:rPr>
          <w:rFonts w:ascii="Consolas" w:cs="Consolas" w:eastAsia="Consolas" w:hAnsi="Consolas"/>
          <w:color w:val="1A1A1A"/>
          <w:sz w:val="18"/>
          <w:szCs w:val="18"/>
        </w:rPr>
        <w:t xml:space="preserve">  dataFreshness: { lastRefreshedAt }</w:t>
      </w:r>
    </w:p>
    <w:p>
      <w:pPr>
        <w:shd w:fill="F2F2F2" w:val="clear"/>
        <w:spacing w:after="0" w:line="240"/>
      </w:pPr>
      <w:r>
        <w:rPr>
          <w:rFonts w:ascii="Consolas" w:cs="Consolas" w:eastAsia="Consolas" w:hAnsi="Consolas"/>
          <w:color w:val="1A1A1A"/>
          <w:sz w:val="18"/>
          <w:szCs w:val="18"/>
        </w:rPr>
        <w:t xml:space="preserve">}</w:t>
      </w:r>
    </w:p>
    <w:p>
      <w:pPr>
        <w:pStyle w:val="Heading2"/>
        <w:spacing w:after="120" w:before="240"/>
      </w:pPr>
      <w:r>
        <w:rPr>
          <w:b/>
          <w:bCs/>
          <w:color w:val="2E5496"/>
          <w:sz w:val="26"/>
          <w:szCs w:val="26"/>
        </w:rPr>
        <w:t xml:space="preserve">8.2 Admin — Connection Configuration</w:t>
      </w:r>
    </w:p>
    <w:p>
      <w:pPr>
        <w:spacing w:after="120" w:line="276"/>
        <w:jc w:val="both"/>
      </w:pPr>
      <w:r>
        <w:rPr>
          <w:sz w:val="21"/>
          <w:szCs w:val="21"/>
        </w:rPr>
        <w:t xml:space="preserve">Client-environment screen capturing non-secret Presto connection parameters (host, port, catalog, schema). Secrets (credentials) are injected via environment variables / secret store, not typed into a web form.</w:t>
      </w:r>
    </w:p>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Security choice</w:t>
            </w:r>
          </w:p>
          <w:p>
            <w:pPr>
              <w:spacing w:after="40"/>
              <w:jc w:val="both"/>
            </w:pPr>
            <w:r>
              <w:rPr>
                <w:color w:val="1A1A1A"/>
                <w:sz w:val="20"/>
                <w:szCs w:val="20"/>
              </w:rPr>
              <w:t xml:space="preserve">Do not store lakehouse credentials in a UI-editable field or in the operational DB in plaintext. Non-secret connection parameters may be on-screen; secrets come from environment configuration. Called out rather than silently decided.</w:t>
            </w:r>
          </w:p>
        </w:tc>
      </w:tr>
    </w:tbl>
    <w:p>
      <w:pPr>
        <w:pStyle w:val="Heading2"/>
        <w:spacing w:after="120" w:before="240"/>
      </w:pPr>
      <w:r>
        <w:rPr>
          <w:b/>
          <w:bCs/>
          <w:color w:val="2E5496"/>
          <w:sz w:val="26"/>
          <w:szCs w:val="26"/>
        </w:rPr>
        <w:t xml:space="preserve">8.3 Admin — Field→Column Mapping Screen</w:t>
      </w:r>
    </w:p>
    <w:p>
      <w:pPr>
        <w:spacing w:after="120" w:line="276"/>
        <w:jc w:val="both"/>
      </w:pPr>
      <w:r>
        <w:rPr>
          <w:sz w:val="21"/>
          <w:szCs w:val="21"/>
        </w:rPr>
        <w:t xml:space="preserve">Client-environment screen where a DBA maps each catalogue field to a physical Presto table.column (Tier 1) or same-table expression (Tier 2). Tier-3 fields appear as already-flat columns, mapped like Tier 1. This screen is the operational answer to 'I don't know the column names yet' — supplied here, at deployment, by someone who knows the schema.</w:t>
      </w:r>
    </w:p>
    <w:p>
      <w:pPr>
        <w:pStyle w:val="Heading2"/>
        <w:spacing w:after="120" w:before="240"/>
      </w:pPr>
      <w:r>
        <w:rPr>
          <w:b/>
          <w:bCs/>
          <w:color w:val="2E5496"/>
          <w:sz w:val="26"/>
          <w:szCs w:val="26"/>
        </w:rPr>
        <w:t xml:space="preserve">8.4 Officer UI Screens</w:t>
      </w:r>
    </w:p>
    <w:p>
      <w:pPr>
        <w:pStyle w:val="ListParagraph"/>
        <w:numPr>
          <w:ilvl w:val="0"/>
          <w:numId w:val="2"/>
        </w:numPr>
        <w:spacing w:after="60" w:line="264"/>
      </w:pPr>
      <w:r>
        <w:rPr>
          <w:sz w:val="21"/>
          <w:szCs w:val="21"/>
        </w:rPr>
        <w:t xml:space="preserve">Scheme picker → ruleset view (official + saved variants).</w:t>
      </w:r>
    </w:p>
    <w:p>
      <w:pPr>
        <w:pStyle w:val="ListParagraph"/>
        <w:numPr>
          <w:ilvl w:val="0"/>
          <w:numId w:val="2"/>
        </w:numPr>
        <w:spacing w:after="60" w:line="264"/>
      </w:pPr>
      <w:r>
        <w:rPr>
          <w:sz w:val="21"/>
          <w:szCs w:val="21"/>
        </w:rPr>
        <w:t xml:space="preserve">Rule builder: add/remove predicates, choose field/operator/value, AND/OR grouping (Zustand state).</w:t>
      </w:r>
    </w:p>
    <w:p>
      <w:pPr>
        <w:pStyle w:val="ListParagraph"/>
        <w:numPr>
          <w:ilvl w:val="0"/>
          <w:numId w:val="2"/>
        </w:numPr>
        <w:spacing w:after="60" w:line="264"/>
      </w:pPr>
      <w:r>
        <w:rPr>
          <w:sz w:val="21"/>
          <w:szCs w:val="21"/>
        </w:rPr>
        <w:t xml:space="preserve">Threshold controls: inline editing of numeric/date parameters (the flagship interaction).</w:t>
      </w:r>
    </w:p>
    <w:p>
      <w:pPr>
        <w:pStyle w:val="ListParagraph"/>
        <w:numPr>
          <w:ilvl w:val="0"/>
          <w:numId w:val="2"/>
        </w:numPr>
        <w:spacing w:after="60" w:line="264"/>
      </w:pPr>
      <w:r>
        <w:rPr>
          <w:sz w:val="21"/>
          <w:szCs w:val="21"/>
        </w:rPr>
        <w:t xml:space="preserve">Run &amp; results: total count, breakdown charts (Recharts), on-demand cohort drill-down (TanStack Table).</w:t>
      </w:r>
    </w:p>
    <w:p>
      <w:pPr>
        <w:pStyle w:val="ListParagraph"/>
        <w:numPr>
          <w:ilvl w:val="0"/>
          <w:numId w:val="2"/>
        </w:numPr>
        <w:spacing w:after="60" w:line="264"/>
      </w:pPr>
      <w:r>
        <w:rPr>
          <w:sz w:val="21"/>
          <w:szCs w:val="21"/>
        </w:rPr>
        <w:t xml:space="preserve">Scenario compare: side-by-side counts, deltas, breakdown differences.</w:t>
      </w:r>
    </w:p>
    <w:p>
      <w:pPr>
        <w:pStyle w:val="Heading2"/>
        <w:spacing w:after="120" w:before="240"/>
      </w:pPr>
      <w:r>
        <w:rPr>
          <w:b/>
          <w:bCs/>
          <w:color w:val="2E5496"/>
          <w:sz w:val="26"/>
          <w:szCs w:val="26"/>
        </w:rPr>
        <w:t xml:space="preserve">8.5 Authentication</w:t>
      </w:r>
    </w:p>
    <w:p>
      <w:pPr>
        <w:pStyle w:val="ListParagraph"/>
        <w:numPr>
          <w:ilvl w:val="0"/>
          <w:numId w:val="2"/>
        </w:numPr>
        <w:spacing w:after="60" w:line="264"/>
      </w:pPr>
      <w:r>
        <w:rPr>
          <w:sz w:val="21"/>
          <w:szCs w:val="21"/>
        </w:rPr>
        <w:t xml:space="preserve">Client environment: RajSewadwar-style SSO integration; JJWT; cookie-based JWT. Role STATE_OFFICER (and peers) gate authoring vs maker-checker.</w:t>
      </w:r>
    </w:p>
    <w:p>
      <w:pPr>
        <w:pStyle w:val="ListParagraph"/>
        <w:numPr>
          <w:ilvl w:val="0"/>
          <w:numId w:val="2"/>
        </w:numPr>
        <w:spacing w:after="60" w:line="264"/>
      </w:pPr>
      <w:r>
        <w:rPr>
          <w:sz w:val="21"/>
          <w:szCs w:val="21"/>
        </w:rPr>
        <w:t xml:space="preserve">Local dev: mock JWT issuer so the app runs offline without SSO.</w:t>
      </w:r>
    </w:p>
    <w:p>
      <w:r>
        <w:br w:type="page"/>
      </w:r>
    </w:p>
    <w:p>
      <w:pPr>
        <w:pStyle w:val="Heading1"/>
        <w:spacing w:after="160" w:before="320"/>
      </w:pPr>
      <w:r>
        <w:rPr>
          <w:b/>
          <w:bCs/>
          <w:color w:val="1F3864"/>
          <w:sz w:val="30"/>
          <w:szCs w:val="30"/>
        </w:rPr>
        <w:t xml:space="preserve">9. Security Design</w:t>
      </w:r>
    </w:p>
    <w:p>
      <w:pPr>
        <w:pStyle w:val="Heading2"/>
        <w:spacing w:after="120" w:before="240"/>
      </w:pPr>
      <w:r>
        <w:rPr>
          <w:b/>
          <w:bCs/>
          <w:color w:val="2E5496"/>
          <w:sz w:val="26"/>
          <w:szCs w:val="26"/>
        </w:rPr>
        <w:t xml:space="preserve">9.1 Authentication &amp; Authorisation</w:t>
      </w:r>
    </w:p>
    <w:p>
      <w:pPr>
        <w:pStyle w:val="ListParagraph"/>
        <w:numPr>
          <w:ilvl w:val="0"/>
          <w:numId w:val="2"/>
        </w:numPr>
        <w:spacing w:after="60" w:line="264"/>
      </w:pPr>
      <w:r>
        <w:rPr>
          <w:sz w:val="21"/>
          <w:szCs w:val="21"/>
        </w:rPr>
        <w:t xml:space="preserve">RajSewadwar-style SSO for authentication; Spring Security + JJWT; RBAC for authoring, running, promoting rulesets.</w:t>
      </w:r>
    </w:p>
    <w:p>
      <w:pPr>
        <w:pStyle w:val="ListParagraph"/>
        <w:numPr>
          <w:ilvl w:val="0"/>
          <w:numId w:val="2"/>
        </w:numPr>
        <w:spacing w:after="60" w:line="264"/>
      </w:pPr>
      <w:r>
        <w:rPr>
          <w:sz w:val="21"/>
          <w:szCs w:val="21"/>
        </w:rPr>
        <w:t xml:space="preserve">Maker-checker: promoting a ruleset to 'official' requires a separate approver role.</w:t>
      </w:r>
    </w:p>
    <w:p>
      <w:pPr>
        <w:pStyle w:val="Heading2"/>
        <w:spacing w:after="120" w:before="240"/>
      </w:pPr>
      <w:r>
        <w:rPr>
          <w:b/>
          <w:bCs/>
          <w:color w:val="2E5496"/>
          <w:sz w:val="26"/>
          <w:szCs w:val="26"/>
        </w:rPr>
        <w:t xml:space="preserve">9.2 Injection Safety</w:t>
      </w:r>
    </w:p>
    <w:p>
      <w:pPr>
        <w:spacing w:after="120" w:line="276"/>
        <w:jc w:val="both"/>
      </w:pPr>
      <w:r>
        <w:rPr>
          <w:sz w:val="21"/>
          <w:szCs w:val="21"/>
        </w:rPr>
        <w:t xml:space="preserve">The compiler emits only parameterised SQL; officer-supplied values are always bound parameters (JdbcTemplate '?'), never concatenated into SQL text. Field keys resolve to physical columns exclusively through the mapping service (an allow-list), so no user input reaches the query as an identifier. This structurally prevents SQL injection through the rule builder.</w:t>
      </w:r>
    </w:p>
    <w:p>
      <w:pPr>
        <w:pStyle w:val="Heading2"/>
        <w:spacing w:after="120" w:before="240"/>
      </w:pPr>
      <w:r>
        <w:rPr>
          <w:b/>
          <w:bCs/>
          <w:color w:val="2E5496"/>
          <w:sz w:val="26"/>
          <w:szCs w:val="26"/>
        </w:rPr>
        <w:t xml:space="preserve">9.3 Data Access &amp; Audit</w:t>
      </w:r>
    </w:p>
    <w:p>
      <w:pPr>
        <w:pStyle w:val="ListParagraph"/>
        <w:numPr>
          <w:ilvl w:val="0"/>
          <w:numId w:val="2"/>
        </w:numPr>
        <w:spacing w:after="60" w:line="264"/>
      </w:pPr>
      <w:r>
        <w:rPr>
          <w:sz w:val="21"/>
          <w:szCs w:val="21"/>
        </w:rPr>
        <w:t xml:space="preserve">Aggregate queries return counts/breakdowns only; row-level cohort access is capped and role-gated.</w:t>
      </w:r>
    </w:p>
    <w:p>
      <w:pPr>
        <w:pStyle w:val="ListParagraph"/>
        <w:numPr>
          <w:ilvl w:val="0"/>
          <w:numId w:val="2"/>
        </w:numPr>
        <w:spacing w:after="60" w:line="264"/>
      </w:pPr>
      <w:r>
        <w:rPr>
          <w:sz w:val="21"/>
          <w:szCs w:val="21"/>
        </w:rPr>
        <w:t xml:space="preserve">Every simulation and promotion logged (who, when, which ruleset version).</w:t>
      </w:r>
    </w:p>
    <w:p>
      <w:pPr>
        <w:pStyle w:val="Heading2"/>
        <w:spacing w:after="120" w:before="240"/>
      </w:pPr>
      <w:r>
        <w:rPr>
          <w:b/>
          <w:bCs/>
          <w:color w:val="2E5496"/>
          <w:sz w:val="26"/>
          <w:szCs w:val="26"/>
        </w:rPr>
        <w:t xml:space="preserve">9.4 Alignment with SMART Security Posture</w:t>
      </w:r>
    </w:p>
    <w:p>
      <w:pPr>
        <w:spacing w:after="120" w:line="276"/>
        <w:jc w:val="both"/>
      </w:pPr>
      <w:r>
        <w:rPr>
          <w:sz w:val="21"/>
          <w:szCs w:val="21"/>
        </w:rPr>
        <w:t xml:space="preserve">Consistent with the engagement's AppScan-driven remediation: centralised error handling (no verbose errors to the client via @ControllerAdvice), parameterised queries throughout, least-privilege data access.</w:t>
      </w:r>
    </w:p>
    <w:p>
      <w:r>
        <w:br w:type="page"/>
      </w:r>
    </w:p>
    <w:p>
      <w:pPr>
        <w:pStyle w:val="Heading1"/>
        <w:spacing w:after="160" w:before="320"/>
      </w:pPr>
      <w:r>
        <w:rPr>
          <w:b/>
          <w:bCs/>
          <w:color w:val="1F3864"/>
          <w:sz w:val="30"/>
          <w:szCs w:val="30"/>
        </w:rPr>
        <w:t xml:space="preserve">10. Deployment &amp; Environment</w:t>
      </w:r>
    </w:p>
    <w:p>
      <w:pPr>
        <w:pStyle w:val="Heading2"/>
        <w:spacing w:after="120" w:before="240"/>
      </w:pPr>
      <w:r>
        <w:rPr>
          <w:b/>
          <w:bCs/>
          <w:color w:val="2E5496"/>
          <w:sz w:val="26"/>
          <w:szCs w:val="26"/>
        </w:rPr>
        <w:t xml:space="preserve">10.1 Local Development Stack (Docker Compose)</w:t>
      </w:r>
    </w:p>
    <w:p>
      <w:pPr>
        <w:spacing w:after="120" w:line="276"/>
        <w:jc w:val="both"/>
      </w:pPr>
      <w:r>
        <w:rPr>
          <w:sz w:val="21"/>
          <w:szCs w:val="21"/>
        </w:rPr>
        <w:t xml:space="preserve">One command brings up the full local stack; the app runs offline on the laptop with synthetic data. Two app containers plus the local lakehouse stand-in.</w:t>
      </w:r>
    </w:p>
    <w:p>
      <w:pPr>
        <w:shd w:fill="F2F2F2" w:val="clear"/>
        <w:spacing w:after="0" w:line="240"/>
      </w:pPr>
      <w:r>
        <w:rPr>
          <w:rFonts w:ascii="Consolas" w:cs="Consolas" w:eastAsia="Consolas" w:hAnsi="Consolas"/>
          <w:color w:val="1A1A1A"/>
          <w:sz w:val="18"/>
          <w:szCs w:val="18"/>
        </w:rPr>
        <w:t xml:space="preserve">services:</w:t>
      </w:r>
    </w:p>
    <w:p>
      <w:pPr>
        <w:shd w:fill="F2F2F2" w:val="clear"/>
        <w:spacing w:after="0" w:line="240"/>
      </w:pPr>
      <w:r>
        <w:rPr>
          <w:rFonts w:ascii="Consolas" w:cs="Consolas" w:eastAsia="Consolas" w:hAnsi="Consolas"/>
          <w:color w:val="1A1A1A"/>
          <w:sz w:val="18"/>
          <w:szCs w:val="18"/>
        </w:rPr>
        <w:t xml:space="preserve">  srse-frontend  # Next.js 16 / React 19 (own container)</w:t>
      </w:r>
    </w:p>
    <w:p>
      <w:pPr>
        <w:shd w:fill="F2F2F2" w:val="clear"/>
        <w:spacing w:after="0" w:line="240"/>
      </w:pPr>
      <w:r>
        <w:rPr>
          <w:rFonts w:ascii="Consolas" w:cs="Consolas" w:eastAsia="Consolas" w:hAnsi="Consolas"/>
          <w:color w:val="1A1A1A"/>
          <w:sz w:val="18"/>
          <w:szCs w:val="18"/>
        </w:rPr>
        <w:t xml:space="preserve">  srse-backend   # Java 17 / Spring Boot 3.x fat-JAR (java -jar)</w:t>
      </w:r>
    </w:p>
    <w:p>
      <w:pPr>
        <w:shd w:fill="F2F2F2" w:val="clear"/>
        <w:spacing w:after="0" w:line="240"/>
      </w:pPr>
      <w:r>
        <w:rPr>
          <w:rFonts w:ascii="Consolas" w:cs="Consolas" w:eastAsia="Consolas" w:hAnsi="Consolas"/>
          <w:color w:val="1A1A1A"/>
          <w:sz w:val="18"/>
          <w:szCs w:val="18"/>
        </w:rPr>
        <w:t xml:space="preserve">  presto         # PrestoDB 0.297 query engine</w:t>
      </w:r>
    </w:p>
    <w:p>
      <w:pPr>
        <w:shd w:fill="F2F2F2" w:val="clear"/>
        <w:spacing w:after="0" w:line="240"/>
      </w:pPr>
      <w:r>
        <w:rPr>
          <w:rFonts w:ascii="Consolas" w:cs="Consolas" w:eastAsia="Consolas" w:hAnsi="Consolas"/>
          <w:color w:val="1A1A1A"/>
          <w:sz w:val="18"/>
          <w:szCs w:val="18"/>
        </w:rPr>
        <w:t xml:space="preserve">  metastore      # metadata store for Iceberg</w:t>
      </w:r>
    </w:p>
    <w:p>
      <w:pPr>
        <w:shd w:fill="F2F2F2" w:val="clear"/>
        <w:spacing w:after="0" w:line="240"/>
      </w:pPr>
      <w:r>
        <w:rPr>
          <w:rFonts w:ascii="Consolas" w:cs="Consolas" w:eastAsia="Consolas" w:hAnsi="Consolas"/>
          <w:color w:val="1A1A1A"/>
          <w:sz w:val="18"/>
          <w:szCs w:val="18"/>
        </w:rPr>
        <w:t xml:space="preserve">  minio          # S3-compatible object storage</w:t>
      </w:r>
    </w:p>
    <w:p>
      <w:pPr>
        <w:shd w:fill="F2F2F2" w:val="clear"/>
        <w:spacing w:after="0" w:line="240"/>
      </w:pPr>
      <w:r>
        <w:rPr>
          <w:rFonts w:ascii="Consolas" w:cs="Consolas" w:eastAsia="Consolas" w:hAnsi="Consolas"/>
          <w:color w:val="1A1A1A"/>
          <w:sz w:val="18"/>
          <w:szCs w:val="18"/>
        </w:rPr>
        <w:t xml:space="preserve">  db2            # SRSE operational store (or lightweight equiv.)</w:t>
      </w:r>
    </w:p>
    <w:p>
      <w:pPr>
        <w:shd w:fill="F2F2F2" w:val="clear"/>
        <w:spacing w:after="0" w:line="240"/>
      </w:pPr>
      <w:r>
        <w:rPr>
          <w:rFonts w:ascii="Consolas" w:cs="Consolas" w:eastAsia="Consolas" w:hAnsi="Consolas"/>
          <w:color w:val="1A1A1A"/>
          <w:sz w:val="18"/>
          <w:szCs w:val="18"/>
        </w:rPr>
        <w:t xml:space="preserve">  seed           # one-shot: generates synthetic data as Iceberg tables</w:t>
      </w:r>
    </w:p>
    <w:p>
      <w:pPr>
        <w:shd w:fill="F2F2F2" w:val="clear"/>
        <w:spacing w:after="0" w:line="240"/>
      </w:pPr>
      <w:r>
        <w:rPr>
          <w:rFonts w:ascii="Consolas" w:cs="Consolas" w:eastAsia="Consolas" w:hAnsi="Consolas"/>
          <w:color w:val="1A1A1A"/>
          <w:sz w:val="18"/>
          <w:szCs w:val="18"/>
        </w:rPr>
        <w:t xml:space="preserve"> </w:t>
      </w:r>
    </w:p>
    <w:p>
      <w:pPr>
        <w:shd w:fill="F2F2F2" w:val="clear"/>
        <w:spacing w:after="0" w:line="240"/>
      </w:pPr>
      <w:r>
        <w:rPr>
          <w:rFonts w:ascii="Consolas" w:cs="Consolas" w:eastAsia="Consolas" w:hAnsi="Consolas"/>
          <w:color w:val="1A1A1A"/>
          <w:sz w:val="18"/>
          <w:szCs w:val="18"/>
        </w:rPr>
        <w:t xml:space="preserve"># .env : DATA_MODE=synthetic, PRESTO_HOST=presto, DB2_URL=...</w:t>
      </w:r>
    </w:p>
    <w:p>
      <w:pPr>
        <w:shd w:fill="F2F2F2" w:val="clear"/>
        <w:spacing w:after="0" w:line="240"/>
      </w:pPr>
      <w:r>
        <w:rPr>
          <w:rFonts w:ascii="Consolas" w:cs="Consolas" w:eastAsia="Consolas" w:hAnsi="Consolas"/>
          <w:color w:val="1A1A1A"/>
          <w:sz w:val="18"/>
          <w:szCs w:val="18"/>
        </w:rPr>
        <w:t xml:space="preserve"># run  : docker compose up   -&gt;  open http://localhost:3000</w:t>
      </w:r>
    </w:p>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Setup-friction mitigation</w:t>
            </w:r>
          </w:p>
          <w:p>
            <w:pPr>
              <w:spacing w:after="40"/>
              <w:jc w:val="both"/>
            </w:pPr>
            <w:r>
              <w:rPr>
                <w:color w:val="1A1A1A"/>
                <w:sz w:val="20"/>
                <w:szCs w:val="20"/>
              </w:rPr>
              <w:t xml:space="preserve">Standing up Presto + metastore + MinIO locally is the fiddliest part (catalog/metastore/S3 wiring). Build and test the compiler and UI early behind the data-access interface so a Presto config snag never blocks all progress. Confirm the laptop can comfortably run the container set before committing.</w:t>
            </w:r>
          </w:p>
        </w:tc>
      </w:tr>
    </w:tbl>
    <w:p>
      <w:pPr>
        <w:pStyle w:val="Heading2"/>
        <w:spacing w:after="120" w:before="240"/>
      </w:pPr>
      <w:r>
        <w:rPr>
          <w:b/>
          <w:bCs/>
          <w:color w:val="2E5496"/>
          <w:sz w:val="26"/>
          <w:szCs w:val="26"/>
        </w:rPr>
        <w:t xml:space="preserve">10.2 Client Dev Deployment</w:t>
      </w:r>
    </w:p>
    <w:p>
      <w:pPr>
        <w:pStyle w:val="ListParagraph"/>
        <w:numPr>
          <w:ilvl w:val="0"/>
          <w:numId w:val="5"/>
        </w:numPr>
        <w:spacing w:after="60" w:line="264"/>
      </w:pPr>
      <w:r>
        <w:rPr>
          <w:sz w:val="21"/>
          <w:szCs w:val="21"/>
        </w:rPr>
        <w:t xml:space="preserve">Pull the two service repos from GitHub into the client Dev environment.</w:t>
      </w:r>
    </w:p>
    <w:p>
      <w:pPr>
        <w:pStyle w:val="ListParagraph"/>
        <w:numPr>
          <w:ilvl w:val="0"/>
          <w:numId w:val="5"/>
        </w:numPr>
        <w:spacing w:after="60" w:line="264"/>
      </w:pPr>
      <w:r>
        <w:rPr>
          <w:sz w:val="21"/>
          <w:szCs w:val="21"/>
        </w:rPr>
        <w:t xml:space="preserve">Set DATA_MODE=live; provide Presto connection config + credentials (env/secrets) and the DB2 operational-store connection.</w:t>
      </w:r>
    </w:p>
    <w:p>
      <w:pPr>
        <w:pStyle w:val="ListParagraph"/>
        <w:numPr>
          <w:ilvl w:val="0"/>
          <w:numId w:val="5"/>
        </w:numPr>
        <w:spacing w:after="60" w:line="264"/>
      </w:pPr>
      <w:r>
        <w:rPr>
          <w:sz w:val="21"/>
          <w:szCs w:val="21"/>
        </w:rPr>
        <w:t xml:space="preserve">DBA completes the field→column mapping (Section 8.3) against real Golden Layer tables.</w:t>
      </w:r>
    </w:p>
    <w:p>
      <w:pPr>
        <w:pStyle w:val="ListParagraph"/>
        <w:numPr>
          <w:ilvl w:val="0"/>
          <w:numId w:val="5"/>
        </w:numPr>
        <w:spacing w:after="60" w:line="264"/>
      </w:pPr>
      <w:r>
        <w:rPr>
          <w:sz w:val="21"/>
          <w:szCs w:val="21"/>
        </w:rPr>
        <w:t xml:space="preserve">docker compose up (live profile — no local Presto/MinIO/seed; backend connects to on-prem Presto + DB2).</w:t>
      </w:r>
    </w:p>
    <w:p>
      <w:pPr>
        <w:pStyle w:val="Heading2"/>
        <w:spacing w:after="120" w:before="240"/>
      </w:pPr>
      <w:r>
        <w:rPr>
          <w:b/>
          <w:bCs/>
          <w:color w:val="2E5496"/>
          <w:sz w:val="26"/>
          <w:szCs w:val="26"/>
        </w:rPr>
        <w:t xml:space="preserve">10.3 Configuration Matrix</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2400"/>
        <w:gridCol w:w="3480"/>
        <w:gridCol w:w="3480"/>
      </w:tblGrid>
      <w:tr>
        <w:trPr>
          <w:tblHeader/>
        </w:trPr>
        <w:tc>
          <w:tcPr>
            <w:tcW w:type="dxa" w:w="2400"/>
            <w:shd w:fill="1F3864" w:val="clear"/>
            <w:tcMar>
              <w:top w:type="dxa" w:w="60"/>
              <w:left w:type="dxa" w:w="90"/>
              <w:bottom w:type="dxa" w:w="60"/>
              <w:right w:type="dxa" w:w="90"/>
            </w:tcMar>
          </w:tcPr>
          <w:p>
            <w:r>
              <w:rPr>
                <w:b/>
                <w:bCs/>
                <w:color w:val="FFFFFF"/>
                <w:sz w:val="18"/>
                <w:szCs w:val="18"/>
              </w:rPr>
              <w:t xml:space="preserve">Setting</w:t>
            </w:r>
          </w:p>
        </w:tc>
        <w:tc>
          <w:tcPr>
            <w:tcW w:type="dxa" w:w="3480"/>
            <w:shd w:fill="1F3864" w:val="clear"/>
            <w:tcMar>
              <w:top w:type="dxa" w:w="60"/>
              <w:left w:type="dxa" w:w="90"/>
              <w:bottom w:type="dxa" w:w="60"/>
              <w:right w:type="dxa" w:w="90"/>
            </w:tcMar>
          </w:tcPr>
          <w:p>
            <w:r>
              <w:rPr>
                <w:b/>
                <w:bCs/>
                <w:color w:val="FFFFFF"/>
                <w:sz w:val="18"/>
                <w:szCs w:val="18"/>
              </w:rPr>
              <w:t xml:space="preserve">Local (synthetic)</w:t>
            </w:r>
          </w:p>
        </w:tc>
        <w:tc>
          <w:tcPr>
            <w:tcW w:type="dxa" w:w="3480"/>
            <w:shd w:fill="1F3864" w:val="clear"/>
            <w:tcMar>
              <w:top w:type="dxa" w:w="60"/>
              <w:left w:type="dxa" w:w="90"/>
              <w:bottom w:type="dxa" w:w="60"/>
              <w:right w:type="dxa" w:w="90"/>
            </w:tcMar>
          </w:tcPr>
          <w:p>
            <w:r>
              <w:rPr>
                <w:b/>
                <w:bCs/>
                <w:color w:val="FFFFFF"/>
                <w:sz w:val="18"/>
                <w:szCs w:val="18"/>
              </w:rPr>
              <w:t xml:space="preserve">Client Dev (live)</w:t>
            </w:r>
          </w:p>
        </w:tc>
      </w:tr>
      <w:tr>
        <w:tc>
          <w:tcPr>
            <w:tcW w:type="dxa" w:w="2400"/>
            <w:shd w:fill="FFFFFF" w:val="clear"/>
            <w:tcMar>
              <w:top w:type="dxa" w:w="50"/>
              <w:left w:type="dxa" w:w="90"/>
              <w:bottom w:type="dxa" w:w="50"/>
              <w:right w:type="dxa" w:w="90"/>
            </w:tcMar>
          </w:tcPr>
          <w:p>
            <w:pPr>
              <w:spacing w:after="20"/>
            </w:pPr>
            <w:r>
              <w:rPr>
                <w:sz w:val="17"/>
                <w:szCs w:val="17"/>
              </w:rPr>
              <w:t xml:space="preserve">DATA_MODE</w:t>
            </w:r>
          </w:p>
        </w:tc>
        <w:tc>
          <w:tcPr>
            <w:tcW w:type="dxa" w:w="3480"/>
            <w:shd w:fill="FFFFFF" w:val="clear"/>
            <w:tcMar>
              <w:top w:type="dxa" w:w="50"/>
              <w:left w:type="dxa" w:w="90"/>
              <w:bottom w:type="dxa" w:w="50"/>
              <w:right w:type="dxa" w:w="90"/>
            </w:tcMar>
          </w:tcPr>
          <w:p>
            <w:pPr>
              <w:spacing w:after="20"/>
            </w:pPr>
            <w:r>
              <w:rPr>
                <w:sz w:val="17"/>
                <w:szCs w:val="17"/>
              </w:rPr>
              <w:t xml:space="preserve">synthetic</w:t>
            </w:r>
          </w:p>
        </w:tc>
        <w:tc>
          <w:tcPr>
            <w:tcW w:type="dxa" w:w="3480"/>
            <w:shd w:fill="FFFFFF" w:val="clear"/>
            <w:tcMar>
              <w:top w:type="dxa" w:w="50"/>
              <w:left w:type="dxa" w:w="90"/>
              <w:bottom w:type="dxa" w:w="50"/>
              <w:right w:type="dxa" w:w="90"/>
            </w:tcMar>
          </w:tcPr>
          <w:p>
            <w:pPr>
              <w:spacing w:after="20"/>
            </w:pPr>
            <w:r>
              <w:rPr>
                <w:sz w:val="17"/>
                <w:szCs w:val="17"/>
              </w:rPr>
              <w:t xml:space="preserve">live</w:t>
            </w:r>
          </w:p>
        </w:tc>
      </w:tr>
      <w:tr>
        <w:tc>
          <w:tcPr>
            <w:tcW w:type="dxa" w:w="2400"/>
            <w:shd w:fill="EAF0FA" w:val="clear"/>
            <w:tcMar>
              <w:top w:type="dxa" w:w="50"/>
              <w:left w:type="dxa" w:w="90"/>
              <w:bottom w:type="dxa" w:w="50"/>
              <w:right w:type="dxa" w:w="90"/>
            </w:tcMar>
          </w:tcPr>
          <w:p>
            <w:pPr>
              <w:spacing w:after="20"/>
            </w:pPr>
            <w:r>
              <w:rPr>
                <w:sz w:val="17"/>
                <w:szCs w:val="17"/>
              </w:rPr>
              <w:t xml:space="preserve">Presto endpoint</w:t>
            </w:r>
          </w:p>
        </w:tc>
        <w:tc>
          <w:tcPr>
            <w:tcW w:type="dxa" w:w="3480"/>
            <w:shd w:fill="EAF0FA" w:val="clear"/>
            <w:tcMar>
              <w:top w:type="dxa" w:w="50"/>
              <w:left w:type="dxa" w:w="90"/>
              <w:bottom w:type="dxa" w:w="50"/>
              <w:right w:type="dxa" w:w="90"/>
            </w:tcMar>
          </w:tcPr>
          <w:p>
            <w:pPr>
              <w:spacing w:after="20"/>
            </w:pPr>
            <w:r>
              <w:rPr>
                <w:sz w:val="17"/>
                <w:szCs w:val="17"/>
              </w:rPr>
              <w:t xml:space="preserve">local presto container</w:t>
            </w:r>
          </w:p>
        </w:tc>
        <w:tc>
          <w:tcPr>
            <w:tcW w:type="dxa" w:w="3480"/>
            <w:shd w:fill="EAF0FA" w:val="clear"/>
            <w:tcMar>
              <w:top w:type="dxa" w:w="50"/>
              <w:left w:type="dxa" w:w="90"/>
              <w:bottom w:type="dxa" w:w="50"/>
              <w:right w:type="dxa" w:w="90"/>
            </w:tcMar>
          </w:tcPr>
          <w:p>
            <w:pPr>
              <w:spacing w:after="20"/>
            </w:pPr>
            <w:r>
              <w:rPr>
                <w:sz w:val="17"/>
                <w:szCs w:val="17"/>
              </w:rPr>
              <w:t xml:space="preserve">on-prem PrestoDB 0.297</w:t>
            </w:r>
          </w:p>
        </w:tc>
      </w:tr>
      <w:tr>
        <w:tc>
          <w:tcPr>
            <w:tcW w:type="dxa" w:w="2400"/>
            <w:shd w:fill="FFFFFF" w:val="clear"/>
            <w:tcMar>
              <w:top w:type="dxa" w:w="50"/>
              <w:left w:type="dxa" w:w="90"/>
              <w:bottom w:type="dxa" w:w="50"/>
              <w:right w:type="dxa" w:w="90"/>
            </w:tcMar>
          </w:tcPr>
          <w:p>
            <w:pPr>
              <w:spacing w:after="20"/>
            </w:pPr>
            <w:r>
              <w:rPr>
                <w:sz w:val="17"/>
                <w:szCs w:val="17"/>
              </w:rPr>
              <w:t xml:space="preserve">Operational DB2</w:t>
            </w:r>
          </w:p>
        </w:tc>
        <w:tc>
          <w:tcPr>
            <w:tcW w:type="dxa" w:w="3480"/>
            <w:shd w:fill="FFFFFF" w:val="clear"/>
            <w:tcMar>
              <w:top w:type="dxa" w:w="50"/>
              <w:left w:type="dxa" w:w="90"/>
              <w:bottom w:type="dxa" w:w="50"/>
              <w:right w:type="dxa" w:w="90"/>
            </w:tcMar>
          </w:tcPr>
          <w:p>
            <w:pPr>
              <w:spacing w:after="20"/>
            </w:pPr>
            <w:r>
              <w:rPr>
                <w:sz w:val="17"/>
                <w:szCs w:val="17"/>
              </w:rPr>
              <w:t xml:space="preserve">local db2 container</w:t>
            </w:r>
          </w:p>
        </w:tc>
        <w:tc>
          <w:tcPr>
            <w:tcW w:type="dxa" w:w="3480"/>
            <w:shd w:fill="FFFFFF" w:val="clear"/>
            <w:tcMar>
              <w:top w:type="dxa" w:w="50"/>
              <w:left w:type="dxa" w:w="90"/>
              <w:bottom w:type="dxa" w:w="50"/>
              <w:right w:type="dxa" w:w="90"/>
            </w:tcMar>
          </w:tcPr>
          <w:p>
            <w:pPr>
              <w:spacing w:after="20"/>
            </w:pPr>
            <w:r>
              <w:rPr>
                <w:sz w:val="17"/>
                <w:szCs w:val="17"/>
              </w:rPr>
              <w:t xml:space="preserve">on-prem DB2 (SRSE schema)</w:t>
            </w:r>
          </w:p>
        </w:tc>
      </w:tr>
      <w:tr>
        <w:tc>
          <w:tcPr>
            <w:tcW w:type="dxa" w:w="2400"/>
            <w:shd w:fill="EAF0FA" w:val="clear"/>
            <w:tcMar>
              <w:top w:type="dxa" w:w="50"/>
              <w:left w:type="dxa" w:w="90"/>
              <w:bottom w:type="dxa" w:w="50"/>
              <w:right w:type="dxa" w:w="90"/>
            </w:tcMar>
          </w:tcPr>
          <w:p>
            <w:pPr>
              <w:spacing w:after="20"/>
            </w:pPr>
            <w:r>
              <w:rPr>
                <w:sz w:val="17"/>
                <w:szCs w:val="17"/>
              </w:rPr>
              <w:t xml:space="preserve">Auth</w:t>
            </w:r>
          </w:p>
        </w:tc>
        <w:tc>
          <w:tcPr>
            <w:tcW w:type="dxa" w:w="3480"/>
            <w:shd w:fill="EAF0FA" w:val="clear"/>
            <w:tcMar>
              <w:top w:type="dxa" w:w="50"/>
              <w:left w:type="dxa" w:w="90"/>
              <w:bottom w:type="dxa" w:w="50"/>
              <w:right w:type="dxa" w:w="90"/>
            </w:tcMar>
          </w:tcPr>
          <w:p>
            <w:pPr>
              <w:spacing w:after="20"/>
            </w:pPr>
            <w:r>
              <w:rPr>
                <w:sz w:val="17"/>
                <w:szCs w:val="17"/>
              </w:rPr>
              <w:t xml:space="preserve">mock JWT issuer</w:t>
            </w:r>
          </w:p>
        </w:tc>
        <w:tc>
          <w:tcPr>
            <w:tcW w:type="dxa" w:w="3480"/>
            <w:shd w:fill="EAF0FA" w:val="clear"/>
            <w:tcMar>
              <w:top w:type="dxa" w:w="50"/>
              <w:left w:type="dxa" w:w="90"/>
              <w:bottom w:type="dxa" w:w="50"/>
              <w:right w:type="dxa" w:w="90"/>
            </w:tcMar>
          </w:tcPr>
          <w:p>
            <w:pPr>
              <w:spacing w:after="20"/>
            </w:pPr>
            <w:r>
              <w:rPr>
                <w:sz w:val="17"/>
                <w:szCs w:val="17"/>
              </w:rPr>
              <w:t xml:space="preserve">RajSewadwar SSO</w:t>
            </w:r>
          </w:p>
        </w:tc>
      </w:tr>
      <w:tr>
        <w:tc>
          <w:tcPr>
            <w:tcW w:type="dxa" w:w="2400"/>
            <w:shd w:fill="FFFFFF" w:val="clear"/>
            <w:tcMar>
              <w:top w:type="dxa" w:w="50"/>
              <w:left w:type="dxa" w:w="90"/>
              <w:bottom w:type="dxa" w:w="50"/>
              <w:right w:type="dxa" w:w="90"/>
            </w:tcMar>
          </w:tcPr>
          <w:p>
            <w:pPr>
              <w:spacing w:after="20"/>
            </w:pPr>
            <w:r>
              <w:rPr>
                <w:sz w:val="17"/>
                <w:szCs w:val="17"/>
              </w:rPr>
              <w:t xml:space="preserve">Field mapping</w:t>
            </w:r>
          </w:p>
        </w:tc>
        <w:tc>
          <w:tcPr>
            <w:tcW w:type="dxa" w:w="3480"/>
            <w:shd w:fill="FFFFFF" w:val="clear"/>
            <w:tcMar>
              <w:top w:type="dxa" w:w="50"/>
              <w:left w:type="dxa" w:w="90"/>
              <w:bottom w:type="dxa" w:w="50"/>
              <w:right w:type="dxa" w:w="90"/>
            </w:tcMar>
          </w:tcPr>
          <w:p>
            <w:pPr>
              <w:spacing w:after="20"/>
            </w:pPr>
            <w:r>
              <w:rPr>
                <w:sz w:val="17"/>
                <w:szCs w:val="17"/>
              </w:rPr>
              <w:t xml:space="preserve">synthetic columns</w:t>
            </w:r>
          </w:p>
        </w:tc>
        <w:tc>
          <w:tcPr>
            <w:tcW w:type="dxa" w:w="3480"/>
            <w:shd w:fill="FFFFFF" w:val="clear"/>
            <w:tcMar>
              <w:top w:type="dxa" w:w="50"/>
              <w:left w:type="dxa" w:w="90"/>
              <w:bottom w:type="dxa" w:w="50"/>
              <w:right w:type="dxa" w:w="90"/>
            </w:tcMar>
          </w:tcPr>
          <w:p>
            <w:pPr>
              <w:spacing w:after="20"/>
            </w:pPr>
            <w:r>
              <w:rPr>
                <w:sz w:val="17"/>
                <w:szCs w:val="17"/>
              </w:rPr>
              <w:t xml:space="preserve">real Golden Layer columns</w:t>
            </w:r>
          </w:p>
        </w:tc>
      </w:tr>
      <w:tr>
        <w:tc>
          <w:tcPr>
            <w:tcW w:type="dxa" w:w="2400"/>
            <w:shd w:fill="EAF0FA" w:val="clear"/>
            <w:tcMar>
              <w:top w:type="dxa" w:w="50"/>
              <w:left w:type="dxa" w:w="90"/>
              <w:bottom w:type="dxa" w:w="50"/>
              <w:right w:type="dxa" w:w="90"/>
            </w:tcMar>
          </w:tcPr>
          <w:p>
            <w:pPr>
              <w:spacing w:after="20"/>
            </w:pPr>
            <w:r>
              <w:rPr>
                <w:sz w:val="17"/>
                <w:szCs w:val="17"/>
              </w:rPr>
              <w:t xml:space="preserve">Credentials</w:t>
            </w:r>
          </w:p>
        </w:tc>
        <w:tc>
          <w:tcPr>
            <w:tcW w:type="dxa" w:w="3480"/>
            <w:shd w:fill="EAF0FA" w:val="clear"/>
            <w:tcMar>
              <w:top w:type="dxa" w:w="50"/>
              <w:left w:type="dxa" w:w="90"/>
              <w:bottom w:type="dxa" w:w="50"/>
              <w:right w:type="dxa" w:w="90"/>
            </w:tcMar>
          </w:tcPr>
          <w:p>
            <w:pPr>
              <w:spacing w:after="20"/>
            </w:pPr>
            <w:r>
              <w:rPr>
                <w:sz w:val="17"/>
                <w:szCs w:val="17"/>
              </w:rPr>
              <w:t xml:space="preserve">none / dummy</w:t>
            </w:r>
          </w:p>
        </w:tc>
        <w:tc>
          <w:tcPr>
            <w:tcW w:type="dxa" w:w="3480"/>
            <w:shd w:fill="EAF0FA" w:val="clear"/>
            <w:tcMar>
              <w:top w:type="dxa" w:w="50"/>
              <w:left w:type="dxa" w:w="90"/>
              <w:bottom w:type="dxa" w:w="50"/>
              <w:right w:type="dxa" w:w="90"/>
            </w:tcMar>
          </w:tcPr>
          <w:p>
            <w:pPr>
              <w:spacing w:after="20"/>
            </w:pPr>
            <w:r>
              <w:rPr>
                <w:sz w:val="17"/>
                <w:szCs w:val="17"/>
              </w:rPr>
              <w:t xml:space="preserve">injected via secrets</w:t>
            </w:r>
          </w:p>
        </w:tc>
      </w:tr>
    </w:tbl>
    <w:p>
      <w:r>
        <w:br w:type="page"/>
      </w:r>
    </w:p>
    <w:p>
      <w:pPr>
        <w:pStyle w:val="Heading1"/>
        <w:spacing w:after="160" w:before="320"/>
      </w:pPr>
      <w:r>
        <w:rPr>
          <w:b/>
          <w:bCs/>
          <w:color w:val="1F3864"/>
          <w:sz w:val="30"/>
          <w:szCs w:val="30"/>
        </w:rPr>
        <w:t xml:space="preserve">11. Implementation Plan</w:t>
      </w:r>
    </w:p>
    <w:p>
      <w:pPr>
        <w:pStyle w:val="Heading2"/>
        <w:spacing w:after="120" w:before="240"/>
      </w:pPr>
      <w:r>
        <w:rPr>
          <w:b/>
          <w:bCs/>
          <w:color w:val="2E5496"/>
          <w:sz w:val="26"/>
          <w:szCs w:val="26"/>
        </w:rPr>
        <w:t xml:space="preserve">11.1 Work Breakdown — CP4BA vs Manual, with Claude+Cursor Applicability</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2900"/>
        <w:gridCol w:w="1850"/>
        <w:gridCol w:w="1300"/>
        <w:gridCol w:w="3310"/>
      </w:tblGrid>
      <w:tr>
        <w:trPr>
          <w:tblHeader/>
        </w:trPr>
        <w:tc>
          <w:tcPr>
            <w:tcW w:type="dxa" w:w="2900"/>
            <w:shd w:fill="1F3864" w:val="clear"/>
            <w:tcMar>
              <w:top w:type="dxa" w:w="60"/>
              <w:left w:type="dxa" w:w="90"/>
              <w:bottom w:type="dxa" w:w="60"/>
              <w:right w:type="dxa" w:w="90"/>
            </w:tcMar>
          </w:tcPr>
          <w:p>
            <w:r>
              <w:rPr>
                <w:b/>
                <w:bCs/>
                <w:color w:val="FFFFFF"/>
                <w:sz w:val="18"/>
                <w:szCs w:val="18"/>
              </w:rPr>
              <w:t xml:space="preserve">Activity</w:t>
            </w:r>
          </w:p>
        </w:tc>
        <w:tc>
          <w:tcPr>
            <w:tcW w:type="dxa" w:w="1850"/>
            <w:shd w:fill="1F3864" w:val="clear"/>
            <w:tcMar>
              <w:top w:type="dxa" w:w="60"/>
              <w:left w:type="dxa" w:w="90"/>
              <w:bottom w:type="dxa" w:w="60"/>
              <w:right w:type="dxa" w:w="90"/>
            </w:tcMar>
          </w:tcPr>
          <w:p>
            <w:r>
              <w:rPr>
                <w:b/>
                <w:bCs/>
                <w:color w:val="FFFFFF"/>
                <w:sz w:val="18"/>
                <w:szCs w:val="18"/>
              </w:rPr>
              <w:t xml:space="preserve">Build approach</w:t>
            </w:r>
          </w:p>
        </w:tc>
        <w:tc>
          <w:tcPr>
            <w:tcW w:type="dxa" w:w="1300"/>
            <w:shd w:fill="1F3864" w:val="clear"/>
            <w:tcMar>
              <w:top w:type="dxa" w:w="60"/>
              <w:left w:type="dxa" w:w="90"/>
              <w:bottom w:type="dxa" w:w="60"/>
              <w:right w:type="dxa" w:w="90"/>
            </w:tcMar>
          </w:tcPr>
          <w:p>
            <w:r>
              <w:rPr>
                <w:b/>
                <w:bCs/>
                <w:color w:val="FFFFFF"/>
                <w:sz w:val="18"/>
                <w:szCs w:val="18"/>
              </w:rPr>
              <w:t xml:space="preserve">Claude+Cursor</w:t>
            </w:r>
          </w:p>
        </w:tc>
        <w:tc>
          <w:tcPr>
            <w:tcW w:type="dxa" w:w="3310"/>
            <w:shd w:fill="1F3864" w:val="clear"/>
            <w:tcMar>
              <w:top w:type="dxa" w:w="60"/>
              <w:left w:type="dxa" w:w="90"/>
              <w:bottom w:type="dxa" w:w="60"/>
              <w:right w:type="dxa" w:w="90"/>
            </w:tcMar>
          </w:tcPr>
          <w:p>
            <w:r>
              <w:rPr>
                <w:b/>
                <w:bCs/>
                <w:color w:val="FFFFFF"/>
                <w:sz w:val="18"/>
                <w:szCs w:val="18"/>
              </w:rPr>
              <w:t xml:space="preserve">How Claude+Cursor helps</w:t>
            </w:r>
          </w:p>
        </w:tc>
      </w:tr>
      <w:tr>
        <w:tc>
          <w:tcPr>
            <w:tcW w:type="dxa" w:w="2900"/>
            <w:shd w:fill="FFFFFF" w:val="clear"/>
            <w:tcMar>
              <w:top w:type="dxa" w:w="50"/>
              <w:left w:type="dxa" w:w="90"/>
              <w:bottom w:type="dxa" w:w="50"/>
              <w:right w:type="dxa" w:w="90"/>
            </w:tcMar>
          </w:tcPr>
          <w:p>
            <w:pPr>
              <w:spacing w:after="20"/>
            </w:pPr>
            <w:r>
              <w:rPr>
                <w:sz w:val="17"/>
                <w:szCs w:val="17"/>
              </w:rPr>
              <w:t xml:space="preserve">Rule AST + compiler (Presto, Java 17)</w:t>
            </w:r>
          </w:p>
        </w:tc>
        <w:tc>
          <w:tcPr>
            <w:tcW w:type="dxa" w:w="1850"/>
            <w:shd w:fill="FFFFFF" w:val="clear"/>
            <w:tcMar>
              <w:top w:type="dxa" w:w="50"/>
              <w:left w:type="dxa" w:w="90"/>
              <w:bottom w:type="dxa" w:w="50"/>
              <w:right w:type="dxa" w:w="90"/>
            </w:tcMar>
          </w:tcPr>
          <w:p>
            <w:pPr>
              <w:spacing w:after="20"/>
            </w:pPr>
            <w:r>
              <w:rPr>
                <w:sz w:val="17"/>
                <w:szCs w:val="17"/>
              </w:rPr>
              <w:t xml:space="preserve">Manual (core)</w:t>
            </w:r>
          </w:p>
        </w:tc>
        <w:tc>
          <w:tcPr>
            <w:tcW w:type="dxa" w:w="1300"/>
            <w:shd w:fill="FFFFFF" w:val="clear"/>
            <w:tcMar>
              <w:top w:type="dxa" w:w="50"/>
              <w:left w:type="dxa" w:w="90"/>
              <w:bottom w:type="dxa" w:w="50"/>
              <w:right w:type="dxa" w:w="90"/>
            </w:tcMar>
          </w:tcPr>
          <w:p>
            <w:pPr>
              <w:spacing w:after="20"/>
            </w:pPr>
            <w:r>
              <w:rPr>
                <w:sz w:val="17"/>
                <w:szCs w:val="17"/>
              </w:rPr>
              <w:t xml:space="preserve">Yes — primary</w:t>
            </w:r>
          </w:p>
        </w:tc>
        <w:tc>
          <w:tcPr>
            <w:tcW w:type="dxa" w:w="3310"/>
            <w:shd w:fill="FFFFFF" w:val="clear"/>
            <w:tcMar>
              <w:top w:type="dxa" w:w="50"/>
              <w:left w:type="dxa" w:w="90"/>
              <w:bottom w:type="dxa" w:w="50"/>
              <w:right w:type="dxa" w:w="90"/>
            </w:tcMar>
          </w:tcPr>
          <w:p>
            <w:pPr>
              <w:spacing w:after="20"/>
            </w:pPr>
            <w:r>
              <w:rPr>
                <w:sz w:val="17"/>
                <w:szCs w:val="17"/>
              </w:rPr>
              <w:t xml:space="preserve">Design AST (records/sealed) + operator emitter; Cursor implements &amp; unit-tests.</w:t>
            </w:r>
          </w:p>
        </w:tc>
      </w:tr>
      <w:tr>
        <w:tc>
          <w:tcPr>
            <w:tcW w:type="dxa" w:w="2900"/>
            <w:shd w:fill="EAF0FA" w:val="clear"/>
            <w:tcMar>
              <w:top w:type="dxa" w:w="50"/>
              <w:left w:type="dxa" w:w="90"/>
              <w:bottom w:type="dxa" w:w="50"/>
              <w:right w:type="dxa" w:w="90"/>
            </w:tcMar>
          </w:tcPr>
          <w:p>
            <w:pPr>
              <w:spacing w:after="20"/>
            </w:pPr>
            <w:r>
              <w:rPr>
                <w:sz w:val="17"/>
                <w:szCs w:val="17"/>
              </w:rPr>
              <w:t xml:space="preserve">Execution service (JdbcTemplate) + guardrails</w:t>
            </w:r>
          </w:p>
        </w:tc>
        <w:tc>
          <w:tcPr>
            <w:tcW w:type="dxa" w:w="1850"/>
            <w:shd w:fill="EAF0FA" w:val="clear"/>
            <w:tcMar>
              <w:top w:type="dxa" w:w="50"/>
              <w:left w:type="dxa" w:w="90"/>
              <w:bottom w:type="dxa" w:w="50"/>
              <w:right w:type="dxa" w:w="90"/>
            </w:tcMar>
          </w:tcPr>
          <w:p>
            <w:pPr>
              <w:spacing w:after="20"/>
            </w:pPr>
            <w:r>
              <w:rPr>
                <w:sz w:val="17"/>
                <w:szCs w:val="17"/>
              </w:rPr>
              <w:t xml:space="preserve">Manual</w:t>
            </w:r>
          </w:p>
        </w:tc>
        <w:tc>
          <w:tcPr>
            <w:tcW w:type="dxa" w:w="1300"/>
            <w:shd w:fill="EAF0FA" w:val="clear"/>
            <w:tcMar>
              <w:top w:type="dxa" w:w="50"/>
              <w:left w:type="dxa" w:w="90"/>
              <w:bottom w:type="dxa" w:w="50"/>
              <w:right w:type="dxa" w:w="90"/>
            </w:tcMar>
          </w:tcPr>
          <w:p>
            <w:pPr>
              <w:spacing w:after="20"/>
            </w:pPr>
            <w:r>
              <w:rPr>
                <w:sz w:val="17"/>
                <w:szCs w:val="17"/>
              </w:rPr>
              <w:t xml:space="preserve">Yes</w:t>
            </w:r>
          </w:p>
        </w:tc>
        <w:tc>
          <w:tcPr>
            <w:tcW w:type="dxa" w:w="3310"/>
            <w:shd w:fill="EAF0FA" w:val="clear"/>
            <w:tcMar>
              <w:top w:type="dxa" w:w="50"/>
              <w:left w:type="dxa" w:w="90"/>
              <w:bottom w:type="dxa" w:w="50"/>
              <w:right w:type="dxa" w:w="90"/>
            </w:tcMar>
          </w:tcPr>
          <w:p>
            <w:pPr>
              <w:spacing w:after="20"/>
            </w:pPr>
            <w:r>
              <w:rPr>
                <w:sz w:val="17"/>
                <w:szCs w:val="17"/>
              </w:rPr>
              <w:t xml:space="preserve">Query strategy; Presto DataSource wiring; data-access layer.</w:t>
            </w:r>
          </w:p>
        </w:tc>
      </w:tr>
      <w:tr>
        <w:tc>
          <w:tcPr>
            <w:tcW w:type="dxa" w:w="2900"/>
            <w:shd w:fill="FFFFFF" w:val="clear"/>
            <w:tcMar>
              <w:top w:type="dxa" w:w="50"/>
              <w:left w:type="dxa" w:w="90"/>
              <w:bottom w:type="dxa" w:w="50"/>
              <w:right w:type="dxa" w:w="90"/>
            </w:tcMar>
          </w:tcPr>
          <w:p>
            <w:pPr>
              <w:spacing w:after="20"/>
            </w:pPr>
            <w:r>
              <w:rPr>
                <w:sz w:val="17"/>
                <w:szCs w:val="17"/>
              </w:rPr>
              <w:t xml:space="preserve">Metadata / mapping service (JPA + Caffeine)</w:t>
            </w:r>
          </w:p>
        </w:tc>
        <w:tc>
          <w:tcPr>
            <w:tcW w:type="dxa" w:w="1850"/>
            <w:shd w:fill="FFFFFF" w:val="clear"/>
            <w:tcMar>
              <w:top w:type="dxa" w:w="50"/>
              <w:left w:type="dxa" w:w="90"/>
              <w:bottom w:type="dxa" w:w="50"/>
              <w:right w:type="dxa" w:w="90"/>
            </w:tcMar>
          </w:tcPr>
          <w:p>
            <w:pPr>
              <w:spacing w:after="20"/>
            </w:pPr>
            <w:r>
              <w:rPr>
                <w:sz w:val="17"/>
                <w:szCs w:val="17"/>
              </w:rPr>
              <w:t xml:space="preserve">Manual</w:t>
            </w:r>
          </w:p>
        </w:tc>
        <w:tc>
          <w:tcPr>
            <w:tcW w:type="dxa" w:w="1300"/>
            <w:shd w:fill="FFFFFF" w:val="clear"/>
            <w:tcMar>
              <w:top w:type="dxa" w:w="50"/>
              <w:left w:type="dxa" w:w="90"/>
              <w:bottom w:type="dxa" w:w="50"/>
              <w:right w:type="dxa" w:w="90"/>
            </w:tcMar>
          </w:tcPr>
          <w:p>
            <w:pPr>
              <w:spacing w:after="20"/>
            </w:pPr>
            <w:r>
              <w:rPr>
                <w:sz w:val="17"/>
                <w:szCs w:val="17"/>
              </w:rPr>
              <w:t xml:space="preserve">Yes</w:t>
            </w:r>
          </w:p>
        </w:tc>
        <w:tc>
          <w:tcPr>
            <w:tcW w:type="dxa" w:w="3310"/>
            <w:shd w:fill="FFFFFF" w:val="clear"/>
            <w:tcMar>
              <w:top w:type="dxa" w:w="50"/>
              <w:left w:type="dxa" w:w="90"/>
              <w:bottom w:type="dxa" w:w="50"/>
              <w:right w:type="dxa" w:w="90"/>
            </w:tcMar>
          </w:tcPr>
          <w:p>
            <w:pPr>
              <w:spacing w:after="20"/>
            </w:pPr>
            <w:r>
              <w:rPr>
                <w:sz w:val="17"/>
                <w:szCs w:val="17"/>
              </w:rPr>
              <w:t xml:space="preserve">Schema design; CRUD + admin API; cache config.</w:t>
            </w:r>
          </w:p>
        </w:tc>
      </w:tr>
      <w:tr>
        <w:tc>
          <w:tcPr>
            <w:tcW w:type="dxa" w:w="2900"/>
            <w:shd w:fill="EAF0FA" w:val="clear"/>
            <w:tcMar>
              <w:top w:type="dxa" w:w="50"/>
              <w:left w:type="dxa" w:w="90"/>
              <w:bottom w:type="dxa" w:w="50"/>
              <w:right w:type="dxa" w:w="90"/>
            </w:tcMar>
          </w:tcPr>
          <w:p>
            <w:pPr>
              <w:spacing w:after="20"/>
            </w:pPr>
            <w:r>
              <w:rPr>
                <w:sz w:val="17"/>
                <w:szCs w:val="17"/>
              </w:rPr>
              <w:t xml:space="preserve">Scenario store &amp; comparison (JPA)</w:t>
            </w:r>
          </w:p>
        </w:tc>
        <w:tc>
          <w:tcPr>
            <w:tcW w:type="dxa" w:w="1850"/>
            <w:shd w:fill="EAF0FA" w:val="clear"/>
            <w:tcMar>
              <w:top w:type="dxa" w:w="50"/>
              <w:left w:type="dxa" w:w="90"/>
              <w:bottom w:type="dxa" w:w="50"/>
              <w:right w:type="dxa" w:w="90"/>
            </w:tcMar>
          </w:tcPr>
          <w:p>
            <w:pPr>
              <w:spacing w:after="20"/>
            </w:pPr>
            <w:r>
              <w:rPr>
                <w:sz w:val="17"/>
                <w:szCs w:val="17"/>
              </w:rPr>
              <w:t xml:space="preserve">Manual</w:t>
            </w:r>
          </w:p>
        </w:tc>
        <w:tc>
          <w:tcPr>
            <w:tcW w:type="dxa" w:w="1300"/>
            <w:shd w:fill="EAF0FA" w:val="clear"/>
            <w:tcMar>
              <w:top w:type="dxa" w:w="50"/>
              <w:left w:type="dxa" w:w="90"/>
              <w:bottom w:type="dxa" w:w="50"/>
              <w:right w:type="dxa" w:w="90"/>
            </w:tcMar>
          </w:tcPr>
          <w:p>
            <w:pPr>
              <w:spacing w:after="20"/>
            </w:pPr>
            <w:r>
              <w:rPr>
                <w:sz w:val="17"/>
                <w:szCs w:val="17"/>
              </w:rPr>
              <w:t xml:space="preserve">Yes</w:t>
            </w:r>
          </w:p>
        </w:tc>
        <w:tc>
          <w:tcPr>
            <w:tcW w:type="dxa" w:w="3310"/>
            <w:shd w:fill="EAF0FA" w:val="clear"/>
            <w:tcMar>
              <w:top w:type="dxa" w:w="50"/>
              <w:left w:type="dxa" w:w="90"/>
              <w:bottom w:type="dxa" w:w="50"/>
              <w:right w:type="dxa" w:w="90"/>
            </w:tcMar>
          </w:tcPr>
          <w:p>
            <w:pPr>
              <w:spacing w:after="20"/>
            </w:pPr>
            <w:r>
              <w:rPr>
                <w:sz w:val="17"/>
                <w:szCs w:val="17"/>
              </w:rPr>
              <w:t xml:space="preserve">Entity design; compare logic + API.</w:t>
            </w:r>
          </w:p>
        </w:tc>
      </w:tr>
      <w:tr>
        <w:tc>
          <w:tcPr>
            <w:tcW w:type="dxa" w:w="2900"/>
            <w:shd w:fill="FFFFFF" w:val="clear"/>
            <w:tcMar>
              <w:top w:type="dxa" w:w="50"/>
              <w:left w:type="dxa" w:w="90"/>
              <w:bottom w:type="dxa" w:w="50"/>
              <w:right w:type="dxa" w:w="90"/>
            </w:tcMar>
          </w:tcPr>
          <w:p>
            <w:pPr>
              <w:spacing w:after="20"/>
            </w:pPr>
            <w:r>
              <w:rPr>
                <w:sz w:val="17"/>
                <w:szCs w:val="17"/>
              </w:rPr>
              <w:t xml:space="preserve">Next.js rule builder + thresholds</w:t>
            </w:r>
          </w:p>
        </w:tc>
        <w:tc>
          <w:tcPr>
            <w:tcW w:type="dxa" w:w="1850"/>
            <w:shd w:fill="FFFFFF" w:val="clear"/>
            <w:tcMar>
              <w:top w:type="dxa" w:w="50"/>
              <w:left w:type="dxa" w:w="90"/>
              <w:bottom w:type="dxa" w:w="50"/>
              <w:right w:type="dxa" w:w="90"/>
            </w:tcMar>
          </w:tcPr>
          <w:p>
            <w:pPr>
              <w:spacing w:after="20"/>
            </w:pPr>
            <w:r>
              <w:rPr>
                <w:sz w:val="17"/>
                <w:szCs w:val="17"/>
              </w:rPr>
              <w:t xml:space="preserve">Manual</w:t>
            </w:r>
          </w:p>
        </w:tc>
        <w:tc>
          <w:tcPr>
            <w:tcW w:type="dxa" w:w="1300"/>
            <w:shd w:fill="FFFFFF" w:val="clear"/>
            <w:tcMar>
              <w:top w:type="dxa" w:w="50"/>
              <w:left w:type="dxa" w:w="90"/>
              <w:bottom w:type="dxa" w:w="50"/>
              <w:right w:type="dxa" w:w="90"/>
            </w:tcMar>
          </w:tcPr>
          <w:p>
            <w:pPr>
              <w:spacing w:after="20"/>
            </w:pPr>
            <w:r>
              <w:rPr>
                <w:sz w:val="17"/>
                <w:szCs w:val="17"/>
              </w:rPr>
              <w:t xml:space="preserve">Yes</w:t>
            </w:r>
          </w:p>
        </w:tc>
        <w:tc>
          <w:tcPr>
            <w:tcW w:type="dxa" w:w="3310"/>
            <w:shd w:fill="FFFFFF" w:val="clear"/>
            <w:tcMar>
              <w:top w:type="dxa" w:w="50"/>
              <w:left w:type="dxa" w:w="90"/>
              <w:bottom w:type="dxa" w:w="50"/>
              <w:right w:type="dxa" w:w="90"/>
            </w:tcMar>
          </w:tcPr>
          <w:p>
            <w:pPr>
              <w:spacing w:after="20"/>
            </w:pPr>
            <w:r>
              <w:rPr>
                <w:sz w:val="17"/>
                <w:szCs w:val="17"/>
              </w:rPr>
              <w:t xml:space="preserve">Component design; Zustand state; full UI.</w:t>
            </w:r>
          </w:p>
        </w:tc>
      </w:tr>
      <w:tr>
        <w:tc>
          <w:tcPr>
            <w:tcW w:type="dxa" w:w="2900"/>
            <w:shd w:fill="EAF0FA" w:val="clear"/>
            <w:tcMar>
              <w:top w:type="dxa" w:w="50"/>
              <w:left w:type="dxa" w:w="90"/>
              <w:bottom w:type="dxa" w:w="50"/>
              <w:right w:type="dxa" w:w="90"/>
            </w:tcMar>
          </w:tcPr>
          <w:p>
            <w:pPr>
              <w:spacing w:after="20"/>
            </w:pPr>
            <w:r>
              <w:rPr>
                <w:sz w:val="17"/>
                <w:szCs w:val="17"/>
              </w:rPr>
              <w:t xml:space="preserve">Results/compare (Recharts, TanStack)</w:t>
            </w:r>
          </w:p>
        </w:tc>
        <w:tc>
          <w:tcPr>
            <w:tcW w:type="dxa" w:w="1850"/>
            <w:shd w:fill="EAF0FA" w:val="clear"/>
            <w:tcMar>
              <w:top w:type="dxa" w:w="50"/>
              <w:left w:type="dxa" w:w="90"/>
              <w:bottom w:type="dxa" w:w="50"/>
              <w:right w:type="dxa" w:w="90"/>
            </w:tcMar>
          </w:tcPr>
          <w:p>
            <w:pPr>
              <w:spacing w:after="20"/>
            </w:pPr>
            <w:r>
              <w:rPr>
                <w:sz w:val="17"/>
                <w:szCs w:val="17"/>
              </w:rPr>
              <w:t xml:space="preserve">Manual</w:t>
            </w:r>
          </w:p>
        </w:tc>
        <w:tc>
          <w:tcPr>
            <w:tcW w:type="dxa" w:w="1300"/>
            <w:shd w:fill="EAF0FA" w:val="clear"/>
            <w:tcMar>
              <w:top w:type="dxa" w:w="50"/>
              <w:left w:type="dxa" w:w="90"/>
              <w:bottom w:type="dxa" w:w="50"/>
              <w:right w:type="dxa" w:w="90"/>
            </w:tcMar>
          </w:tcPr>
          <w:p>
            <w:pPr>
              <w:spacing w:after="20"/>
            </w:pPr>
            <w:r>
              <w:rPr>
                <w:sz w:val="17"/>
                <w:szCs w:val="17"/>
              </w:rPr>
              <w:t xml:space="preserve">Yes</w:t>
            </w:r>
          </w:p>
        </w:tc>
        <w:tc>
          <w:tcPr>
            <w:tcW w:type="dxa" w:w="3310"/>
            <w:shd w:fill="EAF0FA" w:val="clear"/>
            <w:tcMar>
              <w:top w:type="dxa" w:w="50"/>
              <w:left w:type="dxa" w:w="90"/>
              <w:bottom w:type="dxa" w:w="50"/>
              <w:right w:type="dxa" w:w="90"/>
            </w:tcMar>
          </w:tcPr>
          <w:p>
            <w:pPr>
              <w:spacing w:after="20"/>
            </w:pPr>
            <w:r>
              <w:rPr>
                <w:sz w:val="17"/>
                <w:szCs w:val="17"/>
              </w:rPr>
              <w:t xml:space="preserve">Chart + table implementation.</w:t>
            </w:r>
          </w:p>
        </w:tc>
      </w:tr>
      <w:tr>
        <w:tc>
          <w:tcPr>
            <w:tcW w:type="dxa" w:w="2900"/>
            <w:shd w:fill="FFFFFF" w:val="clear"/>
            <w:tcMar>
              <w:top w:type="dxa" w:w="50"/>
              <w:left w:type="dxa" w:w="90"/>
              <w:bottom w:type="dxa" w:w="50"/>
              <w:right w:type="dxa" w:w="90"/>
            </w:tcMar>
          </w:tcPr>
          <w:p>
            <w:pPr>
              <w:spacing w:after="20"/>
            </w:pPr>
            <w:r>
              <w:rPr>
                <w:sz w:val="17"/>
                <w:szCs w:val="17"/>
              </w:rPr>
              <w:t xml:space="preserve">Admin mapping/connection screens</w:t>
            </w:r>
          </w:p>
        </w:tc>
        <w:tc>
          <w:tcPr>
            <w:tcW w:type="dxa" w:w="1850"/>
            <w:shd w:fill="FFFFFF" w:val="clear"/>
            <w:tcMar>
              <w:top w:type="dxa" w:w="50"/>
              <w:left w:type="dxa" w:w="90"/>
              <w:bottom w:type="dxa" w:w="50"/>
              <w:right w:type="dxa" w:w="90"/>
            </w:tcMar>
          </w:tcPr>
          <w:p>
            <w:pPr>
              <w:spacing w:after="20"/>
            </w:pPr>
            <w:r>
              <w:rPr>
                <w:sz w:val="17"/>
                <w:szCs w:val="17"/>
              </w:rPr>
              <w:t xml:space="preserve">Manual</w:t>
            </w:r>
          </w:p>
        </w:tc>
        <w:tc>
          <w:tcPr>
            <w:tcW w:type="dxa" w:w="1300"/>
            <w:shd w:fill="FFFFFF" w:val="clear"/>
            <w:tcMar>
              <w:top w:type="dxa" w:w="50"/>
              <w:left w:type="dxa" w:w="90"/>
              <w:bottom w:type="dxa" w:w="50"/>
              <w:right w:type="dxa" w:w="90"/>
            </w:tcMar>
          </w:tcPr>
          <w:p>
            <w:pPr>
              <w:spacing w:after="20"/>
            </w:pPr>
            <w:r>
              <w:rPr>
                <w:sz w:val="17"/>
                <w:szCs w:val="17"/>
              </w:rPr>
              <w:t xml:space="preserve">Yes</w:t>
            </w:r>
          </w:p>
        </w:tc>
        <w:tc>
          <w:tcPr>
            <w:tcW w:type="dxa" w:w="3310"/>
            <w:shd w:fill="FFFFFF" w:val="clear"/>
            <w:tcMar>
              <w:top w:type="dxa" w:w="50"/>
              <w:left w:type="dxa" w:w="90"/>
              <w:bottom w:type="dxa" w:w="50"/>
              <w:right w:type="dxa" w:w="90"/>
            </w:tcMar>
          </w:tcPr>
          <w:p>
            <w:pPr>
              <w:spacing w:after="20"/>
            </w:pPr>
            <w:r>
              <w:rPr>
                <w:sz w:val="17"/>
                <w:szCs w:val="17"/>
              </w:rPr>
              <w:t xml:space="preserve">Form + validation implementation.</w:t>
            </w:r>
          </w:p>
        </w:tc>
      </w:tr>
      <w:tr>
        <w:tc>
          <w:tcPr>
            <w:tcW w:type="dxa" w:w="2900"/>
            <w:shd w:fill="EAF0FA" w:val="clear"/>
            <w:tcMar>
              <w:top w:type="dxa" w:w="50"/>
              <w:left w:type="dxa" w:w="90"/>
              <w:bottom w:type="dxa" w:w="50"/>
              <w:right w:type="dxa" w:w="90"/>
            </w:tcMar>
          </w:tcPr>
          <w:p>
            <w:pPr>
              <w:spacing w:after="20"/>
            </w:pPr>
            <w:r>
              <w:rPr>
                <w:sz w:val="17"/>
                <w:szCs w:val="17"/>
              </w:rPr>
              <w:t xml:space="preserve">Synthetic data generator + Iceberg seed</w:t>
            </w:r>
          </w:p>
        </w:tc>
        <w:tc>
          <w:tcPr>
            <w:tcW w:type="dxa" w:w="1850"/>
            <w:shd w:fill="EAF0FA" w:val="clear"/>
            <w:tcMar>
              <w:top w:type="dxa" w:w="50"/>
              <w:left w:type="dxa" w:w="90"/>
              <w:bottom w:type="dxa" w:w="50"/>
              <w:right w:type="dxa" w:w="90"/>
            </w:tcMar>
          </w:tcPr>
          <w:p>
            <w:pPr>
              <w:spacing w:after="20"/>
            </w:pPr>
            <w:r>
              <w:rPr>
                <w:sz w:val="17"/>
                <w:szCs w:val="17"/>
              </w:rPr>
              <w:t xml:space="preserve">Manual</w:t>
            </w:r>
          </w:p>
        </w:tc>
        <w:tc>
          <w:tcPr>
            <w:tcW w:type="dxa" w:w="1300"/>
            <w:shd w:fill="EAF0FA" w:val="clear"/>
            <w:tcMar>
              <w:top w:type="dxa" w:w="50"/>
              <w:left w:type="dxa" w:w="90"/>
              <w:bottom w:type="dxa" w:w="50"/>
              <w:right w:type="dxa" w:w="90"/>
            </w:tcMar>
          </w:tcPr>
          <w:p>
            <w:pPr>
              <w:spacing w:after="20"/>
            </w:pPr>
            <w:r>
              <w:rPr>
                <w:sz w:val="17"/>
                <w:szCs w:val="17"/>
              </w:rPr>
              <w:t xml:space="preserve">Yes</w:t>
            </w:r>
          </w:p>
        </w:tc>
        <w:tc>
          <w:tcPr>
            <w:tcW w:type="dxa" w:w="3310"/>
            <w:shd w:fill="EAF0FA" w:val="clear"/>
            <w:tcMar>
              <w:top w:type="dxa" w:w="50"/>
              <w:left w:type="dxa" w:w="90"/>
              <w:bottom w:type="dxa" w:w="50"/>
              <w:right w:type="dxa" w:w="90"/>
            </w:tcMar>
          </w:tcPr>
          <w:p>
            <w:pPr>
              <w:spacing w:after="20"/>
            </w:pPr>
            <w:r>
              <w:rPr>
                <w:sz w:val="17"/>
                <w:szCs w:val="17"/>
              </w:rPr>
              <w:t xml:space="preserve">Jan Aadhaar-shaped generator; seed job.</w:t>
            </w:r>
          </w:p>
        </w:tc>
      </w:tr>
      <w:tr>
        <w:tc>
          <w:tcPr>
            <w:tcW w:type="dxa" w:w="2900"/>
            <w:shd w:fill="FFFFFF" w:val="clear"/>
            <w:tcMar>
              <w:top w:type="dxa" w:w="50"/>
              <w:left w:type="dxa" w:w="90"/>
              <w:bottom w:type="dxa" w:w="50"/>
              <w:right w:type="dxa" w:w="90"/>
            </w:tcMar>
          </w:tcPr>
          <w:p>
            <w:pPr>
              <w:spacing w:after="20"/>
            </w:pPr>
            <w:r>
              <w:rPr>
                <w:sz w:val="17"/>
                <w:szCs w:val="17"/>
              </w:rPr>
              <w:t xml:space="preserve">Docker Compose (2 app + Presto/Iceberg/MinIO/DB2)</w:t>
            </w:r>
          </w:p>
        </w:tc>
        <w:tc>
          <w:tcPr>
            <w:tcW w:type="dxa" w:w="1850"/>
            <w:shd w:fill="FFFFFF" w:val="clear"/>
            <w:tcMar>
              <w:top w:type="dxa" w:w="50"/>
              <w:left w:type="dxa" w:w="90"/>
              <w:bottom w:type="dxa" w:w="50"/>
              <w:right w:type="dxa" w:w="90"/>
            </w:tcMar>
          </w:tcPr>
          <w:p>
            <w:pPr>
              <w:spacing w:after="20"/>
            </w:pPr>
            <w:r>
              <w:rPr>
                <w:sz w:val="17"/>
                <w:szCs w:val="17"/>
              </w:rPr>
              <w:t xml:space="preserve">Manual</w:t>
            </w:r>
          </w:p>
        </w:tc>
        <w:tc>
          <w:tcPr>
            <w:tcW w:type="dxa" w:w="1300"/>
            <w:shd w:fill="FFFFFF" w:val="clear"/>
            <w:tcMar>
              <w:top w:type="dxa" w:w="50"/>
              <w:left w:type="dxa" w:w="90"/>
              <w:bottom w:type="dxa" w:w="50"/>
              <w:right w:type="dxa" w:w="90"/>
            </w:tcMar>
          </w:tcPr>
          <w:p>
            <w:pPr>
              <w:spacing w:after="20"/>
            </w:pPr>
            <w:r>
              <w:rPr>
                <w:sz w:val="17"/>
                <w:szCs w:val="17"/>
              </w:rPr>
              <w:t xml:space="preserve">Partial</w:t>
            </w:r>
          </w:p>
        </w:tc>
        <w:tc>
          <w:tcPr>
            <w:tcW w:type="dxa" w:w="3310"/>
            <w:shd w:fill="FFFFFF" w:val="clear"/>
            <w:tcMar>
              <w:top w:type="dxa" w:w="50"/>
              <w:left w:type="dxa" w:w="90"/>
              <w:bottom w:type="dxa" w:w="50"/>
              <w:right w:type="dxa" w:w="90"/>
            </w:tcMar>
          </w:tcPr>
          <w:p>
            <w:pPr>
              <w:spacing w:after="20"/>
            </w:pPr>
            <w:r>
              <w:rPr>
                <w:sz w:val="17"/>
                <w:szCs w:val="17"/>
              </w:rPr>
              <w:t xml:space="preserve">Compose + config authoring; local wiring guidance.</w:t>
            </w:r>
          </w:p>
        </w:tc>
      </w:tr>
      <w:tr>
        <w:tc>
          <w:tcPr>
            <w:tcW w:type="dxa" w:w="2900"/>
            <w:shd w:fill="EAF0FA" w:val="clear"/>
            <w:tcMar>
              <w:top w:type="dxa" w:w="50"/>
              <w:left w:type="dxa" w:w="90"/>
              <w:bottom w:type="dxa" w:w="50"/>
              <w:right w:type="dxa" w:w="90"/>
            </w:tcMar>
          </w:tcPr>
          <w:p>
            <w:pPr>
              <w:spacing w:after="20"/>
            </w:pPr>
            <w:r>
              <w:rPr>
                <w:sz w:val="17"/>
                <w:szCs w:val="17"/>
              </w:rPr>
              <w:t xml:space="preserve">RajSewadwar SSO + JJWT integration</w:t>
            </w:r>
          </w:p>
        </w:tc>
        <w:tc>
          <w:tcPr>
            <w:tcW w:type="dxa" w:w="1850"/>
            <w:shd w:fill="EAF0FA" w:val="clear"/>
            <w:tcMar>
              <w:top w:type="dxa" w:w="50"/>
              <w:left w:type="dxa" w:w="90"/>
              <w:bottom w:type="dxa" w:w="50"/>
              <w:right w:type="dxa" w:w="90"/>
            </w:tcMar>
          </w:tcPr>
          <w:p>
            <w:pPr>
              <w:spacing w:after="20"/>
            </w:pPr>
            <w:r>
              <w:rPr>
                <w:sz w:val="17"/>
                <w:szCs w:val="17"/>
              </w:rPr>
              <w:t xml:space="preserve">Manual (config)</w:t>
            </w:r>
          </w:p>
        </w:tc>
        <w:tc>
          <w:tcPr>
            <w:tcW w:type="dxa" w:w="1300"/>
            <w:shd w:fill="EAF0FA" w:val="clear"/>
            <w:tcMar>
              <w:top w:type="dxa" w:w="50"/>
              <w:left w:type="dxa" w:w="90"/>
              <w:bottom w:type="dxa" w:w="50"/>
              <w:right w:type="dxa" w:w="90"/>
            </w:tcMar>
          </w:tcPr>
          <w:p>
            <w:pPr>
              <w:spacing w:after="20"/>
            </w:pPr>
            <w:r>
              <w:rPr>
                <w:sz w:val="17"/>
                <w:szCs w:val="17"/>
              </w:rPr>
              <w:t xml:space="preserve">Partial</w:t>
            </w:r>
          </w:p>
        </w:tc>
        <w:tc>
          <w:tcPr>
            <w:tcW w:type="dxa" w:w="3310"/>
            <w:shd w:fill="EAF0FA" w:val="clear"/>
            <w:tcMar>
              <w:top w:type="dxa" w:w="50"/>
              <w:left w:type="dxa" w:w="90"/>
              <w:bottom w:type="dxa" w:w="50"/>
              <w:right w:type="dxa" w:w="90"/>
            </w:tcMar>
          </w:tcPr>
          <w:p>
            <w:pPr>
              <w:spacing w:after="20"/>
            </w:pPr>
            <w:r>
              <w:rPr>
                <w:sz w:val="17"/>
                <w:szCs w:val="17"/>
              </w:rPr>
              <w:t xml:space="preserve">Integration wiring; SSO config environment-specific.</w:t>
            </w:r>
          </w:p>
        </w:tc>
      </w:tr>
      <w:tr>
        <w:tc>
          <w:tcPr>
            <w:tcW w:type="dxa" w:w="2900"/>
            <w:shd w:fill="FFFFFF" w:val="clear"/>
            <w:tcMar>
              <w:top w:type="dxa" w:w="50"/>
              <w:left w:type="dxa" w:w="90"/>
              <w:bottom w:type="dxa" w:w="50"/>
              <w:right w:type="dxa" w:w="90"/>
            </w:tcMar>
          </w:tcPr>
          <w:p>
            <w:pPr>
              <w:spacing w:after="20"/>
            </w:pPr>
            <w:r>
              <w:rPr>
                <w:sz w:val="17"/>
                <w:szCs w:val="17"/>
              </w:rPr>
              <w:t xml:space="preserve">Decision-service REST seam</w:t>
            </w:r>
          </w:p>
        </w:tc>
        <w:tc>
          <w:tcPr>
            <w:tcW w:type="dxa" w:w="1850"/>
            <w:shd w:fill="FFFFFF" w:val="clear"/>
            <w:tcMar>
              <w:top w:type="dxa" w:w="50"/>
              <w:left w:type="dxa" w:w="90"/>
              <w:bottom w:type="dxa" w:w="50"/>
              <w:right w:type="dxa" w:w="90"/>
            </w:tcMar>
          </w:tcPr>
          <w:p>
            <w:pPr>
              <w:spacing w:after="20"/>
            </w:pPr>
            <w:r>
              <w:rPr>
                <w:sz w:val="17"/>
                <w:szCs w:val="17"/>
              </w:rPr>
              <w:t xml:space="preserve">Manual (CP4BA-ready)</w:t>
            </w:r>
          </w:p>
        </w:tc>
        <w:tc>
          <w:tcPr>
            <w:tcW w:type="dxa" w:w="1300"/>
            <w:shd w:fill="FFFFFF" w:val="clear"/>
            <w:tcMar>
              <w:top w:type="dxa" w:w="50"/>
              <w:left w:type="dxa" w:w="90"/>
              <w:bottom w:type="dxa" w:w="50"/>
              <w:right w:type="dxa" w:w="90"/>
            </w:tcMar>
          </w:tcPr>
          <w:p>
            <w:pPr>
              <w:spacing w:after="20"/>
            </w:pPr>
            <w:r>
              <w:rPr>
                <w:sz w:val="17"/>
                <w:szCs w:val="17"/>
              </w:rPr>
              <w:t xml:space="preserve">Yes</w:t>
            </w:r>
          </w:p>
        </w:tc>
        <w:tc>
          <w:tcPr>
            <w:tcW w:type="dxa" w:w="3310"/>
            <w:shd w:fill="FFFFFF" w:val="clear"/>
            <w:tcMar>
              <w:top w:type="dxa" w:w="50"/>
              <w:left w:type="dxa" w:w="90"/>
              <w:bottom w:type="dxa" w:w="50"/>
              <w:right w:type="dxa" w:w="90"/>
            </w:tcMar>
          </w:tcPr>
          <w:p>
            <w:pPr>
              <w:spacing w:after="20"/>
            </w:pPr>
            <w:r>
              <w:rPr>
                <w:sz w:val="17"/>
                <w:szCs w:val="17"/>
              </w:rPr>
              <w:t xml:space="preserve">Contract design shaped for ODM substitution.</w:t>
            </w:r>
          </w:p>
        </w:tc>
      </w:tr>
      <w:tr>
        <w:tc>
          <w:tcPr>
            <w:tcW w:type="dxa" w:w="2900"/>
            <w:shd w:fill="EAF0FA" w:val="clear"/>
            <w:tcMar>
              <w:top w:type="dxa" w:w="50"/>
              <w:left w:type="dxa" w:w="90"/>
              <w:bottom w:type="dxa" w:w="50"/>
              <w:right w:type="dxa" w:w="90"/>
            </w:tcMar>
          </w:tcPr>
          <w:p>
            <w:pPr>
              <w:spacing w:after="20"/>
            </w:pPr>
            <w:r>
              <w:rPr>
                <w:sz w:val="17"/>
                <w:szCs w:val="17"/>
              </w:rPr>
              <w:t xml:space="preserve">DMN decision tables (content)</w:t>
            </w:r>
          </w:p>
        </w:tc>
        <w:tc>
          <w:tcPr>
            <w:tcW w:type="dxa" w:w="1850"/>
            <w:shd w:fill="EAF0FA" w:val="clear"/>
            <w:tcMar>
              <w:top w:type="dxa" w:w="50"/>
              <w:left w:type="dxa" w:w="90"/>
              <w:bottom w:type="dxa" w:w="50"/>
              <w:right w:type="dxa" w:w="90"/>
            </w:tcMar>
          </w:tcPr>
          <w:p>
            <w:pPr>
              <w:spacing w:after="20"/>
            </w:pPr>
            <w:r>
              <w:rPr>
                <w:sz w:val="17"/>
                <w:szCs w:val="17"/>
              </w:rPr>
              <w:t xml:space="preserve">CP4BA (later) / design now</w:t>
            </w:r>
          </w:p>
        </w:tc>
        <w:tc>
          <w:tcPr>
            <w:tcW w:type="dxa" w:w="1300"/>
            <w:shd w:fill="EAF0FA" w:val="clear"/>
            <w:tcMar>
              <w:top w:type="dxa" w:w="50"/>
              <w:left w:type="dxa" w:w="90"/>
              <w:bottom w:type="dxa" w:w="50"/>
              <w:right w:type="dxa" w:w="90"/>
            </w:tcMar>
          </w:tcPr>
          <w:p>
            <w:pPr>
              <w:spacing w:after="20"/>
            </w:pPr>
            <w:r>
              <w:rPr>
                <w:sz w:val="17"/>
                <w:szCs w:val="17"/>
              </w:rPr>
              <w:t xml:space="preserve">Partial</w:t>
            </w:r>
          </w:p>
        </w:tc>
        <w:tc>
          <w:tcPr>
            <w:tcW w:type="dxa" w:w="3310"/>
            <w:shd w:fill="EAF0FA" w:val="clear"/>
            <w:tcMar>
              <w:top w:type="dxa" w:w="50"/>
              <w:left w:type="dxa" w:w="90"/>
              <w:bottom w:type="dxa" w:w="50"/>
              <w:right w:type="dxa" w:w="90"/>
            </w:tcMar>
          </w:tcPr>
          <w:p>
            <w:pPr>
              <w:spacing w:after="20"/>
            </w:pPr>
            <w:r>
              <w:rPr>
                <w:sz w:val="17"/>
                <w:szCs w:val="17"/>
              </w:rPr>
              <w:t xml:space="preserve">DMN logic authored here; entry into ODM manual.</w:t>
            </w:r>
          </w:p>
        </w:tc>
      </w:tr>
      <w:tr>
        <w:tc>
          <w:tcPr>
            <w:tcW w:type="dxa" w:w="2900"/>
            <w:shd w:fill="FFFFFF" w:val="clear"/>
            <w:tcMar>
              <w:top w:type="dxa" w:w="50"/>
              <w:left w:type="dxa" w:w="90"/>
              <w:bottom w:type="dxa" w:w="50"/>
              <w:right w:type="dxa" w:w="90"/>
            </w:tcMar>
          </w:tcPr>
          <w:p>
            <w:pPr>
              <w:spacing w:after="20"/>
            </w:pPr>
            <w:r>
              <w:rPr>
                <w:sz w:val="17"/>
                <w:szCs w:val="17"/>
              </w:rPr>
              <w:t xml:space="preserve">ODM BOM / Decision Center</w:t>
            </w:r>
          </w:p>
        </w:tc>
        <w:tc>
          <w:tcPr>
            <w:tcW w:type="dxa" w:w="1850"/>
            <w:shd w:fill="FFFFFF" w:val="clear"/>
            <w:tcMar>
              <w:top w:type="dxa" w:w="50"/>
              <w:left w:type="dxa" w:w="90"/>
              <w:bottom w:type="dxa" w:w="50"/>
              <w:right w:type="dxa" w:w="90"/>
            </w:tcMar>
          </w:tcPr>
          <w:p>
            <w:pPr>
              <w:spacing w:after="20"/>
            </w:pPr>
            <w:r>
              <w:rPr>
                <w:sz w:val="17"/>
                <w:szCs w:val="17"/>
              </w:rPr>
              <w:t xml:space="preserve">CP4BA (IBM tooling)</w:t>
            </w:r>
          </w:p>
        </w:tc>
        <w:tc>
          <w:tcPr>
            <w:tcW w:type="dxa" w:w="1300"/>
            <w:shd w:fill="FFFFFF" w:val="clear"/>
            <w:tcMar>
              <w:top w:type="dxa" w:w="50"/>
              <w:left w:type="dxa" w:w="90"/>
              <w:bottom w:type="dxa" w:w="50"/>
              <w:right w:type="dxa" w:w="90"/>
            </w:tcMar>
          </w:tcPr>
          <w:p>
            <w:pPr>
              <w:spacing w:after="20"/>
            </w:pPr>
            <w:r>
              <w:rPr>
                <w:sz w:val="17"/>
                <w:szCs w:val="17"/>
              </w:rPr>
              <w:t xml:space="preserve">No</w:t>
            </w:r>
          </w:p>
        </w:tc>
        <w:tc>
          <w:tcPr>
            <w:tcW w:type="dxa" w:w="3310"/>
            <w:shd w:fill="FFFFFF" w:val="clear"/>
            <w:tcMar>
              <w:top w:type="dxa" w:w="50"/>
              <w:left w:type="dxa" w:w="90"/>
              <w:bottom w:type="dxa" w:w="50"/>
              <w:right w:type="dxa" w:w="90"/>
            </w:tcMar>
          </w:tcPr>
          <w:p>
            <w:pPr>
              <w:spacing w:after="20"/>
            </w:pPr>
            <w:r>
              <w:rPr>
                <w:sz w:val="17"/>
                <w:szCs w:val="17"/>
              </w:rPr>
              <w:t xml:space="preserve">Design spec only; realised during IBM enablement.</w:t>
            </w:r>
          </w:p>
        </w:tc>
      </w:tr>
    </w:tbl>
    <w:p>
      <w:pPr>
        <w:pStyle w:val="Heading2"/>
        <w:spacing w:after="120" w:before="240"/>
      </w:pPr>
      <w:r>
        <w:rPr>
          <w:b/>
          <w:bCs/>
          <w:color w:val="2E5496"/>
          <w:sz w:val="26"/>
          <w:szCs w:val="26"/>
        </w:rPr>
        <w:t xml:space="preserve">11.2 Build Sequencing</w:t>
      </w:r>
    </w:p>
    <w:p>
      <w:pPr>
        <w:pStyle w:val="ListParagraph"/>
        <w:numPr>
          <w:ilvl w:val="0"/>
          <w:numId w:val="6"/>
        </w:numPr>
        <w:spacing w:after="60" w:line="264"/>
      </w:pPr>
      <w:r>
        <w:rPr>
          <w:sz w:val="21"/>
          <w:szCs w:val="21"/>
        </w:rPr>
        <w:t xml:space="preserve">Compiler + AST first (behind the data-access interface), unit-tested against Presto.</w:t>
      </w:r>
    </w:p>
    <w:p>
      <w:pPr>
        <w:pStyle w:val="ListParagraph"/>
        <w:numPr>
          <w:ilvl w:val="0"/>
          <w:numId w:val="6"/>
        </w:numPr>
        <w:spacing w:after="60" w:line="264"/>
      </w:pPr>
      <w:r>
        <w:rPr>
          <w:sz w:val="21"/>
          <w:szCs w:val="21"/>
        </w:rPr>
        <w:t xml:space="preserve">Execution service + guardrails; validate end-to-end query on synthetic Iceberg data.</w:t>
      </w:r>
    </w:p>
    <w:p>
      <w:pPr>
        <w:pStyle w:val="ListParagraph"/>
        <w:numPr>
          <w:ilvl w:val="0"/>
          <w:numId w:val="6"/>
        </w:numPr>
        <w:spacing w:after="60" w:line="264"/>
      </w:pPr>
      <w:r>
        <w:rPr>
          <w:sz w:val="21"/>
          <w:szCs w:val="21"/>
        </w:rPr>
        <w:t xml:space="preserve">Metadata/mapping service + admin screens (makes it schema-agnostic).</w:t>
      </w:r>
    </w:p>
    <w:p>
      <w:pPr>
        <w:pStyle w:val="ListParagraph"/>
        <w:numPr>
          <w:ilvl w:val="0"/>
          <w:numId w:val="6"/>
        </w:numPr>
        <w:spacing w:after="60" w:line="264"/>
      </w:pPr>
      <w:r>
        <w:rPr>
          <w:sz w:val="21"/>
          <w:szCs w:val="21"/>
        </w:rPr>
        <w:t xml:space="preserve">Scenario store + comparison.</w:t>
      </w:r>
    </w:p>
    <w:p>
      <w:pPr>
        <w:pStyle w:val="ListParagraph"/>
        <w:numPr>
          <w:ilvl w:val="0"/>
          <w:numId w:val="6"/>
        </w:numPr>
        <w:spacing w:after="60" w:line="264"/>
      </w:pPr>
      <w:r>
        <w:rPr>
          <w:sz w:val="21"/>
          <w:szCs w:val="21"/>
        </w:rPr>
        <w:t xml:space="preserve">Officer UI (rule builder, thresholds, results, compare).</w:t>
      </w:r>
    </w:p>
    <w:p>
      <w:pPr>
        <w:pStyle w:val="ListParagraph"/>
        <w:numPr>
          <w:ilvl w:val="0"/>
          <w:numId w:val="6"/>
        </w:numPr>
        <w:spacing w:after="60" w:line="264"/>
      </w:pPr>
      <w:r>
        <w:rPr>
          <w:sz w:val="21"/>
          <w:szCs w:val="21"/>
        </w:rPr>
        <w:t xml:space="preserve">Docker Compose packaging (two containers) + synthetic seed; GitHub; client-deploy profile.</w:t>
      </w:r>
    </w:p>
    <w:p>
      <w:pPr>
        <w:pStyle w:val="ListParagraph"/>
        <w:numPr>
          <w:ilvl w:val="0"/>
          <w:numId w:val="6"/>
        </w:numPr>
        <w:spacing w:after="60" w:line="264"/>
      </w:pPr>
      <w:r>
        <w:rPr>
          <w:sz w:val="21"/>
          <w:szCs w:val="21"/>
        </w:rPr>
        <w:t xml:space="preserve">Later: IBM-led CP4BA enablement swaps the authoring surface via the seam.</w:t>
      </w:r>
    </w:p>
    <w:p>
      <w:pPr>
        <w:pStyle w:val="Heading2"/>
        <w:spacing w:after="120" w:before="240"/>
      </w:pPr>
      <w:r>
        <w:rPr>
          <w:b/>
          <w:bCs/>
          <w:color w:val="2E5496"/>
          <w:sz w:val="26"/>
          <w:szCs w:val="26"/>
        </w:rPr>
        <w:t xml:space="preserve">11.3 Dependencies &amp; Open Items</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4300"/>
        <w:gridCol w:w="2200"/>
        <w:gridCol w:w="2860"/>
      </w:tblGrid>
      <w:tr>
        <w:trPr>
          <w:tblHeader/>
        </w:trPr>
        <w:tc>
          <w:tcPr>
            <w:tcW w:type="dxa" w:w="4300"/>
            <w:shd w:fill="1F3864" w:val="clear"/>
            <w:tcMar>
              <w:top w:type="dxa" w:w="60"/>
              <w:left w:type="dxa" w:w="90"/>
              <w:bottom w:type="dxa" w:w="60"/>
              <w:right w:type="dxa" w:w="90"/>
            </w:tcMar>
          </w:tcPr>
          <w:p>
            <w:r>
              <w:rPr>
                <w:b/>
                <w:bCs/>
                <w:color w:val="FFFFFF"/>
                <w:sz w:val="18"/>
                <w:szCs w:val="18"/>
              </w:rPr>
              <w:t xml:space="preserve">Item</w:t>
            </w:r>
          </w:p>
        </w:tc>
        <w:tc>
          <w:tcPr>
            <w:tcW w:type="dxa" w:w="2200"/>
            <w:shd w:fill="1F3864" w:val="clear"/>
            <w:tcMar>
              <w:top w:type="dxa" w:w="60"/>
              <w:left w:type="dxa" w:w="90"/>
              <w:bottom w:type="dxa" w:w="60"/>
              <w:right w:type="dxa" w:w="90"/>
            </w:tcMar>
          </w:tcPr>
          <w:p>
            <w:r>
              <w:rPr>
                <w:b/>
                <w:bCs/>
                <w:color w:val="FFFFFF"/>
                <w:sz w:val="18"/>
                <w:szCs w:val="18"/>
              </w:rPr>
              <w:t xml:space="preserve">Owner</w:t>
            </w:r>
          </w:p>
        </w:tc>
        <w:tc>
          <w:tcPr>
            <w:tcW w:type="dxa" w:w="2860"/>
            <w:shd w:fill="1F3864" w:val="clear"/>
            <w:tcMar>
              <w:top w:type="dxa" w:w="60"/>
              <w:left w:type="dxa" w:w="90"/>
              <w:bottom w:type="dxa" w:w="60"/>
              <w:right w:type="dxa" w:w="90"/>
            </w:tcMar>
          </w:tcPr>
          <w:p>
            <w:r>
              <w:rPr>
                <w:b/>
                <w:bCs/>
                <w:color w:val="FFFFFF"/>
                <w:sz w:val="18"/>
                <w:szCs w:val="18"/>
              </w:rPr>
              <w:t xml:space="preserve">Needed for</w:t>
            </w:r>
          </w:p>
        </w:tc>
      </w:tr>
      <w:tr>
        <w:tc>
          <w:tcPr>
            <w:tcW w:type="dxa" w:w="4300"/>
            <w:shd w:fill="FFFFFF" w:val="clear"/>
            <w:tcMar>
              <w:top w:type="dxa" w:w="50"/>
              <w:left w:type="dxa" w:w="90"/>
              <w:bottom w:type="dxa" w:w="50"/>
              <w:right w:type="dxa" w:w="90"/>
            </w:tcMar>
          </w:tcPr>
          <w:p>
            <w:pPr>
              <w:spacing w:after="20"/>
            </w:pPr>
            <w:r>
              <w:rPr>
                <w:sz w:val="17"/>
                <w:szCs w:val="17"/>
              </w:rPr>
              <w:t xml:space="preserve">PrestoDB vs Trino driver confirmation for watsonx.data 2.3.1</w:t>
            </w:r>
          </w:p>
        </w:tc>
        <w:tc>
          <w:tcPr>
            <w:tcW w:type="dxa" w:w="2200"/>
            <w:shd w:fill="FFFFFF" w:val="clear"/>
            <w:tcMar>
              <w:top w:type="dxa" w:w="50"/>
              <w:left w:type="dxa" w:w="90"/>
              <w:bottom w:type="dxa" w:w="50"/>
              <w:right w:type="dxa" w:w="90"/>
            </w:tcMar>
          </w:tcPr>
          <w:p>
            <w:pPr>
              <w:spacing w:after="20"/>
            </w:pPr>
            <w:r>
              <w:rPr>
                <w:sz w:val="17"/>
                <w:szCs w:val="17"/>
              </w:rPr>
              <w:t xml:space="preserve">Lovadeep</w:t>
            </w:r>
          </w:p>
        </w:tc>
        <w:tc>
          <w:tcPr>
            <w:tcW w:type="dxa" w:w="2860"/>
            <w:shd w:fill="FFFFFF" w:val="clear"/>
            <w:tcMar>
              <w:top w:type="dxa" w:w="50"/>
              <w:left w:type="dxa" w:w="90"/>
              <w:bottom w:type="dxa" w:w="50"/>
              <w:right w:type="dxa" w:w="90"/>
            </w:tcMar>
          </w:tcPr>
          <w:p>
            <w:pPr>
              <w:spacing w:after="20"/>
            </w:pPr>
            <w:r>
              <w:rPr>
                <w:sz w:val="17"/>
                <w:szCs w:val="17"/>
              </w:rPr>
              <w:t xml:space="preserve">Correct JDBC dependency (§4.4).</w:t>
            </w:r>
          </w:p>
        </w:tc>
      </w:tr>
      <w:tr>
        <w:tc>
          <w:tcPr>
            <w:tcW w:type="dxa" w:w="4300"/>
            <w:shd w:fill="EAF0FA" w:val="clear"/>
            <w:tcMar>
              <w:top w:type="dxa" w:w="50"/>
              <w:left w:type="dxa" w:w="90"/>
              <w:bottom w:type="dxa" w:w="50"/>
              <w:right w:type="dxa" w:w="90"/>
            </w:tcMar>
          </w:tcPr>
          <w:p>
            <w:pPr>
              <w:spacing w:after="20"/>
            </w:pPr>
            <w:r>
              <w:rPr>
                <w:sz w:val="17"/>
                <w:szCs w:val="17"/>
              </w:rPr>
              <w:t xml:space="preserve">Real Presto/Iceberg lakehouse connection details</w:t>
            </w:r>
          </w:p>
        </w:tc>
        <w:tc>
          <w:tcPr>
            <w:tcW w:type="dxa" w:w="2200"/>
            <w:shd w:fill="EAF0FA" w:val="clear"/>
            <w:tcMar>
              <w:top w:type="dxa" w:w="50"/>
              <w:left w:type="dxa" w:w="90"/>
              <w:bottom w:type="dxa" w:w="50"/>
              <w:right w:type="dxa" w:w="90"/>
            </w:tcMar>
          </w:tcPr>
          <w:p>
            <w:pPr>
              <w:spacing w:after="20"/>
            </w:pPr>
            <w:r>
              <w:rPr>
                <w:sz w:val="17"/>
                <w:szCs w:val="17"/>
              </w:rPr>
              <w:t xml:space="preserve">Client / Lovadeep</w:t>
            </w:r>
          </w:p>
        </w:tc>
        <w:tc>
          <w:tcPr>
            <w:tcW w:type="dxa" w:w="2860"/>
            <w:shd w:fill="EAF0FA" w:val="clear"/>
            <w:tcMar>
              <w:top w:type="dxa" w:w="50"/>
              <w:left w:type="dxa" w:w="90"/>
              <w:bottom w:type="dxa" w:w="50"/>
              <w:right w:type="dxa" w:w="90"/>
            </w:tcMar>
          </w:tcPr>
          <w:p>
            <w:pPr>
              <w:spacing w:after="20"/>
            </w:pPr>
            <w:r>
              <w:rPr>
                <w:sz w:val="17"/>
                <w:szCs w:val="17"/>
              </w:rPr>
              <w:t xml:space="preserve">Client Dev deployment (not for build).</w:t>
            </w:r>
          </w:p>
        </w:tc>
      </w:tr>
      <w:tr>
        <w:tc>
          <w:tcPr>
            <w:tcW w:type="dxa" w:w="4300"/>
            <w:shd w:fill="FFFFFF" w:val="clear"/>
            <w:tcMar>
              <w:top w:type="dxa" w:w="50"/>
              <w:left w:type="dxa" w:w="90"/>
              <w:bottom w:type="dxa" w:w="50"/>
              <w:right w:type="dxa" w:w="90"/>
            </w:tcMar>
          </w:tcPr>
          <w:p>
            <w:pPr>
              <w:spacing w:after="20"/>
            </w:pPr>
            <w:r>
              <w:rPr>
                <w:sz w:val="17"/>
                <w:szCs w:val="17"/>
              </w:rPr>
              <w:t xml:space="preserve">Golden Layer physical table/column names</w:t>
            </w:r>
          </w:p>
        </w:tc>
        <w:tc>
          <w:tcPr>
            <w:tcW w:type="dxa" w:w="2200"/>
            <w:shd w:fill="FFFFFF" w:val="clear"/>
            <w:tcMar>
              <w:top w:type="dxa" w:w="50"/>
              <w:left w:type="dxa" w:w="90"/>
              <w:bottom w:type="dxa" w:w="50"/>
              <w:right w:type="dxa" w:w="90"/>
            </w:tcMar>
          </w:tcPr>
          <w:p>
            <w:pPr>
              <w:spacing w:after="20"/>
            </w:pPr>
            <w:r>
              <w:rPr>
                <w:sz w:val="17"/>
                <w:szCs w:val="17"/>
              </w:rPr>
              <w:t xml:space="preserve">Lovadeep / DBA</w:t>
            </w:r>
          </w:p>
        </w:tc>
        <w:tc>
          <w:tcPr>
            <w:tcW w:type="dxa" w:w="2860"/>
            <w:shd w:fill="FFFFFF" w:val="clear"/>
            <w:tcMar>
              <w:top w:type="dxa" w:w="50"/>
              <w:left w:type="dxa" w:w="90"/>
              <w:bottom w:type="dxa" w:w="50"/>
              <w:right w:type="dxa" w:w="90"/>
            </w:tcMar>
          </w:tcPr>
          <w:p>
            <w:pPr>
              <w:spacing w:after="20"/>
            </w:pPr>
            <w:r>
              <w:rPr>
                <w:sz w:val="17"/>
                <w:szCs w:val="17"/>
              </w:rPr>
              <w:t xml:space="preserve">Field→column mapping at deployment.</w:t>
            </w:r>
          </w:p>
        </w:tc>
      </w:tr>
      <w:tr>
        <w:tc>
          <w:tcPr>
            <w:tcW w:type="dxa" w:w="4300"/>
            <w:shd w:fill="EAF0FA" w:val="clear"/>
            <w:tcMar>
              <w:top w:type="dxa" w:w="50"/>
              <w:left w:type="dxa" w:w="90"/>
              <w:bottom w:type="dxa" w:w="50"/>
              <w:right w:type="dxa" w:w="90"/>
            </w:tcMar>
          </w:tcPr>
          <w:p>
            <w:pPr>
              <w:spacing w:after="20"/>
            </w:pPr>
            <w:r>
              <w:rPr>
                <w:sz w:val="17"/>
                <w:szCs w:val="17"/>
              </w:rPr>
              <w:t xml:space="preserve">SRSE operational-store DB2 placement (schema vs instance)</w:t>
            </w:r>
          </w:p>
        </w:tc>
        <w:tc>
          <w:tcPr>
            <w:tcW w:type="dxa" w:w="2200"/>
            <w:shd w:fill="EAF0FA" w:val="clear"/>
            <w:tcMar>
              <w:top w:type="dxa" w:w="50"/>
              <w:left w:type="dxa" w:w="90"/>
              <w:bottom w:type="dxa" w:w="50"/>
              <w:right w:type="dxa" w:w="90"/>
            </w:tcMar>
          </w:tcPr>
          <w:p>
            <w:pPr>
              <w:spacing w:after="20"/>
            </w:pPr>
            <w:r>
              <w:rPr>
                <w:sz w:val="17"/>
                <w:szCs w:val="17"/>
              </w:rPr>
              <w:t xml:space="preserve">Lovadeep</w:t>
            </w:r>
          </w:p>
        </w:tc>
        <w:tc>
          <w:tcPr>
            <w:tcW w:type="dxa" w:w="2860"/>
            <w:shd w:fill="EAF0FA" w:val="clear"/>
            <w:tcMar>
              <w:top w:type="dxa" w:w="50"/>
              <w:left w:type="dxa" w:w="90"/>
              <w:bottom w:type="dxa" w:w="50"/>
              <w:right w:type="dxa" w:w="90"/>
            </w:tcMar>
          </w:tcPr>
          <w:p>
            <w:pPr>
              <w:spacing w:after="20"/>
            </w:pPr>
            <w:r>
              <w:rPr>
                <w:sz w:val="17"/>
                <w:szCs w:val="17"/>
              </w:rPr>
              <w:t xml:space="preserve">Operational plane deployment.</w:t>
            </w:r>
          </w:p>
        </w:tc>
      </w:tr>
      <w:tr>
        <w:tc>
          <w:tcPr>
            <w:tcW w:type="dxa" w:w="4300"/>
            <w:shd w:fill="FFFFFF" w:val="clear"/>
            <w:tcMar>
              <w:top w:type="dxa" w:w="50"/>
              <w:left w:type="dxa" w:w="90"/>
              <w:bottom w:type="dxa" w:w="50"/>
              <w:right w:type="dxa" w:w="90"/>
            </w:tcMar>
          </w:tcPr>
          <w:p>
            <w:pPr>
              <w:spacing w:after="20"/>
            </w:pPr>
            <w:r>
              <w:rPr>
                <w:sz w:val="17"/>
                <w:szCs w:val="17"/>
              </w:rPr>
              <w:t xml:space="preserve">Confirmation of pre-materialised derived fields (REL-01, income 3-yr)</w:t>
            </w:r>
          </w:p>
        </w:tc>
        <w:tc>
          <w:tcPr>
            <w:tcW w:type="dxa" w:w="2200"/>
            <w:shd w:fill="FFFFFF" w:val="clear"/>
            <w:tcMar>
              <w:top w:type="dxa" w:w="50"/>
              <w:left w:type="dxa" w:w="90"/>
              <w:bottom w:type="dxa" w:w="50"/>
              <w:right w:type="dxa" w:w="90"/>
            </w:tcMar>
          </w:tcPr>
          <w:p>
            <w:pPr>
              <w:spacing w:after="20"/>
            </w:pPr>
            <w:r>
              <w:rPr>
                <w:sz w:val="17"/>
                <w:szCs w:val="17"/>
              </w:rPr>
              <w:t xml:space="preserve">Lovadeep</w:t>
            </w:r>
          </w:p>
        </w:tc>
        <w:tc>
          <w:tcPr>
            <w:tcW w:type="dxa" w:w="2860"/>
            <w:shd w:fill="FFFFFF" w:val="clear"/>
            <w:tcMar>
              <w:top w:type="dxa" w:w="50"/>
              <w:left w:type="dxa" w:w="90"/>
              <w:bottom w:type="dxa" w:w="50"/>
              <w:right w:type="dxa" w:w="90"/>
            </w:tcMar>
          </w:tcPr>
          <w:p>
            <w:pPr>
              <w:spacing w:after="20"/>
            </w:pPr>
            <w:r>
              <w:rPr>
                <w:sz w:val="17"/>
                <w:szCs w:val="17"/>
              </w:rPr>
              <w:t xml:space="preserve">Tier-3 catalogue fields.</w:t>
            </w:r>
          </w:p>
        </w:tc>
      </w:tr>
      <w:tr>
        <w:tc>
          <w:tcPr>
            <w:tcW w:type="dxa" w:w="4300"/>
            <w:shd w:fill="EAF0FA" w:val="clear"/>
            <w:tcMar>
              <w:top w:type="dxa" w:w="50"/>
              <w:left w:type="dxa" w:w="90"/>
              <w:bottom w:type="dxa" w:w="50"/>
              <w:right w:type="dxa" w:w="90"/>
            </w:tcMar>
          </w:tcPr>
          <w:p>
            <w:pPr>
              <w:spacing w:after="20"/>
            </w:pPr>
            <w:r>
              <w:rPr>
                <w:sz w:val="17"/>
                <w:szCs w:val="17"/>
              </w:rPr>
              <w:t xml:space="preserve">STATE_OFFICER RBAC role + RajSewadwar SSO payload</w:t>
            </w:r>
          </w:p>
        </w:tc>
        <w:tc>
          <w:tcPr>
            <w:tcW w:type="dxa" w:w="2200"/>
            <w:shd w:fill="EAF0FA" w:val="clear"/>
            <w:tcMar>
              <w:top w:type="dxa" w:w="50"/>
              <w:left w:type="dxa" w:w="90"/>
              <w:bottom w:type="dxa" w:w="50"/>
              <w:right w:type="dxa" w:w="90"/>
            </w:tcMar>
          </w:tcPr>
          <w:p>
            <w:pPr>
              <w:spacing w:after="20"/>
            </w:pPr>
            <w:r>
              <w:rPr>
                <w:sz w:val="17"/>
                <w:szCs w:val="17"/>
              </w:rPr>
              <w:t xml:space="preserve">Arvind</w:t>
            </w:r>
          </w:p>
        </w:tc>
        <w:tc>
          <w:tcPr>
            <w:tcW w:type="dxa" w:w="2860"/>
            <w:shd w:fill="EAF0FA" w:val="clear"/>
            <w:tcMar>
              <w:top w:type="dxa" w:w="50"/>
              <w:left w:type="dxa" w:w="90"/>
              <w:bottom w:type="dxa" w:w="50"/>
              <w:right w:type="dxa" w:w="90"/>
            </w:tcMar>
          </w:tcPr>
          <w:p>
            <w:pPr>
              <w:spacing w:after="20"/>
            </w:pPr>
            <w:r>
              <w:rPr>
                <w:sz w:val="17"/>
                <w:szCs w:val="17"/>
              </w:rPr>
              <w:t xml:space="preserve">Auth &amp; maker-checker in client env.</w:t>
            </w:r>
          </w:p>
        </w:tc>
      </w:tr>
      <w:tr>
        <w:tc>
          <w:tcPr>
            <w:tcW w:type="dxa" w:w="4300"/>
            <w:shd w:fill="FFFFFF" w:val="clear"/>
            <w:tcMar>
              <w:top w:type="dxa" w:w="50"/>
              <w:left w:type="dxa" w:w="90"/>
              <w:bottom w:type="dxa" w:w="50"/>
              <w:right w:type="dxa" w:w="90"/>
            </w:tcMar>
          </w:tcPr>
          <w:p>
            <w:pPr>
              <w:spacing w:after="20"/>
            </w:pPr>
            <w:r>
              <w:rPr>
                <w:sz w:val="17"/>
                <w:szCs w:val="17"/>
              </w:rPr>
              <w:t xml:space="preserve">CP4BA version + IBM enablement scheduling</w:t>
            </w:r>
          </w:p>
        </w:tc>
        <w:tc>
          <w:tcPr>
            <w:tcW w:type="dxa" w:w="2200"/>
            <w:shd w:fill="FFFFFF" w:val="clear"/>
            <w:tcMar>
              <w:top w:type="dxa" w:w="50"/>
              <w:left w:type="dxa" w:w="90"/>
              <w:bottom w:type="dxa" w:w="50"/>
              <w:right w:type="dxa" w:w="90"/>
            </w:tcMar>
          </w:tcPr>
          <w:p>
            <w:pPr>
              <w:spacing w:after="20"/>
            </w:pPr>
            <w:r>
              <w:rPr>
                <w:sz w:val="17"/>
                <w:szCs w:val="17"/>
              </w:rPr>
              <w:t xml:space="preserve">Arvind / IBM</w:t>
            </w:r>
          </w:p>
        </w:tc>
        <w:tc>
          <w:tcPr>
            <w:tcW w:type="dxa" w:w="2860"/>
            <w:shd w:fill="FFFFFF" w:val="clear"/>
            <w:tcMar>
              <w:top w:type="dxa" w:w="50"/>
              <w:left w:type="dxa" w:w="90"/>
              <w:bottom w:type="dxa" w:w="50"/>
              <w:right w:type="dxa" w:w="90"/>
            </w:tcMar>
          </w:tcPr>
          <w:p>
            <w:pPr>
              <w:spacing w:after="20"/>
            </w:pPr>
            <w:r>
              <w:rPr>
                <w:sz w:val="17"/>
                <w:szCs w:val="17"/>
              </w:rPr>
              <w:t xml:space="preserve">Section 5 / 12 forward path.</w:t>
            </w:r>
          </w:p>
        </w:tc>
      </w:tr>
      <w:tr>
        <w:tc>
          <w:tcPr>
            <w:tcW w:type="dxa" w:w="4300"/>
            <w:shd w:fill="EAF0FA" w:val="clear"/>
            <w:tcMar>
              <w:top w:type="dxa" w:w="50"/>
              <w:left w:type="dxa" w:w="90"/>
              <w:bottom w:type="dxa" w:w="50"/>
              <w:right w:type="dxa" w:w="90"/>
            </w:tcMar>
          </w:tcPr>
          <w:p>
            <w:pPr>
              <w:spacing w:after="20"/>
            </w:pPr>
            <w:r>
              <w:rPr>
                <w:sz w:val="17"/>
                <w:szCs w:val="17"/>
              </w:rPr>
              <w:t xml:space="preserve">RFP clause page-number confirmation</w:t>
            </w:r>
          </w:p>
        </w:tc>
        <w:tc>
          <w:tcPr>
            <w:tcW w:type="dxa" w:w="2200"/>
            <w:shd w:fill="EAF0FA" w:val="clear"/>
            <w:tcMar>
              <w:top w:type="dxa" w:w="50"/>
              <w:left w:type="dxa" w:w="90"/>
              <w:bottom w:type="dxa" w:w="50"/>
              <w:right w:type="dxa" w:w="90"/>
            </w:tcMar>
          </w:tcPr>
          <w:p>
            <w:pPr>
              <w:spacing w:after="20"/>
            </w:pPr>
            <w:r>
              <w:rPr>
                <w:sz w:val="17"/>
                <w:szCs w:val="17"/>
              </w:rPr>
              <w:t xml:space="preserve">Deloitte team</w:t>
            </w:r>
          </w:p>
        </w:tc>
        <w:tc>
          <w:tcPr>
            <w:tcW w:type="dxa" w:w="2860"/>
            <w:shd w:fill="EAF0FA" w:val="clear"/>
            <w:tcMar>
              <w:top w:type="dxa" w:w="50"/>
              <w:left w:type="dxa" w:w="90"/>
              <w:bottom w:type="dxa" w:w="50"/>
              <w:right w:type="dxa" w:w="90"/>
            </w:tcMar>
          </w:tcPr>
          <w:p>
            <w:pPr>
              <w:spacing w:after="20"/>
            </w:pPr>
            <w:r>
              <w:rPr>
                <w:sz w:val="17"/>
                <w:szCs w:val="17"/>
              </w:rPr>
              <w:t xml:space="preserve">External issue of §1.4 / Appendix A.</w:t>
            </w:r>
          </w:p>
        </w:tc>
      </w:tr>
    </w:tbl>
    <w:p>
      <w:pPr>
        <w:pStyle w:val="Heading2"/>
        <w:spacing w:after="120" w:before="240"/>
      </w:pPr>
      <w:r>
        <w:rPr>
          <w:b/>
          <w:bCs/>
          <w:color w:val="2E5496"/>
          <w:sz w:val="26"/>
          <w:szCs w:val="26"/>
        </w:rPr>
        <w:t xml:space="preserve">11.4 Indicative Sprint Plan</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1000"/>
        <w:gridCol w:w="4360"/>
        <w:gridCol w:w="4000"/>
      </w:tblGrid>
      <w:tr>
        <w:trPr>
          <w:tblHeader/>
        </w:trPr>
        <w:tc>
          <w:tcPr>
            <w:tcW w:type="dxa" w:w="1000"/>
            <w:shd w:fill="1F3864" w:val="clear"/>
            <w:tcMar>
              <w:top w:type="dxa" w:w="60"/>
              <w:left w:type="dxa" w:w="90"/>
              <w:bottom w:type="dxa" w:w="60"/>
              <w:right w:type="dxa" w:w="90"/>
            </w:tcMar>
          </w:tcPr>
          <w:p>
            <w:r>
              <w:rPr>
                <w:b/>
                <w:bCs/>
                <w:color w:val="FFFFFF"/>
                <w:sz w:val="18"/>
                <w:szCs w:val="18"/>
              </w:rPr>
              <w:t xml:space="preserve">Sprint</w:t>
            </w:r>
          </w:p>
        </w:tc>
        <w:tc>
          <w:tcPr>
            <w:tcW w:type="dxa" w:w="4360"/>
            <w:shd w:fill="1F3864" w:val="clear"/>
            <w:tcMar>
              <w:top w:type="dxa" w:w="60"/>
              <w:left w:type="dxa" w:w="90"/>
              <w:bottom w:type="dxa" w:w="60"/>
              <w:right w:type="dxa" w:w="90"/>
            </w:tcMar>
          </w:tcPr>
          <w:p>
            <w:r>
              <w:rPr>
                <w:b/>
                <w:bCs/>
                <w:color w:val="FFFFFF"/>
                <w:sz w:val="18"/>
                <w:szCs w:val="18"/>
              </w:rPr>
              <w:t xml:space="preserve">Focus</w:t>
            </w:r>
          </w:p>
        </w:tc>
        <w:tc>
          <w:tcPr>
            <w:tcW w:type="dxa" w:w="4000"/>
            <w:shd w:fill="1F3864" w:val="clear"/>
            <w:tcMar>
              <w:top w:type="dxa" w:w="60"/>
              <w:left w:type="dxa" w:w="90"/>
              <w:bottom w:type="dxa" w:w="60"/>
              <w:right w:type="dxa" w:w="90"/>
            </w:tcMar>
          </w:tcPr>
          <w:p>
            <w:r>
              <w:rPr>
                <w:b/>
                <w:bCs/>
                <w:color w:val="FFFFFF"/>
                <w:sz w:val="18"/>
                <w:szCs w:val="18"/>
              </w:rPr>
              <w:t xml:space="preserve">Exit criteria</w:t>
            </w:r>
          </w:p>
        </w:tc>
      </w:tr>
      <w:tr>
        <w:tc>
          <w:tcPr>
            <w:tcW w:type="dxa" w:w="1000"/>
            <w:shd w:fill="FFFFFF" w:val="clear"/>
            <w:tcMar>
              <w:top w:type="dxa" w:w="50"/>
              <w:left w:type="dxa" w:w="90"/>
              <w:bottom w:type="dxa" w:w="50"/>
              <w:right w:type="dxa" w:w="90"/>
            </w:tcMar>
          </w:tcPr>
          <w:p>
            <w:pPr>
              <w:spacing w:after="20"/>
            </w:pPr>
            <w:r>
              <w:rPr>
                <w:sz w:val="17"/>
                <w:szCs w:val="17"/>
              </w:rPr>
              <w:t xml:space="preserve">1</w:t>
            </w:r>
          </w:p>
        </w:tc>
        <w:tc>
          <w:tcPr>
            <w:tcW w:type="dxa" w:w="4360"/>
            <w:shd w:fill="FFFFFF" w:val="clear"/>
            <w:tcMar>
              <w:top w:type="dxa" w:w="50"/>
              <w:left w:type="dxa" w:w="90"/>
              <w:bottom w:type="dxa" w:w="50"/>
              <w:right w:type="dxa" w:w="90"/>
            </w:tcMar>
          </w:tcPr>
          <w:p>
            <w:pPr>
              <w:spacing w:after="20"/>
            </w:pPr>
            <w:r>
              <w:rPr>
                <w:sz w:val="17"/>
                <w:szCs w:val="17"/>
              </w:rPr>
              <w:t xml:space="preserve">Compiler + AST + operator emitter (Java 17)</w:t>
            </w:r>
          </w:p>
        </w:tc>
        <w:tc>
          <w:tcPr>
            <w:tcW w:type="dxa" w:w="4000"/>
            <w:shd w:fill="FFFFFF" w:val="clear"/>
            <w:tcMar>
              <w:top w:type="dxa" w:w="50"/>
              <w:left w:type="dxa" w:w="90"/>
              <w:bottom w:type="dxa" w:w="50"/>
              <w:right w:type="dxa" w:w="90"/>
            </w:tcMar>
          </w:tcPr>
          <w:p>
            <w:pPr>
              <w:spacing w:after="20"/>
            </w:pPr>
            <w:r>
              <w:rPr>
                <w:sz w:val="17"/>
                <w:szCs w:val="17"/>
              </w:rPr>
              <w:t xml:space="preserve">Ruleset → correct Presto SQL, unit-tested.</w:t>
            </w:r>
          </w:p>
        </w:tc>
      </w:tr>
      <w:tr>
        <w:tc>
          <w:tcPr>
            <w:tcW w:type="dxa" w:w="1000"/>
            <w:shd w:fill="EAF0FA" w:val="clear"/>
            <w:tcMar>
              <w:top w:type="dxa" w:w="50"/>
              <w:left w:type="dxa" w:w="90"/>
              <w:bottom w:type="dxa" w:w="50"/>
              <w:right w:type="dxa" w:w="90"/>
            </w:tcMar>
          </w:tcPr>
          <w:p>
            <w:pPr>
              <w:spacing w:after="20"/>
            </w:pPr>
            <w:r>
              <w:rPr>
                <w:sz w:val="17"/>
                <w:szCs w:val="17"/>
              </w:rPr>
              <w:t xml:space="preserve">2</w:t>
            </w:r>
          </w:p>
        </w:tc>
        <w:tc>
          <w:tcPr>
            <w:tcW w:type="dxa" w:w="4360"/>
            <w:shd w:fill="EAF0FA" w:val="clear"/>
            <w:tcMar>
              <w:top w:type="dxa" w:w="50"/>
              <w:left w:type="dxa" w:w="90"/>
              <w:bottom w:type="dxa" w:w="50"/>
              <w:right w:type="dxa" w:w="90"/>
            </w:tcMar>
          </w:tcPr>
          <w:p>
            <w:pPr>
              <w:spacing w:after="20"/>
            </w:pPr>
            <w:r>
              <w:rPr>
                <w:sz w:val="17"/>
                <w:szCs w:val="17"/>
              </w:rPr>
              <w:t xml:space="preserve">Execution + guardrails + local Iceberg</w:t>
            </w:r>
          </w:p>
        </w:tc>
        <w:tc>
          <w:tcPr>
            <w:tcW w:type="dxa" w:w="4000"/>
            <w:shd w:fill="EAF0FA" w:val="clear"/>
            <w:tcMar>
              <w:top w:type="dxa" w:w="50"/>
              <w:left w:type="dxa" w:w="90"/>
              <w:bottom w:type="dxa" w:w="50"/>
              <w:right w:type="dxa" w:w="90"/>
            </w:tcMar>
          </w:tcPr>
          <w:p>
            <w:pPr>
              <w:spacing w:after="20"/>
            </w:pPr>
            <w:r>
              <w:rPr>
                <w:sz w:val="17"/>
                <w:szCs w:val="17"/>
              </w:rPr>
              <w:t xml:space="preserve">End-to-end count on synthetic data.</w:t>
            </w:r>
          </w:p>
        </w:tc>
      </w:tr>
      <w:tr>
        <w:tc>
          <w:tcPr>
            <w:tcW w:type="dxa" w:w="1000"/>
            <w:shd w:fill="FFFFFF" w:val="clear"/>
            <w:tcMar>
              <w:top w:type="dxa" w:w="50"/>
              <w:left w:type="dxa" w:w="90"/>
              <w:bottom w:type="dxa" w:w="50"/>
              <w:right w:type="dxa" w:w="90"/>
            </w:tcMar>
          </w:tcPr>
          <w:p>
            <w:pPr>
              <w:spacing w:after="20"/>
            </w:pPr>
            <w:r>
              <w:rPr>
                <w:sz w:val="17"/>
                <w:szCs w:val="17"/>
              </w:rPr>
              <w:t xml:space="preserve">3</w:t>
            </w:r>
          </w:p>
        </w:tc>
        <w:tc>
          <w:tcPr>
            <w:tcW w:type="dxa" w:w="4360"/>
            <w:shd w:fill="FFFFFF" w:val="clear"/>
            <w:tcMar>
              <w:top w:type="dxa" w:w="50"/>
              <w:left w:type="dxa" w:w="90"/>
              <w:bottom w:type="dxa" w:w="50"/>
              <w:right w:type="dxa" w:w="90"/>
            </w:tcMar>
          </w:tcPr>
          <w:p>
            <w:pPr>
              <w:spacing w:after="20"/>
            </w:pPr>
            <w:r>
              <w:rPr>
                <w:sz w:val="17"/>
                <w:szCs w:val="17"/>
              </w:rPr>
              <w:t xml:space="preserve">Metadata/mapping + admin screens</w:t>
            </w:r>
          </w:p>
        </w:tc>
        <w:tc>
          <w:tcPr>
            <w:tcW w:type="dxa" w:w="4000"/>
            <w:shd w:fill="FFFFFF" w:val="clear"/>
            <w:tcMar>
              <w:top w:type="dxa" w:w="50"/>
              <w:left w:type="dxa" w:w="90"/>
              <w:bottom w:type="dxa" w:w="50"/>
              <w:right w:type="dxa" w:w="90"/>
            </w:tcMar>
          </w:tcPr>
          <w:p>
            <w:pPr>
              <w:spacing w:after="20"/>
            </w:pPr>
            <w:r>
              <w:rPr>
                <w:sz w:val="17"/>
                <w:szCs w:val="17"/>
              </w:rPr>
              <w:t xml:space="preserve">New scheme onboardable without code.</w:t>
            </w:r>
          </w:p>
        </w:tc>
      </w:tr>
      <w:tr>
        <w:tc>
          <w:tcPr>
            <w:tcW w:type="dxa" w:w="1000"/>
            <w:shd w:fill="EAF0FA" w:val="clear"/>
            <w:tcMar>
              <w:top w:type="dxa" w:w="50"/>
              <w:left w:type="dxa" w:w="90"/>
              <w:bottom w:type="dxa" w:w="50"/>
              <w:right w:type="dxa" w:w="90"/>
            </w:tcMar>
          </w:tcPr>
          <w:p>
            <w:pPr>
              <w:spacing w:after="20"/>
            </w:pPr>
            <w:r>
              <w:rPr>
                <w:sz w:val="17"/>
                <w:szCs w:val="17"/>
              </w:rPr>
              <w:t xml:space="preserve">4</w:t>
            </w:r>
          </w:p>
        </w:tc>
        <w:tc>
          <w:tcPr>
            <w:tcW w:type="dxa" w:w="4360"/>
            <w:shd w:fill="EAF0FA" w:val="clear"/>
            <w:tcMar>
              <w:top w:type="dxa" w:w="50"/>
              <w:left w:type="dxa" w:w="90"/>
              <w:bottom w:type="dxa" w:w="50"/>
              <w:right w:type="dxa" w:w="90"/>
            </w:tcMar>
          </w:tcPr>
          <w:p>
            <w:pPr>
              <w:spacing w:after="20"/>
            </w:pPr>
            <w:r>
              <w:rPr>
                <w:sz w:val="17"/>
                <w:szCs w:val="17"/>
              </w:rPr>
              <w:t xml:space="preserve">Scenario store + comparison + officer UI</w:t>
            </w:r>
          </w:p>
        </w:tc>
        <w:tc>
          <w:tcPr>
            <w:tcW w:type="dxa" w:w="4000"/>
            <w:shd w:fill="EAF0FA" w:val="clear"/>
            <w:tcMar>
              <w:top w:type="dxa" w:w="50"/>
              <w:left w:type="dxa" w:w="90"/>
              <w:bottom w:type="dxa" w:w="50"/>
              <w:right w:type="dxa" w:w="90"/>
            </w:tcMar>
          </w:tcPr>
          <w:p>
            <w:pPr>
              <w:spacing w:after="20"/>
            </w:pPr>
            <w:r>
              <w:rPr>
                <w:sz w:val="17"/>
                <w:szCs w:val="17"/>
              </w:rPr>
              <w:t xml:space="preserve">Officer runs &amp; compares two variants.</w:t>
            </w:r>
          </w:p>
        </w:tc>
      </w:tr>
      <w:tr>
        <w:tc>
          <w:tcPr>
            <w:tcW w:type="dxa" w:w="1000"/>
            <w:shd w:fill="FFFFFF" w:val="clear"/>
            <w:tcMar>
              <w:top w:type="dxa" w:w="50"/>
              <w:left w:type="dxa" w:w="90"/>
              <w:bottom w:type="dxa" w:w="50"/>
              <w:right w:type="dxa" w:w="90"/>
            </w:tcMar>
          </w:tcPr>
          <w:p>
            <w:pPr>
              <w:spacing w:after="20"/>
            </w:pPr>
            <w:r>
              <w:rPr>
                <w:sz w:val="17"/>
                <w:szCs w:val="17"/>
              </w:rPr>
              <w:t xml:space="preserve">5</w:t>
            </w:r>
          </w:p>
        </w:tc>
        <w:tc>
          <w:tcPr>
            <w:tcW w:type="dxa" w:w="4360"/>
            <w:shd w:fill="FFFFFF" w:val="clear"/>
            <w:tcMar>
              <w:top w:type="dxa" w:w="50"/>
              <w:left w:type="dxa" w:w="90"/>
              <w:bottom w:type="dxa" w:w="50"/>
              <w:right w:type="dxa" w:w="90"/>
            </w:tcMar>
          </w:tcPr>
          <w:p>
            <w:pPr>
              <w:spacing w:after="20"/>
            </w:pPr>
            <w:r>
              <w:rPr>
                <w:sz w:val="17"/>
                <w:szCs w:val="17"/>
              </w:rPr>
              <w:t xml:space="preserve">Two-container packaging, SSO, client profile</w:t>
            </w:r>
          </w:p>
        </w:tc>
        <w:tc>
          <w:tcPr>
            <w:tcW w:type="dxa" w:w="4000"/>
            <w:shd w:fill="FFFFFF" w:val="clear"/>
            <w:tcMar>
              <w:top w:type="dxa" w:w="50"/>
              <w:left w:type="dxa" w:w="90"/>
              <w:bottom w:type="dxa" w:w="50"/>
              <w:right w:type="dxa" w:w="90"/>
            </w:tcMar>
          </w:tcPr>
          <w:p>
            <w:pPr>
              <w:spacing w:after="20"/>
            </w:pPr>
            <w:r>
              <w:rPr>
                <w:sz w:val="17"/>
                <w:szCs w:val="17"/>
              </w:rPr>
              <w:t xml:space="preserve">docker compose up in client Dev, live mode.</w:t>
            </w:r>
          </w:p>
        </w:tc>
      </w:tr>
    </w:tbl>
    <w:tbl>
      <w:tblPr>
        <w:tblW w:type="pct" w:w="100%"/>
        <w:tblBorders>
          <w:top w:val="single" w:color="7F6000" w:sz="4"/>
          <w:left w:val="single" w:color="7F6000" w:sz="18"/>
          <w:bottom w:val="single" w:color="7F6000" w:sz="4"/>
          <w:right w:val="single" w:color="7F6000" w:sz="4"/>
          <w:insideH w:val="none"/>
          <w:insideV w:val="none"/>
        </w:tblBorders>
      </w:tblPr>
      <w:tblGrid>
        <w:gridCol w:w="9360"/>
      </w:tblGrid>
      <w:tr>
        <w:tc>
          <w:tcPr>
            <w:tcW w:type="dxa" w:w="9360"/>
            <w:shd w:fill="FFF2CC" w:val="clear"/>
            <w:tcMar>
              <w:top w:type="dxa" w:w="100"/>
              <w:left w:type="dxa" w:w="140"/>
              <w:bottom w:type="dxa" w:w="100"/>
              <w:right w:type="dxa" w:w="140"/>
            </w:tcMar>
          </w:tcPr>
          <w:p>
            <w:pPr>
              <w:spacing w:after="60"/>
            </w:pPr>
            <w:r>
              <w:rPr>
                <w:b/>
                <w:bCs/>
                <w:color w:val="7F6000"/>
                <w:sz w:val="20"/>
                <w:szCs w:val="20"/>
              </w:rPr>
              <w:t xml:space="preserve">⚡ FLAG — Indicative sprint sizing</w:t>
            </w:r>
          </w:p>
          <w:p>
            <w:pPr>
              <w:spacing w:after="40"/>
              <w:jc w:val="both"/>
            </w:pPr>
            <w:r>
              <w:rPr>
                <w:color w:val="1A1A1A"/>
                <w:sz w:val="20"/>
                <w:szCs w:val="20"/>
              </w:rPr>
              <w:t xml:space="preserve">Sprint boundaries are indicative for a Claude+Cursor build cadence and should be confirmed against team availability. Not a commitment.</w:t>
            </w:r>
          </w:p>
        </w:tc>
      </w:tr>
    </w:tbl>
    <w:p>
      <w:r>
        <w:br w:type="page"/>
      </w:r>
    </w:p>
    <w:p>
      <w:pPr>
        <w:pStyle w:val="Heading1"/>
        <w:spacing w:after="160" w:before="320"/>
      </w:pPr>
      <w:r>
        <w:rPr>
          <w:b/>
          <w:bCs/>
          <w:color w:val="1F3864"/>
          <w:sz w:val="30"/>
          <w:szCs w:val="30"/>
        </w:rPr>
        <w:t xml:space="preserve">12. Assumptions, Risks &amp; Open Questions</w:t>
      </w:r>
    </w:p>
    <w:p>
      <w:pPr>
        <w:pStyle w:val="Heading2"/>
        <w:spacing w:after="120" w:before="240"/>
      </w:pPr>
      <w:r>
        <w:rPr>
          <w:b/>
          <w:bCs/>
          <w:color w:val="2E5496"/>
          <w:sz w:val="26"/>
          <w:szCs w:val="26"/>
        </w:rPr>
        <w:t xml:space="preserve">12.1 Assumptions</w:t>
      </w:r>
    </w:p>
    <w:p>
      <w:pPr>
        <w:pStyle w:val="ListParagraph"/>
        <w:numPr>
          <w:ilvl w:val="0"/>
          <w:numId w:val="2"/>
        </w:numPr>
        <w:spacing w:after="60" w:line="264"/>
      </w:pPr>
      <w:r>
        <w:rPr>
          <w:sz w:val="21"/>
          <w:szCs w:val="21"/>
        </w:rPr>
        <w:t xml:space="preserve">Officers' rules are single-table threshold filters plus temporal/derived logic — NOT frequent live multi-table joins.</w:t>
      </w:r>
    </w:p>
    <w:p>
      <w:pPr>
        <w:pStyle w:val="ListParagraph"/>
        <w:numPr>
          <w:ilvl w:val="0"/>
          <w:numId w:val="2"/>
        </w:numPr>
        <w:spacing w:after="60" w:line="264"/>
      </w:pPr>
      <w:r>
        <w:rPr>
          <w:sz w:val="21"/>
          <w:szCs w:val="21"/>
        </w:rPr>
        <w:t xml:space="preserve">Cross-table/relationship logic can be pre-materialised into flat Golden Layer columns upstream.</w:t>
      </w:r>
    </w:p>
    <w:p>
      <w:pPr>
        <w:pStyle w:val="ListParagraph"/>
        <w:numPr>
          <w:ilvl w:val="0"/>
          <w:numId w:val="2"/>
        </w:numPr>
        <w:spacing w:after="60" w:line="264"/>
      </w:pPr>
      <w:r>
        <w:rPr>
          <w:sz w:val="21"/>
          <w:szCs w:val="21"/>
        </w:rPr>
        <w:t xml:space="preserve">The client environment exposes the beneficiary population as Iceberg tables queryable via PrestoDB 0.297.</w:t>
      </w:r>
    </w:p>
    <w:p>
      <w:pPr>
        <w:pStyle w:val="ListParagraph"/>
        <w:numPr>
          <w:ilvl w:val="0"/>
          <w:numId w:val="2"/>
        </w:numPr>
        <w:spacing w:after="60" w:line="264"/>
      </w:pPr>
      <w:r>
        <w:rPr>
          <w:sz w:val="21"/>
          <w:szCs w:val="21"/>
        </w:rPr>
        <w:t xml:space="preserve">SRSE is a standalone, independently-deployed Dev-environment microservice; production HA/DR is out of scope.</w:t>
      </w:r>
    </w:p>
    <w:p>
      <w:pPr>
        <w:pStyle w:val="Heading2"/>
        <w:spacing w:after="120" w:before="240"/>
      </w:pPr>
      <w:r>
        <w:rPr>
          <w:b/>
          <w:bCs/>
          <w:color w:val="2E5496"/>
          <w:sz w:val="26"/>
          <w:szCs w:val="26"/>
        </w:rPr>
        <w:t xml:space="preserve">12.2 Risks &amp; Mitigations</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3000"/>
        <w:gridCol w:w="2200"/>
        <w:gridCol w:w="4160"/>
      </w:tblGrid>
      <w:tr>
        <w:trPr>
          <w:tblHeader/>
        </w:trPr>
        <w:tc>
          <w:tcPr>
            <w:tcW w:type="dxa" w:w="3000"/>
            <w:shd w:fill="1F3864" w:val="clear"/>
            <w:tcMar>
              <w:top w:type="dxa" w:w="60"/>
              <w:left w:type="dxa" w:w="90"/>
              <w:bottom w:type="dxa" w:w="60"/>
              <w:right w:type="dxa" w:w="90"/>
            </w:tcMar>
          </w:tcPr>
          <w:p>
            <w:r>
              <w:rPr>
                <w:b/>
                <w:bCs/>
                <w:color w:val="FFFFFF"/>
                <w:sz w:val="18"/>
                <w:szCs w:val="18"/>
              </w:rPr>
              <w:t xml:space="preserve">Risk</w:t>
            </w:r>
          </w:p>
        </w:tc>
        <w:tc>
          <w:tcPr>
            <w:tcW w:type="dxa" w:w="2200"/>
            <w:shd w:fill="1F3864" w:val="clear"/>
            <w:tcMar>
              <w:top w:type="dxa" w:w="60"/>
              <w:left w:type="dxa" w:w="90"/>
              <w:bottom w:type="dxa" w:w="60"/>
              <w:right w:type="dxa" w:w="90"/>
            </w:tcMar>
          </w:tcPr>
          <w:p>
            <w:r>
              <w:rPr>
                <w:b/>
                <w:bCs/>
                <w:color w:val="FFFFFF"/>
                <w:sz w:val="18"/>
                <w:szCs w:val="18"/>
              </w:rPr>
              <w:t xml:space="preserve">Impact</w:t>
            </w:r>
          </w:p>
        </w:tc>
        <w:tc>
          <w:tcPr>
            <w:tcW w:type="dxa" w:w="4160"/>
            <w:shd w:fill="1F3864" w:val="clear"/>
            <w:tcMar>
              <w:top w:type="dxa" w:w="60"/>
              <w:left w:type="dxa" w:w="90"/>
              <w:bottom w:type="dxa" w:w="60"/>
              <w:right w:type="dxa" w:w="90"/>
            </w:tcMar>
          </w:tcPr>
          <w:p>
            <w:r>
              <w:rPr>
                <w:b/>
                <w:bCs/>
                <w:color w:val="FFFFFF"/>
                <w:sz w:val="18"/>
                <w:szCs w:val="18"/>
              </w:rPr>
              <w:t xml:space="preserve">Mitigation</w:t>
            </w:r>
          </w:p>
        </w:tc>
      </w:tr>
      <w:tr>
        <w:tc>
          <w:tcPr>
            <w:tcW w:type="dxa" w:w="3000"/>
            <w:shd w:fill="FFFFFF" w:val="clear"/>
            <w:tcMar>
              <w:top w:type="dxa" w:w="50"/>
              <w:left w:type="dxa" w:w="90"/>
              <w:bottom w:type="dxa" w:w="50"/>
              <w:right w:type="dxa" w:w="90"/>
            </w:tcMar>
          </w:tcPr>
          <w:p>
            <w:pPr>
              <w:spacing w:after="20"/>
            </w:pPr>
            <w:r>
              <w:rPr>
                <w:sz w:val="17"/>
                <w:szCs w:val="17"/>
              </w:rPr>
              <w:t xml:space="preserve">Officers need live multi-table joins after all</w:t>
            </w:r>
          </w:p>
        </w:tc>
        <w:tc>
          <w:tcPr>
            <w:tcW w:type="dxa" w:w="2200"/>
            <w:shd w:fill="FFFFFF" w:val="clear"/>
            <w:tcMar>
              <w:top w:type="dxa" w:w="50"/>
              <w:left w:type="dxa" w:w="90"/>
              <w:bottom w:type="dxa" w:w="50"/>
              <w:right w:type="dxa" w:w="90"/>
            </w:tcMar>
          </w:tcPr>
          <w:p>
            <w:pPr>
              <w:spacing w:after="20"/>
            </w:pPr>
            <w:r>
              <w:rPr>
                <w:sz w:val="17"/>
                <w:szCs w:val="17"/>
              </w:rPr>
              <w:t xml:space="preserve">High — reopens core design</w:t>
            </w:r>
          </w:p>
        </w:tc>
        <w:tc>
          <w:tcPr>
            <w:tcW w:type="dxa" w:w="4160"/>
            <w:shd w:fill="FFFFFF" w:val="clear"/>
            <w:tcMar>
              <w:top w:type="dxa" w:w="50"/>
              <w:left w:type="dxa" w:w="90"/>
              <w:bottom w:type="dxa" w:w="50"/>
              <w:right w:type="dxa" w:w="90"/>
            </w:tcMar>
          </w:tcPr>
          <w:p>
            <w:pPr>
              <w:spacing w:after="20"/>
            </w:pPr>
            <w:r>
              <w:rPr>
                <w:sz w:val="17"/>
                <w:szCs w:val="17"/>
              </w:rPr>
              <w:t xml:space="preserve">Validate rule complexity early; if confirmed, redesign execution before build.</w:t>
            </w:r>
          </w:p>
        </w:tc>
      </w:tr>
      <w:tr>
        <w:tc>
          <w:tcPr>
            <w:tcW w:type="dxa" w:w="3000"/>
            <w:shd w:fill="EAF0FA" w:val="clear"/>
            <w:tcMar>
              <w:top w:type="dxa" w:w="50"/>
              <w:left w:type="dxa" w:w="90"/>
              <w:bottom w:type="dxa" w:w="50"/>
              <w:right w:type="dxa" w:w="90"/>
            </w:tcMar>
          </w:tcPr>
          <w:p>
            <w:pPr>
              <w:spacing w:after="20"/>
            </w:pPr>
            <w:r>
              <w:rPr>
                <w:sz w:val="17"/>
                <w:szCs w:val="17"/>
              </w:rPr>
              <w:t xml:space="preserve">Wrong Presto driver flavour (Trino vs PrestoDB)</w:t>
            </w:r>
          </w:p>
        </w:tc>
        <w:tc>
          <w:tcPr>
            <w:tcW w:type="dxa" w:w="2200"/>
            <w:shd w:fill="EAF0FA" w:val="clear"/>
            <w:tcMar>
              <w:top w:type="dxa" w:w="50"/>
              <w:left w:type="dxa" w:w="90"/>
              <w:bottom w:type="dxa" w:w="50"/>
              <w:right w:type="dxa" w:w="90"/>
            </w:tcMar>
          </w:tcPr>
          <w:p>
            <w:pPr>
              <w:spacing w:after="20"/>
            </w:pPr>
            <w:r>
              <w:rPr>
                <w:sz w:val="17"/>
                <w:szCs w:val="17"/>
              </w:rPr>
              <w:t xml:space="preserve">Medium — early blocker</w:t>
            </w:r>
          </w:p>
        </w:tc>
        <w:tc>
          <w:tcPr>
            <w:tcW w:type="dxa" w:w="4160"/>
            <w:shd w:fill="EAF0FA" w:val="clear"/>
            <w:tcMar>
              <w:top w:type="dxa" w:w="50"/>
              <w:left w:type="dxa" w:w="90"/>
              <w:bottom w:type="dxa" w:w="50"/>
              <w:right w:type="dxa" w:w="90"/>
            </w:tcMar>
          </w:tcPr>
          <w:p>
            <w:pPr>
              <w:spacing w:after="20"/>
            </w:pPr>
            <w:r>
              <w:rPr>
                <w:sz w:val="17"/>
                <w:szCs w:val="17"/>
              </w:rPr>
              <w:t xml:space="preserve">Confirm com.facebook.presto:presto-jdbc with Lovadeep before wiring.</w:t>
            </w:r>
          </w:p>
        </w:tc>
      </w:tr>
      <w:tr>
        <w:tc>
          <w:tcPr>
            <w:tcW w:type="dxa" w:w="3000"/>
            <w:shd w:fill="FFFFFF" w:val="clear"/>
            <w:tcMar>
              <w:top w:type="dxa" w:w="50"/>
              <w:left w:type="dxa" w:w="90"/>
              <w:bottom w:type="dxa" w:w="50"/>
              <w:right w:type="dxa" w:w="90"/>
            </w:tcMar>
          </w:tcPr>
          <w:p>
            <w:pPr>
              <w:spacing w:after="20"/>
            </w:pPr>
            <w:r>
              <w:rPr>
                <w:sz w:val="17"/>
                <w:szCs w:val="17"/>
              </w:rPr>
              <w:t xml:space="preserve">Cosmetic CP4BA usage perceived by client</w:t>
            </w:r>
          </w:p>
        </w:tc>
        <w:tc>
          <w:tcPr>
            <w:tcW w:type="dxa" w:w="2200"/>
            <w:shd w:fill="FFFFFF" w:val="clear"/>
            <w:tcMar>
              <w:top w:type="dxa" w:w="50"/>
              <w:left w:type="dxa" w:w="90"/>
              <w:bottom w:type="dxa" w:w="50"/>
              <w:right w:type="dxa" w:w="90"/>
            </w:tcMar>
          </w:tcPr>
          <w:p>
            <w:pPr>
              <w:spacing w:after="20"/>
            </w:pPr>
            <w:r>
              <w:rPr>
                <w:sz w:val="17"/>
                <w:szCs w:val="17"/>
              </w:rPr>
              <w:t xml:space="preserve">Medium — commercial</w:t>
            </w:r>
          </w:p>
        </w:tc>
        <w:tc>
          <w:tcPr>
            <w:tcW w:type="dxa" w:w="4160"/>
            <w:shd w:fill="FFFFFF" w:val="clear"/>
            <w:tcMar>
              <w:top w:type="dxa" w:w="50"/>
              <w:left w:type="dxa" w:w="90"/>
              <w:bottom w:type="dxa" w:w="50"/>
              <w:right w:type="dxa" w:w="90"/>
            </w:tcMar>
          </w:tcPr>
          <w:p>
            <w:pPr>
              <w:spacing w:after="20"/>
            </w:pPr>
            <w:r>
              <w:rPr>
                <w:sz w:val="17"/>
                <w:szCs w:val="17"/>
              </w:rPr>
              <w:t xml:space="preserve">Lead the CP4BA story with genuine ODM authoring + maker-checker via the seam.</w:t>
            </w:r>
          </w:p>
        </w:tc>
      </w:tr>
      <w:tr>
        <w:tc>
          <w:tcPr>
            <w:tcW w:type="dxa" w:w="3000"/>
            <w:shd w:fill="EAF0FA" w:val="clear"/>
            <w:tcMar>
              <w:top w:type="dxa" w:w="50"/>
              <w:left w:type="dxa" w:w="90"/>
              <w:bottom w:type="dxa" w:w="50"/>
              <w:right w:type="dxa" w:w="90"/>
            </w:tcMar>
          </w:tcPr>
          <w:p>
            <w:pPr>
              <w:spacing w:after="20"/>
            </w:pPr>
            <w:r>
              <w:rPr>
                <w:sz w:val="17"/>
                <w:szCs w:val="17"/>
              </w:rPr>
              <w:t xml:space="preserve">Compiler complexity creep (nested/temporal logic)</w:t>
            </w:r>
          </w:p>
        </w:tc>
        <w:tc>
          <w:tcPr>
            <w:tcW w:type="dxa" w:w="2200"/>
            <w:shd w:fill="EAF0FA" w:val="clear"/>
            <w:tcMar>
              <w:top w:type="dxa" w:w="50"/>
              <w:left w:type="dxa" w:w="90"/>
              <w:bottom w:type="dxa" w:w="50"/>
              <w:right w:type="dxa" w:w="90"/>
            </w:tcMar>
          </w:tcPr>
          <w:p>
            <w:pPr>
              <w:spacing w:after="20"/>
            </w:pPr>
            <w:r>
              <w:rPr>
                <w:sz w:val="17"/>
                <w:szCs w:val="17"/>
              </w:rPr>
              <w:t xml:space="preserve">Medium</w:t>
            </w:r>
          </w:p>
        </w:tc>
        <w:tc>
          <w:tcPr>
            <w:tcW w:type="dxa" w:w="4160"/>
            <w:shd w:fill="EAF0FA" w:val="clear"/>
            <w:tcMar>
              <w:top w:type="dxa" w:w="50"/>
              <w:left w:type="dxa" w:w="90"/>
              <w:bottom w:type="dxa" w:w="50"/>
              <w:right w:type="dxa" w:w="90"/>
            </w:tcMar>
          </w:tcPr>
          <w:p>
            <w:pPr>
              <w:spacing w:after="20"/>
            </w:pPr>
            <w:r>
              <w:rPr>
                <w:sz w:val="17"/>
                <w:szCs w:val="17"/>
              </w:rPr>
              <w:t xml:space="preserve">Pre-materialise derived fields; keep compiler to flat predicates.</w:t>
            </w:r>
          </w:p>
        </w:tc>
      </w:tr>
      <w:tr>
        <w:tc>
          <w:tcPr>
            <w:tcW w:type="dxa" w:w="3000"/>
            <w:shd w:fill="FFFFFF" w:val="clear"/>
            <w:tcMar>
              <w:top w:type="dxa" w:w="50"/>
              <w:left w:type="dxa" w:w="90"/>
              <w:bottom w:type="dxa" w:w="50"/>
              <w:right w:type="dxa" w:w="90"/>
            </w:tcMar>
          </w:tcPr>
          <w:p>
            <w:pPr>
              <w:spacing w:after="20"/>
            </w:pPr>
            <w:r>
              <w:rPr>
                <w:sz w:val="17"/>
                <w:szCs w:val="17"/>
              </w:rPr>
              <w:t xml:space="preserve">Local Presto/Iceberg/MinIO setup friction</w:t>
            </w:r>
          </w:p>
        </w:tc>
        <w:tc>
          <w:tcPr>
            <w:tcW w:type="dxa" w:w="2200"/>
            <w:shd w:fill="FFFFFF" w:val="clear"/>
            <w:tcMar>
              <w:top w:type="dxa" w:w="50"/>
              <w:left w:type="dxa" w:w="90"/>
              <w:bottom w:type="dxa" w:w="50"/>
              <w:right w:type="dxa" w:w="90"/>
            </w:tcMar>
          </w:tcPr>
          <w:p>
            <w:pPr>
              <w:spacing w:after="20"/>
            </w:pPr>
            <w:r>
              <w:rPr>
                <w:sz w:val="17"/>
                <w:szCs w:val="17"/>
              </w:rPr>
              <w:t xml:space="preserve">Medium — schedule</w:t>
            </w:r>
          </w:p>
        </w:tc>
        <w:tc>
          <w:tcPr>
            <w:tcW w:type="dxa" w:w="4160"/>
            <w:shd w:fill="FFFFFF" w:val="clear"/>
            <w:tcMar>
              <w:top w:type="dxa" w:w="50"/>
              <w:left w:type="dxa" w:w="90"/>
              <w:bottom w:type="dxa" w:w="50"/>
              <w:right w:type="dxa" w:w="90"/>
            </w:tcMar>
          </w:tcPr>
          <w:p>
            <w:pPr>
              <w:spacing w:after="20"/>
            </w:pPr>
            <w:r>
              <w:rPr>
                <w:sz w:val="17"/>
                <w:szCs w:val="17"/>
              </w:rPr>
              <w:t xml:space="preserve">Build behind data-access interface; keep a synthetic fallback path.</w:t>
            </w:r>
          </w:p>
        </w:tc>
      </w:tr>
      <w:tr>
        <w:tc>
          <w:tcPr>
            <w:tcW w:type="dxa" w:w="3000"/>
            <w:shd w:fill="EAF0FA" w:val="clear"/>
            <w:tcMar>
              <w:top w:type="dxa" w:w="50"/>
              <w:left w:type="dxa" w:w="90"/>
              <w:bottom w:type="dxa" w:w="50"/>
              <w:right w:type="dxa" w:w="90"/>
            </w:tcMar>
          </w:tcPr>
          <w:p>
            <w:pPr>
              <w:spacing w:after="20"/>
            </w:pPr>
            <w:r>
              <w:rPr>
                <w:sz w:val="17"/>
                <w:szCs w:val="17"/>
              </w:rPr>
              <w:t xml:space="preserve">Team CP4BA inexperience</w:t>
            </w:r>
          </w:p>
        </w:tc>
        <w:tc>
          <w:tcPr>
            <w:tcW w:type="dxa" w:w="2200"/>
            <w:shd w:fill="EAF0FA" w:val="clear"/>
            <w:tcMar>
              <w:top w:type="dxa" w:w="50"/>
              <w:left w:type="dxa" w:w="90"/>
              <w:bottom w:type="dxa" w:w="50"/>
              <w:right w:type="dxa" w:w="90"/>
            </w:tcMar>
          </w:tcPr>
          <w:p>
            <w:pPr>
              <w:spacing w:after="20"/>
            </w:pPr>
            <w:r>
              <w:rPr>
                <w:sz w:val="17"/>
                <w:szCs w:val="17"/>
              </w:rPr>
              <w:t xml:space="preserve">High for CP4BA path</w:t>
            </w:r>
          </w:p>
        </w:tc>
        <w:tc>
          <w:tcPr>
            <w:tcW w:type="dxa" w:w="4160"/>
            <w:shd w:fill="EAF0FA" w:val="clear"/>
            <w:tcMar>
              <w:top w:type="dxa" w:w="50"/>
              <w:left w:type="dxa" w:w="90"/>
              <w:bottom w:type="dxa" w:w="50"/>
              <w:right w:type="dxa" w:w="90"/>
            </w:tcMar>
          </w:tcPr>
          <w:p>
            <w:pPr>
              <w:spacing w:after="20"/>
            </w:pPr>
            <w:r>
              <w:rPr>
                <w:sz w:val="17"/>
                <w:szCs w:val="17"/>
              </w:rPr>
              <w:t xml:space="preserve">IBM-led enablement using this use case as the worked example; SRSE ships independently.</w:t>
            </w:r>
          </w:p>
        </w:tc>
      </w:tr>
    </w:tbl>
    <w:p>
      <w:pPr>
        <w:pStyle w:val="Heading2"/>
        <w:spacing w:after="120" w:before="240"/>
      </w:pPr>
      <w:r>
        <w:rPr>
          <w:b/>
          <w:bCs/>
          <w:color w:val="2E5496"/>
          <w:sz w:val="26"/>
          <w:szCs w:val="26"/>
        </w:rPr>
        <w:t xml:space="preserve">12.3 Open Questions</w:t>
      </w:r>
    </w:p>
    <w:p>
      <w:pPr>
        <w:pStyle w:val="ListParagraph"/>
        <w:numPr>
          <w:ilvl w:val="0"/>
          <w:numId w:val="7"/>
        </w:numPr>
        <w:spacing w:after="60" w:line="264"/>
      </w:pPr>
      <w:r>
        <w:rPr>
          <w:sz w:val="21"/>
          <w:szCs w:val="21"/>
        </w:rPr>
        <w:t xml:space="preserve">PrestoDB vs Trino driver coordinates for watsonx.data 2.3.1 — Lovadeep.</w:t>
      </w:r>
    </w:p>
    <w:p>
      <w:pPr>
        <w:pStyle w:val="ListParagraph"/>
        <w:numPr>
          <w:ilvl w:val="0"/>
          <w:numId w:val="7"/>
        </w:numPr>
        <w:spacing w:after="60" w:line="264"/>
      </w:pPr>
      <w:r>
        <w:rPr>
          <w:sz w:val="21"/>
          <w:szCs w:val="21"/>
        </w:rPr>
        <w:t xml:space="preserve">SRSE operational-store DB2 placement (dedicated schema vs instance) — Lovadeep.</w:t>
      </w:r>
    </w:p>
    <w:p>
      <w:pPr>
        <w:pStyle w:val="ListParagraph"/>
        <w:numPr>
          <w:ilvl w:val="0"/>
          <w:numId w:val="7"/>
        </w:numPr>
        <w:spacing w:after="60" w:line="264"/>
      </w:pPr>
      <w:r>
        <w:rPr>
          <w:sz w:val="21"/>
          <w:szCs w:val="21"/>
        </w:rPr>
        <w:t xml:space="preserve">ODM vs Automation Decision Services as the eventual authoring surface — settled during IBM enablement.</w:t>
      </w:r>
    </w:p>
    <w:p>
      <w:pPr>
        <w:pStyle w:val="ListParagraph"/>
        <w:numPr>
          <w:ilvl w:val="0"/>
          <w:numId w:val="7"/>
        </w:numPr>
        <w:spacing w:after="60" w:line="264"/>
      </w:pPr>
      <w:r>
        <w:rPr>
          <w:sz w:val="21"/>
          <w:szCs w:val="21"/>
        </w:rPr>
        <w:t xml:space="preserve">Exact set of demographic breakdown dimensions officers need beyond district/gender/age-band.</w:t>
      </w:r>
    </w:p>
    <w:p>
      <w:pPr>
        <w:pStyle w:val="ListParagraph"/>
        <w:numPr>
          <w:ilvl w:val="0"/>
          <w:numId w:val="7"/>
        </w:numPr>
        <w:spacing w:after="60" w:line="264"/>
      </w:pPr>
      <w:r>
        <w:rPr>
          <w:sz w:val="21"/>
          <w:szCs w:val="21"/>
        </w:rPr>
        <w:t xml:space="preserve">Whether cohort drill-down data may leave the query engine at all in the client environment (data-governance constraint).</w:t>
      </w:r>
    </w:p>
    <w:p>
      <w:r>
        <w:br w:type="page"/>
      </w:r>
    </w:p>
    <w:p>
      <w:pPr>
        <w:pStyle w:val="Heading1"/>
        <w:spacing w:after="160" w:before="320"/>
      </w:pPr>
      <w:r>
        <w:rPr>
          <w:b/>
          <w:bCs/>
          <w:color w:val="1F3864"/>
          <w:sz w:val="30"/>
          <w:szCs w:val="30"/>
        </w:rPr>
        <w:t xml:space="preserve">Appendix A — RFP Traceability Matrix</w:t>
      </w:r>
    </w:p>
    <w:tbl>
      <w:tblPr>
        <w:tblW w:type="dxa" w:w="9360"/>
        <w:tblBorders>
          <w:top w:val="single" w:color="AAAAAA" w:sz="2"/>
          <w:left w:val="single" w:color="AAAAAA" w:sz="2"/>
          <w:bottom w:val="single" w:color="AAAAAA" w:sz="2"/>
          <w:right w:val="single" w:color="AAAAAA" w:sz="2"/>
          <w:insideH w:val="single" w:color="CCCCCC" w:sz="1"/>
          <w:insideV w:val="single" w:color="CCCCCC" w:sz="1"/>
        </w:tblBorders>
      </w:tblPr>
      <w:tblGrid>
        <w:gridCol w:w="4200"/>
        <w:gridCol w:w="3160"/>
        <w:gridCol w:w="2000"/>
      </w:tblGrid>
      <w:tr>
        <w:trPr>
          <w:tblHeader/>
        </w:trPr>
        <w:tc>
          <w:tcPr>
            <w:tcW w:type="dxa" w:w="4200"/>
            <w:shd w:fill="1F3864" w:val="clear"/>
            <w:tcMar>
              <w:top w:type="dxa" w:w="60"/>
              <w:left w:type="dxa" w:w="90"/>
              <w:bottom w:type="dxa" w:w="60"/>
              <w:right w:type="dxa" w:w="90"/>
            </w:tcMar>
          </w:tcPr>
          <w:p>
            <w:r>
              <w:rPr>
                <w:b/>
                <w:bCs/>
                <w:color w:val="FFFFFF"/>
                <w:sz w:val="18"/>
                <w:szCs w:val="18"/>
              </w:rPr>
              <w:t xml:space="preserve">RFP requirement (paraphrased)</w:t>
            </w:r>
          </w:p>
        </w:tc>
        <w:tc>
          <w:tcPr>
            <w:tcW w:type="dxa" w:w="3160"/>
            <w:shd w:fill="1F3864" w:val="clear"/>
            <w:tcMar>
              <w:top w:type="dxa" w:w="60"/>
              <w:left w:type="dxa" w:w="90"/>
              <w:bottom w:type="dxa" w:w="60"/>
              <w:right w:type="dxa" w:w="90"/>
            </w:tcMar>
          </w:tcPr>
          <w:p>
            <w:r>
              <w:rPr>
                <w:b/>
                <w:bCs/>
                <w:color w:val="FFFFFF"/>
                <w:sz w:val="18"/>
                <w:szCs w:val="18"/>
              </w:rPr>
              <w:t xml:space="preserve">SRSE component</w:t>
            </w:r>
          </w:p>
        </w:tc>
        <w:tc>
          <w:tcPr>
            <w:tcW w:type="dxa" w:w="2000"/>
            <w:shd w:fill="1F3864" w:val="clear"/>
            <w:tcMar>
              <w:top w:type="dxa" w:w="60"/>
              <w:left w:type="dxa" w:w="90"/>
              <w:bottom w:type="dxa" w:w="60"/>
              <w:right w:type="dxa" w:w="90"/>
            </w:tcMar>
          </w:tcPr>
          <w:p>
            <w:r>
              <w:rPr>
                <w:b/>
                <w:bCs/>
                <w:color w:val="FFFFFF"/>
                <w:sz w:val="18"/>
                <w:szCs w:val="18"/>
              </w:rPr>
              <w:t xml:space="preserve">Section</w:t>
            </w:r>
          </w:p>
        </w:tc>
      </w:tr>
      <w:tr>
        <w:tc>
          <w:tcPr>
            <w:tcW w:type="dxa" w:w="4200"/>
            <w:shd w:fill="FFFFFF" w:val="clear"/>
            <w:tcMar>
              <w:top w:type="dxa" w:w="50"/>
              <w:left w:type="dxa" w:w="90"/>
              <w:bottom w:type="dxa" w:w="50"/>
              <w:right w:type="dxa" w:w="90"/>
            </w:tcMar>
          </w:tcPr>
          <w:p>
            <w:pPr>
              <w:spacing w:after="20"/>
            </w:pPr>
            <w:r>
              <w:rPr>
                <w:sz w:val="17"/>
                <w:szCs w:val="17"/>
              </w:rPr>
              <w:t xml:space="preserve">DMN-based business rules</w:t>
            </w:r>
          </w:p>
        </w:tc>
        <w:tc>
          <w:tcPr>
            <w:tcW w:type="dxa" w:w="3160"/>
            <w:shd w:fill="FFFFFF" w:val="clear"/>
            <w:tcMar>
              <w:top w:type="dxa" w:w="50"/>
              <w:left w:type="dxa" w:w="90"/>
              <w:bottom w:type="dxa" w:w="50"/>
              <w:right w:type="dxa" w:w="90"/>
            </w:tcMar>
          </w:tcPr>
          <w:p>
            <w:pPr>
              <w:spacing w:after="20"/>
            </w:pPr>
            <w:r>
              <w:rPr>
                <w:sz w:val="17"/>
                <w:szCs w:val="17"/>
              </w:rPr>
              <w:t xml:space="preserve">DMN-shaped rule model / decision tables</w:t>
            </w:r>
          </w:p>
        </w:tc>
        <w:tc>
          <w:tcPr>
            <w:tcW w:type="dxa" w:w="2000"/>
            <w:shd w:fill="FFFFFF" w:val="clear"/>
            <w:tcMar>
              <w:top w:type="dxa" w:w="50"/>
              <w:left w:type="dxa" w:w="90"/>
              <w:bottom w:type="dxa" w:w="50"/>
              <w:right w:type="dxa" w:w="90"/>
            </w:tcMar>
          </w:tcPr>
          <w:p>
            <w:pPr>
              <w:spacing w:after="20"/>
            </w:pPr>
            <w:r>
              <w:rPr>
                <w:sz w:val="17"/>
                <w:szCs w:val="17"/>
              </w:rPr>
              <w:t xml:space="preserve">3.2, 5.1, App B</w:t>
            </w:r>
          </w:p>
        </w:tc>
      </w:tr>
      <w:tr>
        <w:tc>
          <w:tcPr>
            <w:tcW w:type="dxa" w:w="4200"/>
            <w:shd w:fill="EAF0FA" w:val="clear"/>
            <w:tcMar>
              <w:top w:type="dxa" w:w="50"/>
              <w:left w:type="dxa" w:w="90"/>
              <w:bottom w:type="dxa" w:w="50"/>
              <w:right w:type="dxa" w:w="90"/>
            </w:tcMar>
          </w:tcPr>
          <w:p>
            <w:pPr>
              <w:spacing w:after="20"/>
            </w:pPr>
            <w:r>
              <w:rPr>
                <w:sz w:val="17"/>
                <w:szCs w:val="17"/>
              </w:rPr>
              <w:t xml:space="preserve">Rule engine &amp; workflow platform</w:t>
            </w:r>
          </w:p>
        </w:tc>
        <w:tc>
          <w:tcPr>
            <w:tcW w:type="dxa" w:w="3160"/>
            <w:shd w:fill="EAF0FA" w:val="clear"/>
            <w:tcMar>
              <w:top w:type="dxa" w:w="50"/>
              <w:left w:type="dxa" w:w="90"/>
              <w:bottom w:type="dxa" w:w="50"/>
              <w:right w:type="dxa" w:w="90"/>
            </w:tcMar>
          </w:tcPr>
          <w:p>
            <w:pPr>
              <w:spacing w:after="20"/>
            </w:pPr>
            <w:r>
              <w:rPr>
                <w:sz w:val="17"/>
                <w:szCs w:val="17"/>
              </w:rPr>
              <w:t xml:space="preserve">Compiler + execution; CP4BA path</w:t>
            </w:r>
          </w:p>
        </w:tc>
        <w:tc>
          <w:tcPr>
            <w:tcW w:type="dxa" w:w="2000"/>
            <w:shd w:fill="EAF0FA" w:val="clear"/>
            <w:tcMar>
              <w:top w:type="dxa" w:w="50"/>
              <w:left w:type="dxa" w:w="90"/>
              <w:bottom w:type="dxa" w:w="50"/>
              <w:right w:type="dxa" w:w="90"/>
            </w:tcMar>
          </w:tcPr>
          <w:p>
            <w:pPr>
              <w:spacing w:after="20"/>
            </w:pPr>
            <w:r>
              <w:rPr>
                <w:sz w:val="17"/>
                <w:szCs w:val="17"/>
              </w:rPr>
              <w:t xml:space="preserve">6.1–6.2, 5, 12</w:t>
            </w:r>
          </w:p>
        </w:tc>
      </w:tr>
      <w:tr>
        <w:tc>
          <w:tcPr>
            <w:tcW w:type="dxa" w:w="4200"/>
            <w:shd w:fill="FFFFFF" w:val="clear"/>
            <w:tcMar>
              <w:top w:type="dxa" w:w="50"/>
              <w:left w:type="dxa" w:w="90"/>
              <w:bottom w:type="dxa" w:w="50"/>
              <w:right w:type="dxa" w:w="90"/>
            </w:tcMar>
          </w:tcPr>
          <w:p>
            <w:pPr>
              <w:spacing w:after="20"/>
            </w:pPr>
            <w:r>
              <w:rPr>
                <w:sz w:val="17"/>
                <w:szCs w:val="17"/>
              </w:rPr>
              <w:t xml:space="preserve">Eligibility against authentic data</w:t>
            </w:r>
          </w:p>
        </w:tc>
        <w:tc>
          <w:tcPr>
            <w:tcW w:type="dxa" w:w="3160"/>
            <w:shd w:fill="FFFFFF" w:val="clear"/>
            <w:tcMar>
              <w:top w:type="dxa" w:w="50"/>
              <w:left w:type="dxa" w:w="90"/>
              <w:bottom w:type="dxa" w:w="50"/>
              <w:right w:type="dxa" w:w="90"/>
            </w:tcMar>
          </w:tcPr>
          <w:p>
            <w:pPr>
              <w:spacing w:after="20"/>
            </w:pPr>
            <w:r>
              <w:rPr>
                <w:sz w:val="17"/>
                <w:szCs w:val="17"/>
              </w:rPr>
              <w:t xml:space="preserve">Push-down over Golden Layer</w:t>
            </w:r>
          </w:p>
        </w:tc>
        <w:tc>
          <w:tcPr>
            <w:tcW w:type="dxa" w:w="2000"/>
            <w:shd w:fill="FFFFFF" w:val="clear"/>
            <w:tcMar>
              <w:top w:type="dxa" w:w="50"/>
              <w:left w:type="dxa" w:w="90"/>
              <w:bottom w:type="dxa" w:w="50"/>
              <w:right w:type="dxa" w:w="90"/>
            </w:tcMar>
          </w:tcPr>
          <w:p>
            <w:pPr>
              <w:spacing w:after="20"/>
            </w:pPr>
            <w:r>
              <w:rPr>
                <w:sz w:val="17"/>
                <w:szCs w:val="17"/>
              </w:rPr>
              <w:t xml:space="preserve">3.3, 6.2</w:t>
            </w:r>
          </w:p>
        </w:tc>
      </w:tr>
      <w:tr>
        <w:tc>
          <w:tcPr>
            <w:tcW w:type="dxa" w:w="4200"/>
            <w:shd w:fill="EAF0FA" w:val="clear"/>
            <w:tcMar>
              <w:top w:type="dxa" w:w="50"/>
              <w:left w:type="dxa" w:w="90"/>
              <w:bottom w:type="dxa" w:w="50"/>
              <w:right w:type="dxa" w:w="90"/>
            </w:tcMar>
          </w:tcPr>
          <w:p>
            <w:pPr>
              <w:spacing w:after="20"/>
            </w:pPr>
            <w:r>
              <w:rPr>
                <w:sz w:val="17"/>
                <w:szCs w:val="17"/>
              </w:rPr>
              <w:t xml:space="preserve">Maker-checker governance</w:t>
            </w:r>
          </w:p>
        </w:tc>
        <w:tc>
          <w:tcPr>
            <w:tcW w:type="dxa" w:w="3160"/>
            <w:shd w:fill="EAF0FA" w:val="clear"/>
            <w:tcMar>
              <w:top w:type="dxa" w:w="50"/>
              <w:left w:type="dxa" w:w="90"/>
              <w:bottom w:type="dxa" w:w="50"/>
              <w:right w:type="dxa" w:w="90"/>
            </w:tcMar>
          </w:tcPr>
          <w:p>
            <w:pPr>
              <w:spacing w:after="20"/>
            </w:pPr>
            <w:r>
              <w:rPr>
                <w:sz w:val="17"/>
                <w:szCs w:val="17"/>
              </w:rPr>
              <w:t xml:space="preserve">Ruleset promotion approval</w:t>
            </w:r>
          </w:p>
        </w:tc>
        <w:tc>
          <w:tcPr>
            <w:tcW w:type="dxa" w:w="2000"/>
            <w:shd w:fill="EAF0FA" w:val="clear"/>
            <w:tcMar>
              <w:top w:type="dxa" w:w="50"/>
              <w:left w:type="dxa" w:w="90"/>
              <w:bottom w:type="dxa" w:w="50"/>
              <w:right w:type="dxa" w:w="90"/>
            </w:tcMar>
          </w:tcPr>
          <w:p>
            <w:pPr>
              <w:spacing w:after="20"/>
            </w:pPr>
            <w:r>
              <w:rPr>
                <w:sz w:val="17"/>
                <w:szCs w:val="17"/>
              </w:rPr>
              <w:t xml:space="preserve">5.1.4, 6.5, 9.1</w:t>
            </w:r>
          </w:p>
        </w:tc>
      </w:tr>
      <w:tr>
        <w:tc>
          <w:tcPr>
            <w:tcW w:type="dxa" w:w="4200"/>
            <w:shd w:fill="FFFFFF" w:val="clear"/>
            <w:tcMar>
              <w:top w:type="dxa" w:w="50"/>
              <w:left w:type="dxa" w:w="90"/>
              <w:bottom w:type="dxa" w:w="50"/>
              <w:right w:type="dxa" w:w="90"/>
            </w:tcMar>
          </w:tcPr>
          <w:p>
            <w:pPr>
              <w:spacing w:after="20"/>
            </w:pPr>
            <w:r>
              <w:rPr>
                <w:sz w:val="17"/>
                <w:szCs w:val="17"/>
              </w:rPr>
              <w:t xml:space="preserve">Self-service departmental analysis</w:t>
            </w:r>
          </w:p>
        </w:tc>
        <w:tc>
          <w:tcPr>
            <w:tcW w:type="dxa" w:w="3160"/>
            <w:shd w:fill="FFFFFF" w:val="clear"/>
            <w:tcMar>
              <w:top w:type="dxa" w:w="50"/>
              <w:left w:type="dxa" w:w="90"/>
              <w:bottom w:type="dxa" w:w="50"/>
              <w:right w:type="dxa" w:w="90"/>
            </w:tcMar>
          </w:tcPr>
          <w:p>
            <w:pPr>
              <w:spacing w:after="20"/>
            </w:pPr>
            <w:r>
              <w:rPr>
                <w:sz w:val="17"/>
                <w:szCs w:val="17"/>
              </w:rPr>
              <w:t xml:space="preserve">Officer rule builder + simulation</w:t>
            </w:r>
          </w:p>
        </w:tc>
        <w:tc>
          <w:tcPr>
            <w:tcW w:type="dxa" w:w="2000"/>
            <w:shd w:fill="FFFFFF" w:val="clear"/>
            <w:tcMar>
              <w:top w:type="dxa" w:w="50"/>
              <w:left w:type="dxa" w:w="90"/>
              <w:bottom w:type="dxa" w:w="50"/>
              <w:right w:type="dxa" w:w="90"/>
            </w:tcMar>
          </w:tcPr>
          <w:p>
            <w:pPr>
              <w:spacing w:after="20"/>
            </w:pPr>
            <w:r>
              <w:rPr>
                <w:sz w:val="17"/>
                <w:szCs w:val="17"/>
              </w:rPr>
              <w:t xml:space="preserve">6.5, 8.4</w:t>
            </w:r>
          </w:p>
        </w:tc>
      </w:tr>
    </w:tbl>
    <w:p>
      <w:pPr>
        <w:pStyle w:val="Heading1"/>
        <w:spacing w:after="160" w:before="320"/>
      </w:pPr>
      <w:r>
        <w:rPr>
          <w:b/>
          <w:bCs/>
          <w:color w:val="1F3864"/>
          <w:sz w:val="30"/>
          <w:szCs w:val="30"/>
        </w:rPr>
        <w:t xml:space="preserve">Appendix B — Worked Example: Ekal Naari (Divorced Woman) Pension</w:t>
      </w:r>
    </w:p>
    <w:p>
      <w:pPr>
        <w:spacing w:after="120" w:line="276"/>
        <w:jc w:val="both"/>
      </w:pPr>
      <w:r>
        <w:rPr>
          <w:sz w:val="21"/>
          <w:szCs w:val="21"/>
        </w:rPr>
        <w:t xml:space="preserve">Official ruleset (from confirmed criteria): divorced woman, age ≥ 18, total annual income &lt; ₹48,000, holds domicile; income condition exempted for BPL/Antyodaya cardholders or Sahariya/Kathodi/Khairwa communities.</w:t>
      </w:r>
    </w:p>
    <w:p>
      <w:pPr>
        <w:pStyle w:val="Heading3"/>
        <w:spacing w:after="100" w:before="180"/>
      </w:pPr>
      <w:r>
        <w:rPr>
          <w:b/>
          <w:bCs/>
          <w:color w:val="2E5496"/>
          <w:sz w:val="23"/>
          <w:szCs w:val="23"/>
        </w:rPr>
        <w:t xml:space="preserve">B.1 Rule AST (official)</w:t>
      </w:r>
    </w:p>
    <w:p>
      <w:pPr>
        <w:shd w:fill="F2F2F2" w:val="clear"/>
        <w:spacing w:after="0" w:line="240"/>
      </w:pPr>
      <w:r>
        <w:rPr>
          <w:rFonts w:ascii="Consolas" w:cs="Consolas" w:eastAsia="Consolas" w:hAnsi="Consolas"/>
          <w:color w:val="1A1A1A"/>
          <w:sz w:val="18"/>
          <w:szCs w:val="18"/>
        </w:rPr>
        <w:t xml:space="preserve">AND</w:t>
      </w:r>
    </w:p>
    <w:p>
      <w:pPr>
        <w:shd w:fill="F2F2F2" w:val="clear"/>
        <w:spacing w:after="0" w:line="240"/>
      </w:pPr>
      <w:r>
        <w:rPr>
          <w:rFonts w:ascii="Consolas" w:cs="Consolas" w:eastAsia="Consolas" w:hAnsi="Consolas"/>
          <w:color w:val="1A1A1A"/>
          <w:sz w:val="18"/>
          <w:szCs w:val="18"/>
        </w:rPr>
        <w:t xml:space="preserve">├─ marital_status        EQ  'DIVORCED'</w:t>
      </w:r>
    </w:p>
    <w:p>
      <w:pPr>
        <w:shd w:fill="F2F2F2" w:val="clear"/>
        <w:spacing w:after="0" w:line="240"/>
      </w:pPr>
      <w:r>
        <w:rPr>
          <w:rFonts w:ascii="Consolas" w:cs="Consolas" w:eastAsia="Consolas" w:hAnsi="Consolas"/>
          <w:color w:val="1A1A1A"/>
          <w:sz w:val="18"/>
          <w:szCs w:val="18"/>
        </w:rPr>
        <w:t xml:space="preserve">├─ gender                EQ  'FEMALE'</w:t>
      </w:r>
    </w:p>
    <w:p>
      <w:pPr>
        <w:shd w:fill="F2F2F2" w:val="clear"/>
        <w:spacing w:after="0" w:line="240"/>
      </w:pPr>
      <w:r>
        <w:rPr>
          <w:rFonts w:ascii="Consolas" w:cs="Consolas" w:eastAsia="Consolas" w:hAnsi="Consolas"/>
          <w:color w:val="1A1A1A"/>
          <w:sz w:val="18"/>
          <w:szCs w:val="18"/>
        </w:rPr>
        <w:t xml:space="preserve">├─ age_years             GTE 18</w:t>
      </w:r>
    </w:p>
    <w:p>
      <w:pPr>
        <w:shd w:fill="F2F2F2" w:val="clear"/>
        <w:spacing w:after="0" w:line="240"/>
      </w:pPr>
      <w:r>
        <w:rPr>
          <w:rFonts w:ascii="Consolas" w:cs="Consolas" w:eastAsia="Consolas" w:hAnsi="Consolas"/>
          <w:color w:val="1A1A1A"/>
          <w:sz w:val="18"/>
          <w:szCs w:val="18"/>
        </w:rPr>
        <w:t xml:space="preserve">├─ is_domicile_holder    IS_TRUE</w:t>
      </w:r>
    </w:p>
    <w:p>
      <w:pPr>
        <w:shd w:fill="F2F2F2" w:val="clear"/>
        <w:spacing w:after="0" w:line="240"/>
      </w:pPr>
      <w:r>
        <w:rPr>
          <w:rFonts w:ascii="Consolas" w:cs="Consolas" w:eastAsia="Consolas" w:hAnsi="Consolas"/>
          <w:color w:val="1A1A1A"/>
          <w:sz w:val="18"/>
          <w:szCs w:val="18"/>
        </w:rPr>
        <w:t xml:space="preserve">└─ OR                                   // income OR exemption</w:t>
      </w:r>
    </w:p>
    <w:p>
      <w:pPr>
        <w:shd w:fill="F2F2F2" w:val="clear"/>
        <w:spacing w:after="0" w:line="240"/>
      </w:pPr>
      <w:r>
        <w:rPr>
          <w:rFonts w:ascii="Consolas" w:cs="Consolas" w:eastAsia="Consolas" w:hAnsi="Consolas"/>
          <w:color w:val="1A1A1A"/>
          <w:sz w:val="18"/>
          <w:szCs w:val="18"/>
        </w:rPr>
        <w:t xml:space="preserve">   ├─ annual_income_total LT 48000</w:t>
      </w:r>
    </w:p>
    <w:p>
      <w:pPr>
        <w:shd w:fill="F2F2F2" w:val="clear"/>
        <w:spacing w:after="0" w:line="240"/>
      </w:pPr>
      <w:r>
        <w:rPr>
          <w:rFonts w:ascii="Consolas" w:cs="Consolas" w:eastAsia="Consolas" w:hAnsi="Consolas"/>
          <w:color w:val="1A1A1A"/>
          <w:sz w:val="18"/>
          <w:szCs w:val="18"/>
        </w:rPr>
        <w:t xml:space="preserve">   ├─ ration_card_category IN ['BPL','ANTYODAYA']</w:t>
      </w:r>
    </w:p>
    <w:p>
      <w:pPr>
        <w:shd w:fill="F2F2F2" w:val="clear"/>
        <w:spacing w:after="0" w:line="240"/>
      </w:pPr>
      <w:r>
        <w:rPr>
          <w:rFonts w:ascii="Consolas" w:cs="Consolas" w:eastAsia="Consolas" w:hAnsi="Consolas"/>
          <w:color w:val="1A1A1A"/>
          <w:sz w:val="18"/>
          <w:szCs w:val="18"/>
        </w:rPr>
        <w:t xml:space="preserve">   └─ community            IN ['SAHARIYA','KATHODI','KHAIRWA']</w:t>
      </w:r>
    </w:p>
    <w:p>
      <w:pPr>
        <w:pStyle w:val="Heading3"/>
        <w:spacing w:after="100" w:before="180"/>
      </w:pPr>
      <w:r>
        <w:rPr>
          <w:b/>
          <w:bCs/>
          <w:color w:val="2E5496"/>
          <w:sz w:val="23"/>
          <w:szCs w:val="23"/>
        </w:rPr>
        <w:t xml:space="preserve">B.2 Compiled Presto SQL (count + breakdown)</w:t>
      </w:r>
    </w:p>
    <w:p>
      <w:pPr>
        <w:shd w:fill="F2F2F2" w:val="clear"/>
        <w:spacing w:after="0" w:line="240"/>
      </w:pPr>
      <w:r>
        <w:rPr>
          <w:rFonts w:ascii="Consolas" w:cs="Consolas" w:eastAsia="Consolas" w:hAnsi="Consolas"/>
          <w:color w:val="1A1A1A"/>
          <w:sz w:val="18"/>
          <w:szCs w:val="18"/>
        </w:rPr>
        <w:t xml:space="preserve">SELECT district, gender, age_band, COUNT(*) AS n</w:t>
      </w:r>
    </w:p>
    <w:p>
      <w:pPr>
        <w:shd w:fill="F2F2F2" w:val="clear"/>
        <w:spacing w:after="0" w:line="240"/>
      </w:pPr>
      <w:r>
        <w:rPr>
          <w:rFonts w:ascii="Consolas" w:cs="Consolas" w:eastAsia="Consolas" w:hAnsi="Consolas"/>
          <w:color w:val="1A1A1A"/>
          <w:sz w:val="18"/>
          <w:szCs w:val="18"/>
        </w:rPr>
        <w:t xml:space="preserve">FROM   beneficiary            -- mapped physical table</w:t>
      </w:r>
    </w:p>
    <w:p>
      <w:pPr>
        <w:shd w:fill="F2F2F2" w:val="clear"/>
        <w:spacing w:after="0" w:line="240"/>
      </w:pPr>
      <w:r>
        <w:rPr>
          <w:rFonts w:ascii="Consolas" w:cs="Consolas" w:eastAsia="Consolas" w:hAnsi="Consolas"/>
          <w:color w:val="1A1A1A"/>
          <w:sz w:val="18"/>
          <w:szCs w:val="18"/>
        </w:rPr>
        <w:t xml:space="preserve">WHERE  marital_status = ?     -- 'DIVORCED'</w:t>
      </w:r>
    </w:p>
    <w:p>
      <w:pPr>
        <w:shd w:fill="F2F2F2" w:val="clear"/>
        <w:spacing w:after="0" w:line="240"/>
      </w:pPr>
      <w:r>
        <w:rPr>
          <w:rFonts w:ascii="Consolas" w:cs="Consolas" w:eastAsia="Consolas" w:hAnsi="Consolas"/>
          <w:color w:val="1A1A1A"/>
          <w:sz w:val="18"/>
          <w:szCs w:val="18"/>
        </w:rPr>
        <w:t xml:space="preserve">  AND  gender = ?             -- 'FEMALE'</w:t>
      </w:r>
    </w:p>
    <w:p>
      <w:pPr>
        <w:shd w:fill="F2F2F2" w:val="clear"/>
        <w:spacing w:after="0" w:line="240"/>
      </w:pPr>
      <w:r>
        <w:rPr>
          <w:rFonts w:ascii="Consolas" w:cs="Consolas" w:eastAsia="Consolas" w:hAnsi="Consolas"/>
          <w:color w:val="1A1A1A"/>
          <w:sz w:val="18"/>
          <w:szCs w:val="18"/>
        </w:rPr>
        <w:t xml:space="preserve">  AND  age_years &gt;= ?         -- 18</w:t>
      </w:r>
    </w:p>
    <w:p>
      <w:pPr>
        <w:shd w:fill="F2F2F2" w:val="clear"/>
        <w:spacing w:after="0" w:line="240"/>
      </w:pPr>
      <w:r>
        <w:rPr>
          <w:rFonts w:ascii="Consolas" w:cs="Consolas" w:eastAsia="Consolas" w:hAnsi="Consolas"/>
          <w:color w:val="1A1A1A"/>
          <w:sz w:val="18"/>
          <w:szCs w:val="18"/>
        </w:rPr>
        <w:t xml:space="preserve">  AND  is_domicile_holder = TRUE</w:t>
      </w:r>
    </w:p>
    <w:p>
      <w:pPr>
        <w:shd w:fill="F2F2F2" w:val="clear"/>
        <w:spacing w:after="0" w:line="240"/>
      </w:pPr>
      <w:r>
        <w:rPr>
          <w:rFonts w:ascii="Consolas" w:cs="Consolas" w:eastAsia="Consolas" w:hAnsi="Consolas"/>
          <w:color w:val="1A1A1A"/>
          <w:sz w:val="18"/>
          <w:szCs w:val="18"/>
        </w:rPr>
        <w:t xml:space="preserve">  AND  ( annual_income_total &lt; ?          -- 48000</w:t>
      </w:r>
    </w:p>
    <w:p>
      <w:pPr>
        <w:shd w:fill="F2F2F2" w:val="clear"/>
        <w:spacing w:after="0" w:line="240"/>
      </w:pPr>
      <w:r>
        <w:rPr>
          <w:rFonts w:ascii="Consolas" w:cs="Consolas" w:eastAsia="Consolas" w:hAnsi="Consolas"/>
          <w:color w:val="1A1A1A"/>
          <w:sz w:val="18"/>
          <w:szCs w:val="18"/>
        </w:rPr>
        <w:t xml:space="preserve">         OR ration_card_category IN (?, ?)</w:t>
      </w:r>
    </w:p>
    <w:p>
      <w:pPr>
        <w:shd w:fill="F2F2F2" w:val="clear"/>
        <w:spacing w:after="0" w:line="240"/>
      </w:pPr>
      <w:r>
        <w:rPr>
          <w:rFonts w:ascii="Consolas" w:cs="Consolas" w:eastAsia="Consolas" w:hAnsi="Consolas"/>
          <w:color w:val="1A1A1A"/>
          <w:sz w:val="18"/>
          <w:szCs w:val="18"/>
        </w:rPr>
        <w:t xml:space="preserve">         OR community IN (?, ?, ?) )</w:t>
      </w:r>
    </w:p>
    <w:p>
      <w:pPr>
        <w:shd w:fill="F2F2F2" w:val="clear"/>
        <w:spacing w:after="0" w:line="240"/>
      </w:pPr>
      <w:r>
        <w:rPr>
          <w:rFonts w:ascii="Consolas" w:cs="Consolas" w:eastAsia="Consolas" w:hAnsi="Consolas"/>
          <w:color w:val="1A1A1A"/>
          <w:sz w:val="18"/>
          <w:szCs w:val="18"/>
        </w:rPr>
        <w:t xml:space="preserve">GROUP BY district, gender, age_band;</w:t>
      </w:r>
    </w:p>
    <w:p>
      <w:pPr>
        <w:pStyle w:val="Heading3"/>
        <w:spacing w:after="100" w:before="180"/>
      </w:pPr>
      <w:r>
        <w:rPr>
          <w:b/>
          <w:bCs/>
          <w:color w:val="2E5496"/>
          <w:sz w:val="23"/>
          <w:szCs w:val="23"/>
        </w:rPr>
        <w:t xml:space="preserve">B.3 The 'what-if'</w:t>
      </w:r>
    </w:p>
    <w:p>
      <w:pPr>
        <w:spacing w:after="120" w:line="276"/>
        <w:jc w:val="both"/>
      </w:pPr>
      <w:r>
        <w:rPr>
          <w:sz w:val="21"/>
          <w:szCs w:val="21"/>
        </w:rPr>
        <w:t xml:space="preserve">Officer raises the income ceiling to ₹60,000: only the bound parameter changes (48000 → 60000); the SQL structure is identical. SRSE saves this as scenario 'Ekal Naari — income ₹60k' and compares its count and breakdown against the official scenario.</w:t>
      </w:r>
    </w:p>
    <w:p>
      <w:pPr>
        <w:pStyle w:val="Heading1"/>
        <w:spacing w:after="160" w:before="320"/>
      </w:pPr>
      <w:r>
        <w:rPr>
          <w:b/>
          <w:bCs/>
          <w:color w:val="1F3864"/>
          <w:sz w:val="30"/>
          <w:szCs w:val="30"/>
        </w:rPr>
        <w:t xml:space="preserve">Appendix C — Glossary</w:t>
      </w:r>
    </w:p>
    <w:p>
      <w:pPr>
        <w:spacing w:after="120" w:line="276"/>
        <w:jc w:val="both"/>
      </w:pPr>
      <w:r>
        <w:rPr>
          <w:sz w:val="21"/>
          <w:szCs w:val="21"/>
        </w:rPr>
        <w:t xml:space="preserve">See Section 1.3 for the consolidated definitions and acronyms.</w:t>
      </w:r>
    </w:p>
    <w:sectPr>
      <w:headerReference w:type="default" r:id="rId7"/>
      <w:footerReference w:type="default" r:id="rId8"/>
      <w:pgSz w:w="12240" w:h="15840" w:orient="portrait"/>
      <w:pgMar w:top="11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BBBB" w:sz="4"/>
      </w:pBdr>
      <w:jc w:val="center"/>
    </w:pPr>
    <w:r>
      <w:rPr>
        <w:color w:val="595959"/>
        <w:sz w:val="16"/>
        <w:szCs w:val="16"/>
      </w:rPr>
      <w:t xml:space="preserve">v0.2 Draft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tabs>
        <w:tab w:val="right" w:pos="9880"/>
      </w:tabs>
    </w:pPr>
    <w:r>
      <w:rPr>
        <w:b/>
        <w:bCs/>
        <w:color w:val="595959"/>
        <w:sz w:val="16"/>
        <w:szCs w:val="16"/>
      </w:rPr>
      <w:t xml:space="preserve">SMART Project</w:t>
    </w:r>
    <w:r>
      <w:rPr>
        <w:color w:val="595959"/>
        <w:sz w:val="16"/>
        <w:szCs w:val="16"/>
      </w:rPr>
      <w:t xml:space="preserve">	Scheme Rule Simulation Engine — Technical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F3864"/>
      <w:sz w:val="30"/>
      <w:szCs w:val="30"/>
    </w:rPr>
  </w:style>
  <w:style w:type="paragraph" w:styleId="Heading2">
    <w:name w:val="Heading 2"/>
    <w:basedOn w:val="Normal"/>
    <w:next w:val="Normal"/>
    <w:qFormat/>
    <w:pPr>
      <w:spacing w:after="120" w:before="240"/>
    </w:pPr>
    <w:rPr>
      <w:b/>
      <w:bCs/>
      <w:color w:val="2E5496"/>
      <w:sz w:val="26"/>
      <w:szCs w:val="26"/>
    </w:rPr>
  </w:style>
  <w:style w:type="paragraph" w:styleId="Heading3">
    <w:name w:val="Heading 3"/>
    <w:basedOn w:val="Normal"/>
    <w:next w:val="Normal"/>
    <w:qFormat/>
    <w:pPr>
      <w:spacing w:after="100" w:before="180"/>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Scheme Rule Simulation Engine — Technical Design Document</dc:title>
  <dc:creator>SMART Project</dc:creator>
  <cp:lastModifiedBy>Un-named</cp:lastModifiedBy>
  <cp:revision>1</cp:revision>
  <dcterms:created xsi:type="dcterms:W3CDTF">2026-08-05T16:51:12.785Z</dcterms:created>
  <dcterms:modified xsi:type="dcterms:W3CDTF">2026-08-05T16:51:12.796Z</dcterms:modified>
</cp:coreProperties>
</file>

<file path=docProps/custom.xml><?xml version="1.0" encoding="utf-8"?>
<Properties xmlns="http://schemas.openxmlformats.org/officeDocument/2006/custom-properties" xmlns:vt="http://schemas.openxmlformats.org/officeDocument/2006/docPropsVTypes"/>
</file>