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3" w:name="srse-configuration-guide"/>
    <w:p>
      <w:pPr>
        <w:pStyle w:val="Heading1"/>
      </w:pPr>
      <w:r>
        <w:t xml:space="preserve">SRSE Configuration Guide</w:t>
      </w:r>
    </w:p>
    <w:p>
      <w:pPr>
        <w:pStyle w:val="FirstParagraph"/>
      </w:pPr>
      <w:r>
        <w:t xml:space="preserve">Step-by-step instructions to configure, build, and run the</w:t>
      </w:r>
      <w:r>
        <w:t xml:space="preserve"> </w:t>
      </w:r>
      <w:r>
        <w:rPr>
          <w:b/>
          <w:bCs/>
        </w:rPr>
        <w:t xml:space="preserve">Scheme Rule Simulation Engine (SRSE)</w:t>
      </w:r>
      <w:r>
        <w:t xml:space="preserve"> </w:t>
      </w:r>
      <w:r>
        <w:t xml:space="preserve">on a developer laptop (offline synthetic data) or in the client Dev environment (live watsonx.data lakehouse).</w:t>
      </w:r>
    </w:p>
    <w:p>
      <w:pPr>
        <w:pStyle w:val="BodyText"/>
      </w:pPr>
      <w:r>
        <w:t xml:space="preserve">For architectural context and locked design decisions, see</w:t>
      </w:r>
      <w:r>
        <w:t xml:space="preserve"> </w:t>
      </w:r>
      <w:hyperlink r:id="rId9">
        <w:r>
          <w:rPr>
            <w:rStyle w:val="VerbatimChar"/>
          </w:rPr>
          <w:t xml:space="preserve">CLAUDE.md</w:t>
        </w:r>
      </w:hyperlink>
      <w:r>
        <w:t xml:space="preserve">. For build status, see</w:t>
      </w:r>
      <w:r>
        <w:t xml:space="preserve"> </w:t>
      </w:r>
      <w:hyperlink r:id="rId10">
        <w:r>
          <w:rPr>
            <w:rStyle w:val="VerbatimChar"/>
          </w:rPr>
          <w:t xml:space="preserve">implementation_plan.md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58f296b9b72c11d34d48159efb4380ba5a9a5d">
        <w:r>
          <w:rPr>
            <w:rStyle w:val="Hyperlink"/>
          </w:rPr>
          <w:t xml:space="preserve">What you are configuring</w:t>
        </w:r>
      </w:hyperlink>
    </w:p>
    <w:p>
      <w:pPr>
        <w:pStyle w:val="Compact"/>
        <w:numPr>
          <w:ilvl w:val="0"/>
          <w:numId w:val="1001"/>
        </w:numPr>
      </w:pPr>
      <w:hyperlink w:anchor="X90e929d3c876b514d121d9601670ecca39e780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53f3480240433ce37ce5973be08c3abbf1e198d">
        <w:r>
          <w:rPr>
            <w:rStyle w:val="Hyperlink"/>
          </w:rPr>
          <w:t xml:space="preserve">Quick start — local Docker stack (recommended)</w:t>
        </w:r>
      </w:hyperlink>
    </w:p>
    <w:p>
      <w:pPr>
        <w:pStyle w:val="Compact"/>
        <w:numPr>
          <w:ilvl w:val="0"/>
          <w:numId w:val="1001"/>
        </w:numPr>
      </w:pPr>
      <w:hyperlink w:anchor="Xa99e287de948058f461e4194411c46ed30c847b">
        <w:r>
          <w:rPr>
            <w:rStyle w:val="Hyperlink"/>
          </w:rPr>
          <w:t xml:space="preserve">Verify the installation</w:t>
        </w:r>
      </w:hyperlink>
    </w:p>
    <w:p>
      <w:pPr>
        <w:pStyle w:val="Compact"/>
        <w:numPr>
          <w:ilvl w:val="0"/>
          <w:numId w:val="1001"/>
        </w:numPr>
      </w:pPr>
      <w:hyperlink w:anchor="X39bdb0f51a5d6626e330b1970e2fb5e1a061ecf">
        <w:r>
          <w:rPr>
            <w:rStyle w:val="Hyperlink"/>
          </w:rPr>
          <w:t xml:space="preserve">Configure 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X44f9317aaae4c7ee8f2f360d31b8ca512186a75">
        <w:r>
          <w:rPr>
            <w:rStyle w:val="Hyperlink"/>
          </w:rPr>
          <w:t xml:space="preserve">Build from source (without Docker)</w:t>
        </w:r>
      </w:hyperlink>
    </w:p>
    <w:p>
      <w:pPr>
        <w:pStyle w:val="Compact"/>
        <w:numPr>
          <w:ilvl w:val="0"/>
          <w:numId w:val="1001"/>
        </w:numPr>
      </w:pPr>
      <w:hyperlink w:anchor="Xa1ee9490a7e2a091e0f63e52cb4e72f51482e6b">
        <w:r>
          <w:rPr>
            <w:rStyle w:val="Hyperlink"/>
          </w:rPr>
          <w:t xml:space="preserve">Client Dev deployment (live lakehouse)</w:t>
        </w:r>
      </w:hyperlink>
    </w:p>
    <w:p>
      <w:pPr>
        <w:pStyle w:val="Compact"/>
        <w:numPr>
          <w:ilvl w:val="0"/>
          <w:numId w:val="1001"/>
        </w:numPr>
      </w:pPr>
      <w:hyperlink w:anchor="X98f36c85b7c02d62021f342d5ba748c3e27d642">
        <w:r>
          <w:rPr>
            <w:rStyle w:val="Hyperlink"/>
          </w:rPr>
          <w:t xml:space="preserve">Post-deployment admin configuration</w:t>
        </w:r>
      </w:hyperlink>
    </w:p>
    <w:p>
      <w:pPr>
        <w:pStyle w:val="Compact"/>
        <w:numPr>
          <w:ilvl w:val="0"/>
          <w:numId w:val="1001"/>
        </w:numPr>
      </w:pPr>
      <w:hyperlink w:anchor="X3b46a7f7956f4623978033e9b0cbe3efc6b588a">
        <w:r>
          <w:rPr>
            <w:rStyle w:val="Hyperlink"/>
          </w:rPr>
          <w:t xml:space="preserve">Optional: SonarQube code quality scans</w:t>
        </w:r>
      </w:hyperlink>
    </w:p>
    <w:p>
      <w:pPr>
        <w:pStyle w:val="Compact"/>
        <w:numPr>
          <w:ilvl w:val="0"/>
          <w:numId w:val="1001"/>
        </w:numPr>
      </w:pPr>
      <w:hyperlink w:anchor="X28aa390d7d745b150b0af1d9f7d78fd95ad514c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5c77e54390b24b381ddb457de1ffdbc54856776">
        <w:r>
          <w:rPr>
            <w:rStyle w:val="Hyperlink"/>
          </w:rPr>
          <w:t xml:space="preserve">Configuration reference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what-you-are-configuring"/>
    <w:p>
      <w:pPr>
        <w:pStyle w:val="Heading2"/>
      </w:pPr>
      <w:r>
        <w:t xml:space="preserve">1. What you are configuring</w:t>
      </w:r>
    </w:p>
    <w:p>
      <w:pPr>
        <w:pStyle w:val="FirstParagraph"/>
      </w:pPr>
      <w:r>
        <w:t xml:space="preserve">SRSE is a two-container application plus supporting infrastructure: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97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 / React 19</w:t>
            </w:r>
          </w:p>
        </w:tc>
        <w:tc>
          <w:tcPr/>
          <w:p>
            <w:pPr>
              <w:pStyle w:val="Compact"/>
            </w:pPr>
            <w:r>
              <w:t xml:space="preserve">Officer UI — rule builder, simulation results, analysis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Java 17 / Spring Boot 3.x</w:t>
            </w:r>
          </w:p>
        </w:tc>
        <w:tc>
          <w:tcPr/>
          <w:p>
            <w:pPr>
              <w:pStyle w:val="Compact"/>
            </w:pPr>
            <w:r>
              <w:t xml:space="preserve">Rule compiler, execution engine, metadata store,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plane</w:t>
            </w:r>
          </w:p>
        </w:tc>
        <w:tc>
          <w:tcPr/>
          <w:p>
            <w:pPr>
              <w:pStyle w:val="Compact"/>
            </w:pPr>
            <w:r>
              <w:t xml:space="preserve">DB2 + JPA</w:t>
            </w:r>
          </w:p>
        </w:tc>
        <w:tc>
          <w:tcPr/>
          <w:p>
            <w:pPr>
              <w:pStyle w:val="Compact"/>
            </w:pPr>
            <w:r>
              <w:t xml:space="preserve">Field catalogue, column mappings, saved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Analytical plane</w:t>
            </w:r>
          </w:p>
        </w:tc>
        <w:tc>
          <w:tcPr/>
          <w:p>
            <w:pPr>
              <w:pStyle w:val="Compact"/>
            </w:pPr>
            <w:r>
              <w:t xml:space="preserve">PrestoDB 0.297 + Iceberg</w:t>
            </w:r>
          </w:p>
        </w:tc>
        <w:tc>
          <w:tcPr/>
          <w:p>
            <w:pPr>
              <w:pStyle w:val="Compact"/>
            </w:pPr>
            <w:r>
              <w:t xml:space="preserve">Beneficiary count / breakdown queries (push-down SQL)</w:t>
            </w:r>
          </w:p>
        </w:tc>
      </w:tr>
    </w:tbl>
    <w:p>
      <w:pPr>
        <w:pStyle w:val="BodyText"/>
      </w:pPr>
      <w:r>
        <w:t xml:space="preserve">Two</w:t>
      </w:r>
      <w:r>
        <w:t xml:space="preserve"> </w:t>
      </w:r>
      <w:r>
        <w:rPr>
          <w:b/>
          <w:bCs/>
        </w:rPr>
        <w:t xml:space="preserve">data modes</w:t>
      </w:r>
      <w:r>
        <w:t xml:space="preserve"> </w:t>
      </w:r>
      <w:r>
        <w:t xml:space="preserve">switch behaviour without code changes: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Laptop / offline dev</w:t>
            </w:r>
          </w:p>
        </w:tc>
        <w:tc>
          <w:tcPr/>
          <w:p>
            <w:pPr>
              <w:pStyle w:val="Compact"/>
            </w:pPr>
            <w:r>
              <w:t xml:space="preserve">Local Docker Presto + seeded beneficiary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Client Dev / on-prem</w:t>
            </w:r>
          </w:p>
        </w:tc>
        <w:tc>
          <w:tcPr/>
          <w:p>
            <w:pPr>
              <w:pStyle w:val="Compact"/>
            </w:pPr>
            <w:r>
              <w:t xml:space="preserve">Real watsonx.data Presto + Golden Layer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prerequisites"/>
    <w:p>
      <w:pPr>
        <w:pStyle w:val="Heading2"/>
      </w:pPr>
      <w:r>
        <w:t xml:space="preserve">2. Prerequisites</w:t>
      </w:r>
    </w:p>
    <w:bookmarkStart w:id="13" w:name="required-all-setups"/>
    <w:p>
      <w:pPr>
        <w:pStyle w:val="Heading3"/>
      </w:pPr>
      <w:r>
        <w:t xml:space="preserve">Required (all setups)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Any recent</w:t>
            </w:r>
          </w:p>
        </w:tc>
        <w:tc>
          <w:tcPr/>
          <w:p>
            <w:pPr>
              <w:pStyle w:val="Compact"/>
            </w:pPr>
            <w:r>
              <w:t xml:space="preserve">Clone the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4.x+</w:t>
            </w:r>
          </w:p>
        </w:tc>
        <w:tc>
          <w:tcPr/>
          <w:p>
            <w:pPr>
              <w:pStyle w:val="Compact"/>
            </w:pPr>
            <w:r>
              <w:t xml:space="preserve">Recommended path for local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v2 (bundled with Docker Desktop)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t xml:space="preserve">command</w:t>
            </w:r>
          </w:p>
        </w:tc>
      </w:tr>
    </w:tbl>
    <w:p>
      <w:pPr>
        <w:pStyle w:val="BodyText"/>
      </w:pPr>
      <w:r>
        <w:t xml:space="preserve">Allocate at least</w:t>
      </w:r>
      <w:r>
        <w:t xml:space="preserve"> </w:t>
      </w:r>
      <w:r>
        <w:rPr>
          <w:b/>
          <w:bCs/>
        </w:rPr>
        <w:t xml:space="preserve">8 GB RAM</w:t>
      </w:r>
      <w:r>
        <w:t xml:space="preserve"> </w:t>
      </w:r>
      <w:r>
        <w:t xml:space="preserve">to Docker. DB2 and Presto are memory-heavy; first boot can take several minutes.</w:t>
      </w:r>
    </w:p>
    <w:bookmarkEnd w:id="13"/>
    <w:bookmarkStart w:id="14" w:name="required-native-ide-development-only"/>
    <w:p>
      <w:pPr>
        <w:pStyle w:val="Heading3"/>
      </w:pPr>
      <w:r>
        <w:t xml:space="preserve">Required (native / IDE development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only</w:t>
            </w:r>
          </w:p>
        </w:tc>
        <w:tc>
          <w:tcPr/>
          <w:p>
            <w:pPr>
              <w:pStyle w:val="Compact"/>
            </w:pPr>
            <w:r>
              <w:t xml:space="preserve">Backend enforces</w:t>
            </w:r>
            <w:r>
              <w:t xml:space="preserve"> </w:t>
            </w:r>
            <w:r>
              <w:rPr>
                <w:rStyle w:val="VerbatimChar"/>
              </w:rPr>
              <w:t xml:space="preserve">[17,18)</w:t>
            </w:r>
            <w:r>
              <w:t xml:space="preserve"> </w:t>
            </w:r>
            <w:r>
              <w:t xml:space="preserve">via Maven Enforcer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3.9+</w:t>
            </w:r>
          </w:p>
        </w:tc>
        <w:tc>
          <w:tcPr/>
          <w:p>
            <w:pPr>
              <w:pStyle w:val="Compact"/>
            </w:pPr>
            <w:r>
              <w:t xml:space="preserve">Backend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t xml:space="preserve">Frontend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Bundled with Node 20</w:t>
            </w:r>
          </w:p>
        </w:tc>
      </w:tr>
    </w:tbl>
    <w:p>
      <w:pPr>
        <w:pStyle w:val="BodyText"/>
      </w:pPr>
      <w:r>
        <w:t xml:space="preserve">On macOS, pin Java 17 explicitly: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/usr/libexec/java_home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17</w:t>
      </w:r>
      <w:r>
        <w:rPr>
          <w:rStyle w:val="VariableTok"/>
        </w:rPr>
        <w:t xml:space="preserve">)</w:t>
      </w:r>
    </w:p>
    <w:bookmarkEnd w:id="14"/>
    <w:bookmarkStart w:id="15" w:name="optional"/>
    <w:p>
      <w:pPr>
        <w:pStyle w:val="Heading3"/>
      </w:pPr>
      <w:r>
        <w:t xml:space="preserve">Optional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 (local)</w:t>
            </w:r>
          </w:p>
        </w:tc>
        <w:tc>
          <w:tcPr/>
          <w:p>
            <w:pPr>
              <w:pStyle w:val="Compact"/>
            </w:pPr>
            <w:r>
              <w:t xml:space="preserve">Code quality scans — see</w:t>
            </w:r>
            <w:r>
              <w:t xml:space="preserve"> </w:t>
            </w:r>
            <w:hyperlink w:anchor="X3b46a7f7956f4623978033e9b0cbe3efc6b588a">
              <w:r>
                <w:rPr>
                  <w:rStyle w:val="Hyperlink"/>
                </w:rPr>
                <w:t xml:space="preserve">Section 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GitHub operations</w:t>
            </w:r>
          </w:p>
        </w:tc>
      </w:tr>
    </w:tbl>
    <w:bookmarkEnd w:id="15"/>
    <w:bookmarkStart w:id="16" w:name="apple-silicon-m1m2m3-note"/>
    <w:p>
      <w:pPr>
        <w:pStyle w:val="Heading3"/>
      </w:pPr>
      <w:r>
        <w:t xml:space="preserve">Apple Silicon (M1/M2/M3) note</w:t>
      </w:r>
    </w:p>
    <w:p>
      <w:pPr>
        <w:pStyle w:val="FirstParagraph"/>
      </w:pPr>
      <w:r>
        <w:t xml:space="preserve">The DB2 community image has no native ARM build. Docker Compose sets</w:t>
      </w:r>
      <w:r>
        <w:t xml:space="preserve"> </w:t>
      </w:r>
      <w:r>
        <w:rPr>
          <w:rStyle w:val="VerbatimChar"/>
        </w:rPr>
        <w:t xml:space="preserve">platform: linux/amd64</w:t>
      </w:r>
      <w:r>
        <w:t xml:space="preserve"> </w:t>
      </w:r>
      <w:r>
        <w:t xml:space="preserve">and runs DB2 under emulation. First boot is slower than on Intel; this is expected.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be8096c97eb9e6db1a71b76b3d46d4489c83e86"/>
    <w:p>
      <w:pPr>
        <w:pStyle w:val="Heading2"/>
      </w:pPr>
      <w:r>
        <w:t xml:space="preserve">3. Quick start — local Docker stack (recommended)</w:t>
      </w:r>
    </w:p>
    <w:bookmarkStart w:id="18" w:name="step-1-clone-the-repository"/>
    <w:p>
      <w:pPr>
        <w:pStyle w:val="Heading3"/>
      </w:pPr>
      <w:r>
        <w:t xml:space="preserve">Step 1 —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https://github.com/khannas43/SRSE.git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SRSE</w:t>
      </w:r>
    </w:p>
    <w:bookmarkEnd w:id="18"/>
    <w:bookmarkStart w:id="19" w:name="step-2-create-your-environment-file"/>
    <w:p>
      <w:pPr>
        <w:pStyle w:val="Heading3"/>
      </w:pPr>
      <w:r>
        <w:t xml:space="preserve">Step 2 — Create your environment file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For a standard laptop setup, the defaults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are sufficient. You only need to 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if you change host ports or add SonarQube tokens (see</w:t>
      </w:r>
      <w:r>
        <w:t xml:space="preserve"> </w:t>
      </w:r>
      <w:hyperlink w:anchor="X39bdb0f51a5d6626e330b1970e2fb5e1a061ecf">
        <w:r>
          <w:rPr>
            <w:rStyle w:val="Hyperlink"/>
          </w:rPr>
          <w:t xml:space="preserve">Section 5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.</w:t>
      </w:r>
      <w:r>
        <w:t xml:space="preserve"> </w:t>
      </w:r>
      <w:r>
        <w:t xml:space="preserve">It is 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Passwords and tokens belong here or in your organisation’s secret store — not in source control.</w:t>
      </w:r>
    </w:p>
    <w:bookmarkEnd w:id="19"/>
    <w:bookmarkStart w:id="20" w:name="step-3-start-the-full-stack"/>
    <w:p>
      <w:pPr>
        <w:pStyle w:val="Heading3"/>
      </w:pPr>
      <w:r>
        <w:t xml:space="preserve">Step 3 — Start the full stack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This starts: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Host URL</w:t>
            </w:r>
          </w:p>
        </w:tc>
        <w:tc>
          <w:tcPr/>
          <w:p>
            <w:pPr>
              <w:pStyle w:val="Compact"/>
            </w:pPr>
            <w:r>
              <w:t xml:space="preserve">Internal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Officer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</w:pPr>
            <w:r>
              <w:t xml:space="preserve">REST API + Swagger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Presto</w:t>
            </w:r>
          </w:p>
        </w:tc>
        <w:tc>
          <w:tcPr/>
          <w:p>
            <w:pPr>
              <w:pStyle w:val="Compact"/>
            </w:pPr>
            <w:r>
              <w:t xml:space="preserve">http://localhost:8081</w:t>
            </w:r>
          </w:p>
        </w:tc>
        <w:tc>
          <w:tcPr/>
          <w:p>
            <w:pPr>
              <w:pStyle w:val="Compact"/>
            </w:pPr>
            <w:r>
              <w:t xml:space="preserve">Analytical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localhost:50000</w:t>
            </w:r>
          </w:p>
        </w:tc>
        <w:tc>
          <w:tcPr/>
          <w:p>
            <w:pPr>
              <w:pStyle w:val="Compact"/>
            </w:pPr>
            <w:r>
              <w:t xml:space="preserve">Operational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console</w:t>
            </w:r>
          </w:p>
        </w:tc>
        <w:tc>
          <w:tcPr/>
          <w:p>
            <w:pPr>
              <w:pStyle w:val="Compact"/>
            </w:pPr>
            <w:r>
              <w:t xml:space="preserve">http://localhost:9011</w:t>
            </w:r>
          </w:p>
        </w:tc>
        <w:tc>
          <w:tcPr/>
          <w:p>
            <w:pPr>
              <w:pStyle w:val="Compact"/>
            </w:pPr>
            <w:r>
              <w:t xml:space="preserve">Object storage (Iceberg)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job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(one-shot)</w:t>
            </w:r>
          </w:p>
        </w:tc>
        <w:tc>
          <w:tcPr/>
          <w:p>
            <w:pPr>
              <w:pStyle w:val="Compact"/>
            </w:pPr>
            <w:r>
              <w:t xml:space="preserve">Creates synthetic Iceberg</w:t>
            </w:r>
            <w:r>
              <w:t xml:space="preserve"> </w:t>
            </w:r>
            <w:r>
              <w:rPr>
                <w:rStyle w:val="VerbatimChar"/>
              </w:rPr>
              <w:t xml:space="preserve">beneficiary</w:t>
            </w:r>
            <w:r>
              <w:t xml:space="preserve"> </w:t>
            </w:r>
            <w:r>
              <w:t xml:space="preserve">table (~200k rows)</w:t>
            </w:r>
          </w:p>
        </w:tc>
      </w:tr>
    </w:tbl>
    <w:p>
      <w:pPr>
        <w:pStyle w:val="BodyText"/>
      </w:pPr>
      <w:r>
        <w:t xml:space="preserve">Add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to run in the background: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bookmarkEnd w:id="20"/>
    <w:bookmarkStart w:id="21" w:name="step-4-wait-for-first-boot"/>
    <w:p>
      <w:pPr>
        <w:pStyle w:val="Heading3"/>
      </w:pPr>
      <w:r>
        <w:t xml:space="preserve">Step 4 — Wait for first boot</w:t>
      </w:r>
    </w:p>
    <w:p>
      <w:pPr>
        <w:pStyle w:val="FirstParagraph"/>
      </w:pPr>
      <w:r>
        <w:t xml:space="preserve">On first run, allow</w:t>
      </w:r>
      <w:r>
        <w:t xml:space="preserve"> </w:t>
      </w:r>
      <w:r>
        <w:rPr>
          <w:b/>
          <w:bCs/>
        </w:rPr>
        <w:t xml:space="preserve">5–10 minutes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02"/>
        </w:numPr>
      </w:pPr>
      <w:r>
        <w:t xml:space="preserve">DB2 to initialise (</w:t>
      </w:r>
      <w:r>
        <w:rPr>
          <w:rStyle w:val="VerbatimChar"/>
        </w:rPr>
        <w:t xml:space="preserve">db2</w:t>
      </w:r>
      <w:r>
        <w:t xml:space="preserve"> </w:t>
      </w:r>
      <w:r>
        <w:t xml:space="preserve">container)</w:t>
      </w:r>
    </w:p>
    <w:p>
      <w:pPr>
        <w:pStyle w:val="Compact"/>
        <w:numPr>
          <w:ilvl w:val="0"/>
          <w:numId w:val="1002"/>
        </w:numPr>
      </w:pPr>
      <w:r>
        <w:t xml:space="preserve">Presto + Hive metastore + MinIO to start</w:t>
      </w:r>
    </w:p>
    <w:p>
      <w:pPr>
        <w:pStyle w:val="Compact"/>
        <w:numPr>
          <w:ilvl w:val="0"/>
          <w:numId w:val="1002"/>
        </w:numPr>
      </w:pPr>
      <w:r>
        <w:t xml:space="preserve">Seed job to populate synthetic data</w:t>
      </w:r>
    </w:p>
    <w:p>
      <w:pPr>
        <w:pStyle w:val="Compact"/>
        <w:numPr>
          <w:ilvl w:val="0"/>
          <w:numId w:val="1002"/>
        </w:numPr>
      </w:pPr>
      <w:r>
        <w:t xml:space="preserve">Backend to connect to both data planes and seed the field catalogue</w:t>
      </w:r>
    </w:p>
    <w:p>
      <w:pPr>
        <w:pStyle w:val="FirstParagraph"/>
      </w:pPr>
      <w:r>
        <w:t xml:space="preserve">Watch progress: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srse-backend</w:t>
      </w:r>
    </w:p>
    <w:bookmarkEnd w:id="21"/>
    <w:bookmarkStart w:id="22" w:name="step-5-open-the-application"/>
    <w:p>
      <w:pPr>
        <w:pStyle w:val="Heading3"/>
      </w:pPr>
      <w:r>
        <w:t xml:space="preserve">Step 5 — Open the application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builder</w:t>
            </w:r>
          </w:p>
        </w:tc>
        <w:tc>
          <w:tcPr/>
          <w:p>
            <w:pPr>
              <w:pStyle w:val="Compact"/>
            </w:pPr>
            <w:r>
              <w:t xml:space="preserve">http://localhost:3000/rules</w:t>
            </w:r>
          </w:p>
        </w:tc>
        <w:tc>
          <w:tcPr/>
          <w:p>
            <w:pPr>
              <w:pStyle w:val="Compact"/>
            </w:pPr>
            <w:r>
              <w:t xml:space="preserve">Compose eligibility rules and run simulations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http://localhost:3000/analysis</w:t>
            </w:r>
          </w:p>
        </w:tc>
        <w:tc>
          <w:tcPr/>
          <w:p>
            <w:pPr>
              <w:pStyle w:val="Compact"/>
            </w:pPr>
            <w:r>
              <w:t xml:space="preserve">Cross-table record matching (admin feature)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http://localhost:3000/admin456</w:t>
            </w:r>
          </w:p>
        </w:tc>
        <w:tc>
          <w:tcPr/>
          <w:p>
            <w:pPr>
              <w:pStyle w:val="Compact"/>
            </w:pPr>
            <w:r>
              <w:t xml:space="preserve">Connection settings, field mappings</w:t>
            </w:r>
            <w:r>
              <w:t xml:space="preserve"> </w:t>
            </w:r>
            <w:r>
              <w:rPr>
                <w:i/>
                <w:iCs/>
              </w:rPr>
              <w:t xml:space="preserve">(unlinked — bookmark this 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http://localhost:8080/swagger-ui.html</w:t>
            </w:r>
          </w:p>
        </w:tc>
        <w:tc>
          <w:tcPr/>
          <w:p>
            <w:pPr>
              <w:pStyle w:val="Compact"/>
            </w:pPr>
            <w:r>
              <w:t xml:space="preserve">Swagger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http://localhost:8080/api/health/planes</w:t>
            </w:r>
          </w:p>
        </w:tc>
        <w:tc>
          <w:tcPr/>
          <w:p>
            <w:pPr>
              <w:pStyle w:val="Compact"/>
            </w:pPr>
            <w:r>
              <w:t xml:space="preserve">Both-planes connectivity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verify-the-installation"/>
    <w:p>
      <w:pPr>
        <w:pStyle w:val="Heading2"/>
      </w:pPr>
      <w:r>
        <w:t xml:space="preserve">4. Verify the installation</w:t>
      </w:r>
    </w:p>
    <w:bookmarkStart w:id="24" w:name="both-planes-health-check"/>
    <w:p>
      <w:pPr>
        <w:pStyle w:val="Heading3"/>
      </w:pPr>
      <w:r>
        <w:t xml:space="preserve">4.1 Both-planes 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http://localhost:8080/api/health/planes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either plane shows</w:t>
      </w:r>
      <w:r>
        <w:t xml:space="preserve"> </w:t>
      </w:r>
      <w:r>
        <w:rPr>
          <w:rStyle w:val="VerbatimChar"/>
        </w:rPr>
        <w:t xml:space="preserve">"down"</w:t>
      </w:r>
      <w:r>
        <w:t xml:space="preserve">, see</w:t>
      </w:r>
      <w:r>
        <w:t xml:space="preserve"> </w:t>
      </w:r>
      <w:hyperlink w:anchor="X28aa390d7d745b150b0af1d9f7d78fd95ad514c">
        <w:r>
          <w:rPr>
            <w:rStyle w:val="Hyperlink"/>
          </w:rPr>
          <w:t xml:space="preserve">Troubleshooting</w:t>
        </w:r>
      </w:hyperlink>
      <w:r>
        <w:t xml:space="preserve">.</w:t>
      </w:r>
    </w:p>
    <w:bookmarkEnd w:id="24"/>
    <w:bookmarkStart w:id="25" w:name="run-a-simulation-ui"/>
    <w:p>
      <w:pPr>
        <w:pStyle w:val="Heading3"/>
      </w:pPr>
      <w:r>
        <w:t xml:space="preserve">4.2 Run a simulation (UI)</w:t>
      </w:r>
    </w:p>
    <w:p>
      <w:pPr>
        <w:pStyle w:val="Compact"/>
        <w:numPr>
          <w:ilvl w:val="0"/>
          <w:numId w:val="1003"/>
        </w:numPr>
      </w:pPr>
      <w:r>
        <w:t xml:space="preserve">Open http://localhost:3000/rules</w:t>
      </w:r>
    </w:p>
    <w:p>
      <w:pPr>
        <w:pStyle w:val="Compact"/>
        <w:numPr>
          <w:ilvl w:val="0"/>
          <w:numId w:val="1003"/>
        </w:numPr>
      </w:pPr>
      <w:r>
        <w:t xml:space="preserve">Select a scheme from the dropdown (or create one)</w:t>
      </w:r>
    </w:p>
    <w:p>
      <w:pPr>
        <w:pStyle w:val="Compact"/>
        <w:numPr>
          <w:ilvl w:val="0"/>
          <w:numId w:val="1003"/>
        </w:numPr>
      </w:pPr>
      <w:r>
        <w:t xml:space="preserve">Add rule predicates from the field palette (e.g. Age ≥ 18)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— you should see a beneficiary count and district breakdown</w:t>
      </w:r>
    </w:p>
    <w:p>
      <w:pPr>
        <w:pStyle w:val="FirstParagraph"/>
      </w:pPr>
      <w:r>
        <w:t xml:space="preserve">Local dev uses</w:t>
      </w:r>
      <w:r>
        <w:t xml:space="preserve"> </w:t>
      </w:r>
      <w:r>
        <w:rPr>
          <w:b/>
          <w:bCs/>
        </w:rPr>
        <w:t xml:space="preserve">mock authentication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SRSE_AUTH_MODE=mock</w:t>
      </w:r>
      <w:r>
        <w:t xml:space="preserve">). The frontend obtains a short-lived mock JWT automatically; no login screen is shown.</w:t>
      </w:r>
    </w:p>
    <w:bookmarkEnd w:id="25"/>
    <w:bookmarkStart w:id="26" w:name="Xfa062bf89865544ad6b9b801f951ee01329f097"/>
    <w:p>
      <w:pPr>
        <w:pStyle w:val="Heading3"/>
      </w:pPr>
      <w:r>
        <w:t xml:space="preserve">4.3 Register a lakehouse table (required before the Analysis tab works)</w:t>
      </w:r>
    </w:p>
    <w:p>
      <w:pPr>
        <w:pStyle w:val="FirstParagraph"/>
      </w:pPr>
      <w:r>
        <w:t xml:space="preserve">The Analysis tab shows</w:t>
      </w:r>
      <w:r>
        <w:t xml:space="preserve"> </w:t>
      </w:r>
      <w:r>
        <w:rPr>
          <w:b/>
          <w:bCs/>
        </w:rPr>
        <w:t xml:space="preserve">only tables an admin has registered</w:t>
      </w:r>
      <w:r>
        <w:t xml:space="preserve"> </w:t>
      </w:r>
      <w:r>
        <w:t xml:space="preserve">— on a fresh</w:t>
      </w:r>
      <w:r>
        <w:t xml:space="preserve"> </w:t>
      </w:r>
      <w:r>
        <w:t xml:space="preserve">stack (or after wiping the DB2 volume) nothing is registered, so its</w:t>
      </w:r>
      <w:r>
        <w:t xml:space="preserve"> </w:t>
      </w:r>
      <w:r>
        <w:t xml:space="preserve">Catalog/Schema/Table dropdowns are empty. This is expected, not a fault.</w:t>
      </w:r>
    </w:p>
    <w:p>
      <w:pPr>
        <w:pStyle w:val="Compact"/>
        <w:numPr>
          <w:ilvl w:val="0"/>
          <w:numId w:val="1004"/>
        </w:numPr>
      </w:pPr>
      <w:r>
        <w:t xml:space="preserve">Open http://localhost:3000/admin456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Lakehouse registry</w:t>
      </w:r>
      <w:r>
        <w:t xml:space="preserve">, pick Catalog</w:t>
      </w:r>
      <w:r>
        <w:t xml:space="preserve"> </w:t>
      </w:r>
      <w:r>
        <w:rPr>
          <w:rStyle w:val="VerbatimChar"/>
        </w:rPr>
        <w:t xml:space="preserve">iceberg</w:t>
      </w:r>
      <w:r>
        <w:t xml:space="preserve"> </w:t>
      </w:r>
      <w:r>
        <w:t xml:space="preserve">→ Schema</w:t>
      </w:r>
      <w:r>
        <w:t xml:space="preserve"> </w:t>
      </w:r>
      <w:r>
        <w:rPr>
          <w:rStyle w:val="VerbatimChar"/>
        </w:rPr>
        <w:t xml:space="preserve">srse</w:t>
      </w:r>
      <w:r>
        <w:t xml:space="preserve"> </w:t>
      </w:r>
      <w:r>
        <w:t xml:space="preserve">→ Table</w:t>
      </w:r>
      <w:r>
        <w:t xml:space="preserve"> </w:t>
      </w:r>
      <w:r>
        <w:rPr>
          <w:rStyle w:val="VerbatimChar"/>
        </w:rPr>
        <w:t xml:space="preserve">beneficiary</w:t>
      </w:r>
    </w:p>
    <w:p>
      <w:pPr>
        <w:pStyle w:val="Compact"/>
        <w:numPr>
          <w:ilvl w:val="0"/>
          <w:numId w:val="1004"/>
        </w:numPr>
      </w:pPr>
      <w:r>
        <w:t xml:space="preserve">Optionally tag the layer, then click</w:t>
      </w:r>
      <w:r>
        <w:t xml:space="preserve"> </w:t>
      </w:r>
      <w:r>
        <w:rPr>
          <w:b/>
          <w:bCs/>
        </w:rPr>
        <w:t xml:space="preserve">Register table</w:t>
      </w:r>
    </w:p>
    <w:p>
      <w:pPr>
        <w:pStyle w:val="FirstParagraph"/>
      </w:pPr>
      <w:r>
        <w:t xml:space="preserve">Or via the API: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http://localhost:8080/api/auth/mock-login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sys,json;print(json.load(sys.stdin)["token"])'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http://localhost:8080/api/admin/lakehouse/registrations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'{"catalog":"iceberg","schema":"srse","table":"beneficiary","layer":null}'</w:t>
      </w:r>
    </w:p>
    <w:p>
      <w:pPr>
        <w:pStyle w:val="FirstParagraph"/>
      </w:pPr>
      <w:r>
        <w:t xml:space="preserve">The Rule Engine tab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this — in synthetic mode it resolves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StubFieldResolver</w:t>
      </w:r>
      <w:r>
        <w:t xml:space="preserve"> </w:t>
      </w:r>
      <w:r>
        <w:t xml:space="preserve">against the connection’s default catalog/schema.</w:t>
      </w:r>
    </w:p>
    <w:p>
      <w:pPr>
        <w:pStyle w:val="BodyText"/>
      </w:pPr>
      <w:r>
        <w:rPr>
          <w:b/>
          <w:bCs/>
        </w:rPr>
        <w:t xml:space="preserve">Testing the multi-catalog paths locally.</w:t>
      </w:r>
      <w:r>
        <w:t xml:space="preserve"> </w:t>
      </w:r>
      <w:r>
        <w:t xml:space="preserve">The stack ships a second Iceberg</w:t>
      </w:r>
      <w:r>
        <w:t xml:space="preserve"> </w:t>
      </w:r>
      <w:r>
        <w:t xml:space="preserve">catalog,</w:t>
      </w:r>
      <w:r>
        <w:t xml:space="preserve"> </w:t>
      </w:r>
      <w:r>
        <w:rPr>
          <w:rStyle w:val="VerbatimChar"/>
        </w:rPr>
        <w:t xml:space="preserve">iceberg_silver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docker/presto/catalog/iceberg_silver.properties</w:t>
      </w:r>
      <w:r>
        <w:t xml:space="preserve">),</w:t>
      </w:r>
      <w:r>
        <w:t xml:space="preserve"> </w:t>
      </w:r>
      <w:r>
        <w:t xml:space="preserve">purely so the local environment can exercise what the client deployment relies</w:t>
      </w:r>
      <w:r>
        <w:t xml:space="preserve"> </w:t>
      </w:r>
      <w:r>
        <w:t xml:space="preserve">on: Silver and Gold layers in</w:t>
      </w:r>
      <w:r>
        <w:t xml:space="preserve"> </w:t>
      </w:r>
      <w:r>
        <w:rPr>
          <w:i/>
          <w:iCs/>
        </w:rPr>
        <w:t xml:space="preserve">different catalogs</w:t>
      </w:r>
      <w:r>
        <w:t xml:space="preserve">. Without a second catalog</w:t>
      </w:r>
      <w:r>
        <w:t xml:space="preserve"> </w:t>
      </w:r>
      <w:r>
        <w:t xml:space="preserve">nothing locally can prove a cross-catalog join actually executes.</w:t>
      </w:r>
    </w:p>
    <w:p>
      <w:pPr>
        <w:pStyle w:val="BodyText"/>
      </w:pPr>
      <w:r>
        <w:t xml:space="preserve">It shares the metastore and MinIO with</w:t>
      </w:r>
      <w:r>
        <w:t xml:space="preserve"> </w:t>
      </w:r>
      <w:r>
        <w:rPr>
          <w:rStyle w:val="VerbatimChar"/>
        </w:rPr>
        <w:t xml:space="preserve">iceberg</w:t>
      </w:r>
      <w:r>
        <w:t xml:space="preserve"> </w:t>
      </w:r>
      <w:r>
        <w:t xml:space="preserve">— the point is two distinct</w:t>
      </w:r>
      <w:r>
        <w:t xml:space="preserve"> </w:t>
      </w:r>
      <w:r>
        <w:t xml:space="preserve">Presto</w:t>
      </w:r>
      <w:r>
        <w:t xml:space="preserve"> </w:t>
      </w:r>
      <w:r>
        <w:rPr>
          <w:b/>
          <w:bCs/>
        </w:rPr>
        <w:t xml:space="preserve">catalog handles</w:t>
      </w:r>
      <w:r>
        <w:t xml:space="preserve">, not two storage backends — so on a fresh stack both</w:t>
      </w:r>
      <w:r>
        <w:t xml:space="preserve"> </w:t>
      </w:r>
      <w:r>
        <w:t xml:space="preserve">catalogs list the same schemas. To reconcile across them, register the same</w:t>
      </w:r>
      <w:r>
        <w:t xml:space="preserve"> </w:t>
      </w:r>
      <w:r>
        <w:t xml:space="preserve">table under each catalog and pick one as Source and the other as Target. For a</w:t>
      </w:r>
      <w:r>
        <w:t xml:space="preserve"> </w:t>
      </w:r>
      <w:r>
        <w:t xml:space="preserve">more realistic fixture, create a distinctly-named Silver table: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iceberg_silver.silver_txn;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iceberg_silver.silver_txn.tbl_txn_bankdtl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bank_id,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m_id,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account_no,</w:t>
      </w:r>
      <w:r>
        <w:br/>
      </w:r>
      <w:r>
        <w:rPr>
          <w:rStyle w:val="NormalTok"/>
        </w:rPr>
        <w:t xml:space="preserve">       father_name, district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iceberg.srse.beneficiary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;</w:t>
      </w:r>
    </w:p>
    <w:bookmarkEnd w:id="26"/>
    <w:bookmarkStart w:id="27" w:name="run-backend-tests-optional"/>
    <w:p>
      <w:pPr>
        <w:pStyle w:val="Heading3"/>
      </w:pPr>
      <w:r>
        <w:t xml:space="preserve">4.4 Run backend tests (optional)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/usr/libexec/java_home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17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All tests should pass. If Mockito errors mention</w:t>
      </w:r>
      <w:r>
        <w:t xml:space="preserve"> </w:t>
      </w:r>
      <w:r>
        <w:t xml:space="preserve">“Could not instrument class”</w:t>
      </w:r>
      <w:r>
        <w:t xml:space="preserve">, your shell is using the wrong JDK — pin Java 17 as shown above.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onfigure-environment-variables"/>
    <w:p>
      <w:pPr>
        <w:pStyle w:val="Heading2"/>
      </w:pPr>
      <w:r>
        <w:t xml:space="preserve">5. Configure environment variables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set values per environment.</w:t>
      </w:r>
    </w:p>
    <w:bookmarkStart w:id="29" w:name="core-settings-local-laptop"/>
    <w:p>
      <w:pPr>
        <w:pStyle w:val="Heading3"/>
      </w:pPr>
      <w:r>
        <w:t xml:space="preserve">5.1 Core settings (local laptop)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66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 (local)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</w:t>
            </w:r>
            <w:r>
              <w:t xml:space="preserve"> </w:t>
            </w:r>
            <w:r>
              <w:t xml:space="preserve">= local lakehouse stand-in;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= on-prem Golden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SRSE_AUTH_MODE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= local JWT issuer;</w:t>
            </w:r>
            <w:r>
              <w:t xml:space="preserve"> </w:t>
            </w:r>
            <w:r>
              <w:rPr>
                <w:rStyle w:val="VerbatimChar"/>
              </w:rPr>
              <w:t xml:space="preserve">rajsewadwar</w:t>
            </w:r>
            <w:r>
              <w:t xml:space="preserve"> </w:t>
            </w:r>
            <w:r>
              <w:t xml:space="preserve">= SSO (client 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</w:t>
            </w:r>
          </w:p>
        </w:tc>
        <w:tc>
          <w:tcPr/>
          <w:p>
            <w:pPr>
              <w:pStyle w:val="Compact"/>
            </w:pPr>
            <w:r>
              <w:t xml:space="preserve">Backend URL</w:t>
            </w:r>
            <w:r>
              <w:t xml:space="preserve"> </w:t>
            </w:r>
            <w:r>
              <w:rPr>
                <w:b/>
                <w:bCs/>
              </w:rPr>
              <w:t xml:space="preserve">as seen by the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SRSE_FRONTEND_ORIGINS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CORS allow-list — must match the frontend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NEXT_PUBLIC_AUTH_MODE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Frontend auth mode (must align with backend)</w:t>
            </w:r>
          </w:p>
        </w:tc>
      </w:tr>
    </w:tbl>
    <w:bookmarkEnd w:id="29"/>
    <w:bookmarkStart w:id="30" w:name="operational-plane-db2"/>
    <w:p>
      <w:pPr>
        <w:pStyle w:val="Heading3"/>
      </w:pPr>
      <w:r>
        <w:t xml:space="preserve">5.2 Operational plane (DB2)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126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Local 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SRSE_DB2_URL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jdbc:db2://db2:50000/SRSEDB</w:t>
            </w:r>
          </w:p>
        </w:tc>
        <w:tc>
          <w:tcPr/>
          <w:p>
            <w:pPr>
              <w:pStyle w:val="Compact"/>
            </w:pPr>
            <w:r>
              <w:t xml:space="preserve">JDBC URL (use</w:t>
            </w:r>
            <w:r>
              <w:t xml:space="preserve"> </w:t>
            </w:r>
            <w:r>
              <w:rPr>
                <w:rStyle w:val="VerbatimChar"/>
              </w:rPr>
              <w:t xml:space="preserve">db2</w:t>
            </w:r>
            <w:r>
              <w:t xml:space="preserve"> </w:t>
            </w:r>
            <w:r>
              <w:t xml:space="preserve">hostname inside Docker;</w:t>
            </w:r>
            <w:r>
              <w:t xml:space="preserve"> </w:t>
            </w:r>
            <w:r>
              <w:rPr>
                <w:rStyle w:val="VerbatimChar"/>
              </w:rPr>
              <w:t xml:space="preserve">localhost:50000</w:t>
            </w:r>
            <w:r>
              <w:t xml:space="preserve"> </w:t>
            </w:r>
            <w:r>
              <w:t xml:space="preserve">from host)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SRSE_DB2_USER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db2inst1</w:t>
            </w:r>
          </w:p>
        </w:tc>
        <w:tc>
          <w:tcPr/>
          <w:p>
            <w:pPr>
              <w:pStyle w:val="Compact"/>
            </w:pPr>
            <w:r>
              <w:t xml:space="preserve">DB2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SRSE_DB2_PASSWORD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(set in compose)</w:t>
            </w:r>
          </w:p>
        </w:tc>
        <w:tc>
          <w:tcPr/>
          <w:p>
            <w:pPr>
              <w:pStyle w:val="Compact"/>
            </w:pPr>
            <w:r>
              <w:t xml:space="preserve">DB2 password —</w:t>
            </w:r>
            <w:r>
              <w:t xml:space="preserve"> </w:t>
            </w:r>
            <w:r>
              <w:rPr>
                <w:rStyle w:val="VerbatimChar"/>
              </w:rPr>
              <w:t xml:space="preserve">srse_local_pw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</w:tbl>
    <w:bookmarkEnd w:id="30"/>
    <w:bookmarkStart w:id="31" w:name="analytical-plane-prestodb"/>
    <w:p>
      <w:pPr>
        <w:pStyle w:val="Heading3"/>
      </w:pPr>
      <w:r>
        <w:t xml:space="preserve">5.3 Analytical plane (PrestoDB)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126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Local 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SRSE_PRESTO_URL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jdbc:presto://presto:8080/iceberg/srse</w:t>
            </w:r>
          </w:p>
        </w:tc>
        <w:tc>
          <w:tcPr/>
          <w:p>
            <w:pPr>
              <w:pStyle w:val="Compact"/>
            </w:pPr>
            <w:r>
              <w:t xml:space="preserve">Presto JDBC URL. The trailing</w:t>
            </w:r>
            <w:r>
              <w:t xml:space="preserve"> </w:t>
            </w:r>
            <w:r>
              <w:rPr>
                <w:rStyle w:val="VerbatimChar"/>
              </w:rPr>
              <w:t xml:space="preserve">/iceberg/srse</w:t>
            </w:r>
            <w:r>
              <w:t xml:space="preserve"> </w:t>
            </w:r>
            <w:r>
              <w:t xml:space="preserve">is only a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catalog/schema — kept locally so the synthetic</w:t>
            </w:r>
            <w:r>
              <w:t xml:space="preserve"> </w:t>
            </w:r>
            <w:r>
              <w:rPr>
                <w:rStyle w:val="VerbatimChar"/>
              </w:rPr>
              <w:t xml:space="preserve">beneficiary</w:t>
            </w:r>
            <w:r>
              <w:t xml:space="preserve"> </w:t>
            </w:r>
            <w:r>
              <w:t xml:space="preserve">table resolves unqualified. In client Dev, drop it and register catalogs explicitly (Section 8, Panel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SRSE_PRESTO_USER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</w:t>
            </w:r>
          </w:p>
        </w:tc>
        <w:tc>
          <w:tcPr/>
          <w:p>
            <w:pPr>
              <w:pStyle w:val="Compact"/>
            </w:pPr>
            <w:r>
              <w:t xml:space="preserve">Presto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SRSE_PRESTO_PASSWORD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Only if endpoint requires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SRSE_PRESTO_SSL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TLS endpoints (client 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SRSE_PRESTO_TRUSTSTORE_PATH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Path to JKS truststore (when SSL enabled)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SRSE_PRESTO_TRUSTSTORE_PASSWORD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Truststore password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SRSE uses the</w:t>
      </w:r>
      <w:r>
        <w:t xml:space="preserve"> </w:t>
      </w:r>
      <w:r>
        <w:rPr>
          <w:b/>
          <w:bCs/>
        </w:rPr>
        <w:t xml:space="preserve">PrestoDB</w:t>
      </w:r>
      <w:r>
        <w:t xml:space="preserve"> </w:t>
      </w:r>
      <w:r>
        <w:t xml:space="preserve">driver (</w:t>
      </w:r>
      <w:r>
        <w:rPr>
          <w:rStyle w:val="VerbatimChar"/>
        </w:rPr>
        <w:t xml:space="preserve">com.facebook.presto:presto-jdbc</w:t>
      </w:r>
      <w:r>
        <w:t xml:space="preserve">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Trino. watsonx.data 2.3.1 is PrestoDB 0.297 lineage.</w:t>
      </w:r>
    </w:p>
    <w:bookmarkEnd w:id="31"/>
    <w:bookmarkStart w:id="32" w:name="guardrails"/>
    <w:p>
      <w:pPr>
        <w:pStyle w:val="Heading3"/>
      </w:pPr>
      <w:r>
        <w:t xml:space="preserve">5.4 Guardrails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SRSE_COHORT_CAP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Maximum rows returned by cohort drill-down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SRSE_QUERY_TIMEOUT_SECONDS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Presto query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SRSE_AGE_BAND_COLUMN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age_band</w:t>
            </w:r>
          </w:p>
        </w:tc>
        <w:tc>
          <w:tcPr/>
          <w:p>
            <w:pPr>
              <w:pStyle w:val="Compact"/>
            </w:pPr>
            <w:r>
              <w:t xml:space="preserve">Physical column for breakdown age-band dimension</w:t>
            </w:r>
          </w:p>
        </w:tc>
      </w:tr>
    </w:tbl>
    <w:bookmarkEnd w:id="32"/>
    <w:bookmarkStart w:id="33" w:name="frontend-build-time-vs-runtime"/>
    <w:p>
      <w:pPr>
        <w:pStyle w:val="Heading3"/>
      </w:pPr>
      <w:r>
        <w:t xml:space="preserve">5.5 Frontend build-time vs runtime</w:t>
      </w:r>
    </w:p>
    <w:p>
      <w:pPr>
        <w:pStyle w:val="FirstParagraph"/>
      </w:pPr>
      <w:r>
        <w:rPr>
          <w:rStyle w:val="VerbatimChar"/>
        </w:rPr>
        <w:t xml:space="preserve">NEXT_PUBLIC_*</w:t>
      </w:r>
      <w:r>
        <w:t xml:space="preserve"> </w:t>
      </w:r>
      <w:r>
        <w:t xml:space="preserve">variables are</w:t>
      </w:r>
      <w:r>
        <w:t xml:space="preserve"> </w:t>
      </w:r>
      <w:r>
        <w:rPr>
          <w:b/>
          <w:bCs/>
        </w:rPr>
        <w:t xml:space="preserve">baked into the frontend JavaScript bundle at Docker build time</w:t>
      </w:r>
      <w:r>
        <w:t xml:space="preserve">. Changing them requires a rebuild: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srse-frontend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srse-frontend</w:t>
      </w:r>
    </w:p>
    <w:p>
      <w:pPr>
        <w:pStyle w:val="FirstParagraph"/>
      </w:pPr>
      <w:r>
        <w:rPr>
          <w:rStyle w:val="VerbatimChar"/>
        </w:rPr>
        <w:t xml:space="preserve">SRSE_FRONTEND_ORIGINS</w:t>
      </w:r>
      <w:r>
        <w:t xml:space="preserve"> </w:t>
      </w:r>
      <w:r>
        <w:t xml:space="preserve">is read by the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at runtime — a backend restart is enough (no frontend rebuild).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build-from-source-without-docker"/>
    <w:p>
      <w:pPr>
        <w:pStyle w:val="Heading2"/>
      </w:pPr>
      <w:r>
        <w:t xml:space="preserve">6. Build from source (without Docker)</w:t>
      </w:r>
    </w:p>
    <w:p>
      <w:pPr>
        <w:pStyle w:val="FirstParagraph"/>
      </w:pPr>
      <w:r>
        <w:t xml:space="preserve">Use this path if you want to run backend and frontend in your IDE while pointing at Docker infrastructure.</w:t>
      </w:r>
    </w:p>
    <w:bookmarkStart w:id="35" w:name="step-1-start-infrastructure-only"/>
    <w:p>
      <w:pPr>
        <w:pStyle w:val="Heading3"/>
      </w:pPr>
      <w:r>
        <w:t xml:space="preserve">Step 1 — Start infrastructure only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db2 presto metastore minio seed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Wait until DB2 and Presto are healthy (see</w:t>
      </w:r>
      <w:r>
        <w:t xml:space="preserve"> </w:t>
      </w:r>
      <w:hyperlink w:anchor="Xdc39716df4d1c0b97eeba7b6cb9507ff6c58eac">
        <w:r>
          <w:rPr>
            <w:rStyle w:val="Hyperlink"/>
          </w:rPr>
          <w:t xml:space="preserve">Section 4.1</w:t>
        </w:r>
      </w:hyperlink>
      <w:r>
        <w:t xml:space="preserve">).</w:t>
      </w:r>
    </w:p>
    <w:bookmarkEnd w:id="35"/>
    <w:bookmarkStart w:id="36" w:name="step-2-configure-backend-for-localhost"/>
    <w:p>
      <w:pPr>
        <w:pStyle w:val="Heading3"/>
      </w:pPr>
      <w:r>
        <w:t xml:space="preserve">Step 2 — Configure backend for localhost</w:t>
      </w:r>
    </w:p>
    <w:p>
      <w:pPr>
        <w:pStyle w:val="FirstParagraph"/>
      </w:pPr>
      <w:r>
        <w:t xml:space="preserve">Create or 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(or export variables) so JDBC URLs use</w:t>
      </w:r>
      <w:r>
        <w:t xml:space="preserve"> </w:t>
      </w:r>
      <w:r>
        <w:rPr>
          <w:b/>
          <w:bCs/>
        </w:rPr>
        <w:t xml:space="preserve">localhost</w:t>
      </w:r>
      <w:r>
        <w:t xml:space="preserve"> </w:t>
      </w:r>
      <w:r>
        <w:t xml:space="preserve">instead of Docker service names: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synthetic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SRSE_DB2_URL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jdbc:db2://localhost:50000/SRSEDB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SRSE_DB2_USER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db2inst1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SRSE_DB2_PASSWORD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srse_local_pw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SRSE_PRESTO_URL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jdbc:presto://localhost:8081/iceberg/srse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SRSE_PRESTO_USER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srse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SRSE_AUTH_MODE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SRSE_FRONTEND_ORIGINS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</w:p>
    <w:bookmarkEnd w:id="36"/>
    <w:bookmarkStart w:id="37" w:name="step-3-run-the-backend"/>
    <w:p>
      <w:pPr>
        <w:pStyle w:val="Heading3"/>
      </w:pPr>
      <w:r>
        <w:t xml:space="preserve">Step 3 — Run the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/usr/libexec/java_home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17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t xml:space="preserve">Backend listens on http://localhost:8080.</w:t>
      </w:r>
    </w:p>
    <w:bookmarkEnd w:id="37"/>
    <w:bookmarkStart w:id="38" w:name="step-4-run-the-frontend"/>
    <w:p>
      <w:pPr>
        <w:pStyle w:val="Heading3"/>
      </w:pPr>
      <w:r>
        <w:t xml:space="preserve">Step 4 — Run the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VariableTok"/>
        </w:rPr>
        <w:t xml:space="preserve">NEXT_PUBLIC_API_BASE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http://localhost:8080 </w:t>
      </w:r>
      <w:r>
        <w:rPr>
          <w:rStyle w:val="VariableTok"/>
        </w:rPr>
        <w:t xml:space="preserve">NEXT_PUBLIC_AUTH_MODE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Frontend listens on http://localhost:3000 (Next.js dev server).</w:t>
      </w:r>
    </w:p>
    <w:bookmarkEnd w:id="38"/>
    <w:bookmarkStart w:id="39" w:name="Xe9183e0ae73b134f703d9ca444881f334ea2571"/>
    <w:p>
      <w:pPr>
        <w:pStyle w:val="Heading3"/>
      </w:pPr>
      <w:r>
        <w:t xml:space="preserve">Step 5 — Production-style frontend build (optional)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VariableTok"/>
        </w:rPr>
        <w:t xml:space="preserve">NEXT_PUBLIC_API_BASE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http://localhost:8080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client-dev-deployment-live-lakehouse"/>
    <w:p>
      <w:pPr>
        <w:pStyle w:val="Heading2"/>
      </w:pPr>
      <w:r>
        <w:t xml:space="preserve">7. Client Dev deployment (live lakehouse)</w:t>
      </w:r>
    </w:p>
    <w:p>
      <w:pPr>
        <w:pStyle w:val="FirstParagraph"/>
      </w:pPr>
      <w:r>
        <w:t xml:space="preserve">Use this when connecting to on-prem watsonx.data Presto and DB2. The local lakehouse containers (Presto, MinIO, metastore, seed)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started.</w:t>
      </w:r>
    </w:p>
    <w:bookmarkStart w:id="41" w:name="step-1-obtain-connection-details"/>
    <w:p>
      <w:pPr>
        <w:pStyle w:val="Heading3"/>
      </w:pPr>
      <w:r>
        <w:t xml:space="preserve">Step 1 — Obtain connection details</w:t>
      </w:r>
    </w:p>
    <w:p>
      <w:pPr>
        <w:pStyle w:val="FirstParagraph"/>
      </w:pPr>
      <w:r>
        <w:t xml:space="preserve">The following must be confirmed by the infrastructure team before go-live (see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open items):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980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What you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PrestoDB JDBC endpoint</w:t>
            </w:r>
          </w:p>
        </w:tc>
        <w:tc>
          <w:tcPr/>
          <w:p>
            <w:pPr>
              <w:pStyle w:val="Compact"/>
            </w:pPr>
            <w:r>
              <w:t xml:space="preserve">Lovadeep</w:t>
            </w:r>
          </w:p>
        </w:tc>
        <w:tc>
          <w:tcPr/>
          <w:p>
            <w:pPr>
              <w:pStyle w:val="Compact"/>
            </w:pPr>
            <w:r>
              <w:t xml:space="preserve">Host, port, SSL/truststore.</w:t>
            </w:r>
            <w:r>
              <w:t xml:space="preserve"> </w:t>
            </w:r>
            <w:r>
              <w:rPr>
                <w:b/>
                <w:bCs/>
              </w:rPr>
              <w:t xml:space="preserve">Catalog and schema are no longer part of the URL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+ Gold catalog/schema/table names</w:t>
            </w:r>
          </w:p>
        </w:tc>
        <w:tc>
          <w:tcPr/>
          <w:p>
            <w:pPr>
              <w:pStyle w:val="Compact"/>
            </w:pPr>
            <w:r>
              <w:t xml:space="preserve">Lovadeep / DBA</w:t>
            </w:r>
          </w:p>
        </w:tc>
        <w:tc>
          <w:tcPr/>
          <w:p>
            <w:pPr>
              <w:pStyle w:val="Compact"/>
            </w:pPr>
            <w:r>
              <w:t xml:space="preserve">Registered through the Admin page after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Layer table/column names</w:t>
            </w:r>
          </w:p>
        </w:tc>
        <w:tc>
          <w:tcPr/>
          <w:p>
            <w:pPr>
              <w:pStyle w:val="Compact"/>
            </w:pPr>
            <w:r>
              <w:t xml:space="preserve">Lovadeep / DBA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CHANGE_ME</w:t>
            </w:r>
            <w:r>
              <w:t xml:space="preserve"> </w:t>
            </w:r>
            <w:r>
              <w:t xml:space="preserve">in field mappings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DB2 instance / schema for SRSE</w:t>
            </w:r>
          </w:p>
        </w:tc>
        <w:tc>
          <w:tcPr/>
          <w:p>
            <w:pPr>
              <w:pStyle w:val="Compact"/>
            </w:pPr>
            <w:r>
              <w:t xml:space="preserve">Lovadeep</w:t>
            </w:r>
          </w:p>
        </w:tc>
        <w:tc>
          <w:tcPr/>
          <w:p>
            <w:pPr>
              <w:pStyle w:val="Compact"/>
            </w:pPr>
            <w:r>
              <w:t xml:space="preserve">JDBC URL, credentials, schema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RajSewadwar SSO</w:t>
            </w:r>
          </w:p>
        </w:tc>
        <w:tc>
          <w:tcPr/>
          <w:p>
            <w:pPr>
              <w:pStyle w:val="Compact"/>
            </w:pPr>
            <w:r>
              <w:t xml:space="preserve">Arvind</w:t>
            </w:r>
          </w:p>
        </w:tc>
        <w:tc>
          <w:tcPr/>
          <w:p>
            <w:pPr>
              <w:pStyle w:val="Compact"/>
            </w:pPr>
            <w:r>
              <w:t xml:space="preserve">Client ID, secret, JWT validation</w:t>
            </w:r>
          </w:p>
        </w:tc>
      </w:tr>
    </w:tbl>
    <w:bookmarkEnd w:id="41"/>
    <w:bookmarkStart w:id="42" w:name="X4bb3e00fe87686d75408fbd22a6cad5a3b149d8"/>
    <w:p>
      <w:pPr>
        <w:pStyle w:val="Heading3"/>
      </w:pPr>
      <w:r>
        <w:t xml:space="preserve">Step 2 — Create client Dev environment file</w:t>
      </w:r>
    </w:p>
    <w:p>
      <w:pPr>
        <w:pStyle w:val="FirstParagraph"/>
      </w:pPr>
      <w:r>
        <w:t xml:space="preserve">Merge values from both example files: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.env.client-dev.example .env.client-dev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browser-facing URLs:</w:t>
      </w:r>
    </w:p>
    <w:p>
      <w:pPr>
        <w:pStyle w:val="SourceCode"/>
      </w:pPr>
      <w:r>
        <w:rPr>
          <w:rStyle w:val="VariableTok"/>
        </w:rPr>
        <w:t xml:space="preserve">NEXT_PUBLIC_API_BASE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https://srse-api.your-domain.gov.in</w:t>
      </w:r>
      <w:r>
        <w:br/>
      </w:r>
      <w:r>
        <w:rPr>
          <w:rStyle w:val="VariableTok"/>
        </w:rPr>
        <w:t xml:space="preserve">SRSE_FRONTEND_ORIGINS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https://srse.your-domain.gov.in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.env.client-dev</w:t>
      </w:r>
      <w:r>
        <w:t xml:space="preserve"> </w:t>
      </w:r>
      <w:r>
        <w:t xml:space="preserve">with on-prem credentials:</w:t>
      </w:r>
    </w:p>
    <w:p>
      <w:pPr>
        <w:pStyle w:val="SourceCode"/>
      </w:pPr>
      <w:r>
        <w:rPr>
          <w:rStyle w:val="VariableTok"/>
        </w:rPr>
        <w:t xml:space="preserve">CLIENT_DB2_URL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jdbc:db2://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:50000/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CLIENT_DB2_USER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CLIENT_DB2_PASSWORD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Catalog-agnostic: no trailing /catalog/schema. SRSE addresses every table</w:t>
      </w:r>
      <w:r>
        <w:br/>
      </w:r>
      <w:r>
        <w:rPr>
          <w:rStyle w:val="CommentTok"/>
        </w:rPr>
        <w:t xml:space="preserve"># by its full catalog.schema.table, so one connection reaches every</w:t>
      </w:r>
      <w:r>
        <w:br/>
      </w:r>
      <w:r>
        <w:rPr>
          <w:rStyle w:val="CommentTok"/>
        </w:rPr>
        <w:t xml:space="preserve"># registered catalog (Silver and Gold layers alike). A trailing</w:t>
      </w:r>
      <w:r>
        <w:br/>
      </w:r>
      <w:r>
        <w:rPr>
          <w:rStyle w:val="CommentTok"/>
        </w:rPr>
        <w:t xml:space="preserve"># /&lt;catalog&gt;/&lt;schema&gt; is still accepted but is only a default.</w:t>
      </w:r>
      <w:r>
        <w:br/>
      </w:r>
      <w:r>
        <w:rPr>
          <w:rStyle w:val="VariableTok"/>
        </w:rPr>
        <w:t xml:space="preserve">CLIENT_PRESTO_URL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jdbc:presto://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:8080</w:t>
      </w:r>
      <w:r>
        <w:br/>
      </w:r>
      <w:r>
        <w:rPr>
          <w:rStyle w:val="VariableTok"/>
        </w:rPr>
        <w:t xml:space="preserve">CLIENT_PRESTO_USER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CLIENT_PRESTO_PASSWORD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CLIENT_PRESTO_SSL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CLIENT_PRESTO_TRUSTSTORE_PATH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/path/to/truststore.jks</w:t>
      </w:r>
      <w:r>
        <w:br/>
      </w:r>
      <w:r>
        <w:rPr>
          <w:rStyle w:val="VariableTok"/>
        </w:rPr>
        <w:t xml:space="preserve">CLIENT_PRESTO_TRUSTSTORE_PASSWORD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truststore-password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VariableTok"/>
        </w:rPr>
        <w:t xml:space="preserve">CLIENT_AGE_BAND_COLUMN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golden-layer-age-band-column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Load both files before starting: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.env.client-dev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+a</w:t>
      </w:r>
    </w:p>
    <w:bookmarkEnd w:id="42"/>
    <w:bookmarkStart w:id="44" w:name="step-3-prepare-db2-schema-one-time"/>
    <w:p>
      <w:pPr>
        <w:pStyle w:val="Heading3"/>
      </w:pPr>
      <w:r>
        <w:t xml:space="preserve">Step 3 — Prepare DB2 schema (one-time)</w:t>
      </w:r>
    </w:p>
    <w:p>
      <w:pPr>
        <w:pStyle w:val="FirstParagraph"/>
      </w:pPr>
      <w:r>
        <w:t xml:space="preserve">In client Dev, Hibernate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(Spring profile</w:t>
      </w:r>
      <w:r>
        <w:t xml:space="preserve"> </w:t>
      </w:r>
      <w:r>
        <w:rPr>
          <w:rStyle w:val="VerbatimChar"/>
        </w:rPr>
        <w:t xml:space="preserve">client-dev</w:t>
      </w:r>
      <w:r>
        <w:t xml:space="preserve">). The DBA must create the operational tables before first boot: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field_catalog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field_column_mapping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scenario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scenario_scheme_tag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analysis_column_metadata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registered_table</w:t>
      </w:r>
    </w:p>
    <w:p>
      <w:pPr>
        <w:pStyle w:val="FirstParagraph"/>
      </w:pPr>
      <w:r>
        <w:t xml:space="preserve">Table shapes match the JPA entities under</w:t>
      </w:r>
      <w:r>
        <w:t xml:space="preserve"> </w:t>
      </w:r>
      <w:r>
        <w:rPr>
          <w:rStyle w:val="VerbatimChar"/>
        </w:rPr>
        <w:t xml:space="preserve">backend/src/main/java/gov/rajasthan/smart/srse/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Upgrading a database that already has these tables</w:t>
      </w:r>
      <w:r>
        <w:t xml:space="preserve"> </w:t>
      </w:r>
      <w:r>
        <w:t xml:space="preserve">— client Dev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any local</w:t>
      </w:r>
      <w:r>
        <w:t xml:space="preserve"> </w:t>
      </w:r>
      <w:r>
        <w:t xml:space="preserve">stack whose DB2 volume predates the change. Run</w:t>
      </w:r>
      <w:r>
        <w:t xml:space="preserve"> </w:t>
      </w:r>
      <w:hyperlink r:id="rId43">
        <w:r>
          <w:rPr>
            <w:rStyle w:val="VerbatimChar"/>
          </w:rPr>
          <w:t xml:space="preserve">docs/migrations/001-qualify-analysis-column-metadata.sql</w:t>
        </w:r>
      </w:hyperlink>
      <w:r>
        <w:t xml:space="preserve">.</w:t>
      </w:r>
    </w:p>
    <w:p>
      <w:pPr>
        <w:pStyle w:val="BlockText"/>
      </w:pPr>
      <w:r>
        <w:t xml:space="preserve">Do not assume</w:t>
      </w:r>
      <w:r>
        <w:t xml:space="preserve"> </w:t>
      </w:r>
      <w:r>
        <w:rPr>
          <w:rStyle w:val="VerbatimChar"/>
        </w:rPr>
        <w:t xml:space="preserve">ddl-auto: update</w:t>
      </w:r>
      <w:r>
        <w:t xml:space="preserve"> </w:t>
      </w:r>
      <w:r>
        <w:t xml:space="preserve">handles it —</w:t>
      </w:r>
      <w:r>
        <w:t xml:space="preserve"> </w:t>
      </w:r>
      <w:r>
        <w:rPr>
          <w:b/>
          <w:bCs/>
        </w:rPr>
        <w:t xml:space="preserve">it cannot, and it does not say so.</w:t>
      </w:r>
      <w:r>
        <w:t xml:space="preserve"> </w:t>
      </w:r>
      <w:r>
        <w:t xml:space="preserve">It adds nullable columns happily (which is how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 </w:t>
      </w:r>
      <w:r>
        <w:t xml:space="preserve">appears on its own) but DB2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ADD COLUMN ... NOT NULL</w:t>
      </w:r>
      <w:r>
        <w:t xml:space="preserve"> </w:t>
      </w:r>
      <w:r>
        <w:t xml:space="preserve">on an existing table, so</w:t>
      </w:r>
      <w:r>
        <w:t xml:space="preserve"> </w:t>
      </w:r>
      <w:r>
        <w:rPr>
          <w:rStyle w:val="VerbatimChar"/>
        </w:rPr>
        <w:t xml:space="preserve">catalog_name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schema_name</w:t>
      </w:r>
      <w:r>
        <w:t xml:space="preserve"> </w:t>
      </w:r>
      <w:r>
        <w:t xml:space="preserve">are skipped in silence. The backend then starts perfectly cleanly and</w:t>
      </w:r>
      <w:r>
        <w:t xml:space="preserve"> </w:t>
      </w:r>
      <w:r>
        <w:t xml:space="preserve">every Analysis-tab query fails at runtime with</w:t>
      </w:r>
      <w:r>
        <w:t xml:space="preserve"> </w:t>
      </w:r>
      <w:r>
        <w:rPr>
          <w:rStyle w:val="VerbatimChar"/>
        </w:rPr>
        <w:t xml:space="preserve">SQLCODE=-206</w:t>
      </w:r>
      <w:r>
        <w:t xml:space="preserve"> </w:t>
      </w:r>
      <w:r>
        <w:t xml:space="preserve">(undefined column).</w:t>
      </w:r>
      <w:r>
        <w:t xml:space="preserve"> </w:t>
      </w:r>
      <w:r>
        <w:t xml:space="preserve">This was hit for real on a local stack, not theorised.</w:t>
      </w:r>
    </w:p>
    <w:p>
      <w:pPr>
        <w:pStyle w:val="BlockText"/>
      </w:pPr>
      <w:r>
        <w:t xml:space="preserve">Two details the script explains and that are easy to get wrong: the old unique</w:t>
      </w:r>
      <w:r>
        <w:t xml:space="preserve"> </w:t>
      </w:r>
      <w:r>
        <w:t xml:space="preserve">constraint has a Hibernate-generated name that</w:t>
      </w:r>
      <w:r>
        <w:t xml:space="preserve"> </w:t>
      </w:r>
      <w:r>
        <w:rPr>
          <w:b/>
          <w:bCs/>
        </w:rPr>
        <w:t xml:space="preserve">differs per environment</w:t>
      </w:r>
      <w:r>
        <w:t xml:space="preserve"> </w:t>
      </w:r>
      <w:r>
        <w:t xml:space="preserve">(look it up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SYSCAT.TABCONST</w:t>
      </w:r>
      <w:r>
        <w:t xml:space="preserve">), and the identifier columns must be</w:t>
      </w:r>
      <w:r>
        <w:t xml:space="preserve"> </w:t>
      </w:r>
      <w:r>
        <w:rPr>
          <w:rStyle w:val="VerbatimChar"/>
        </w:rPr>
        <w:t xml:space="preserve">VARCHAR(128)</w:t>
      </w:r>
      <w:r>
        <w:t xml:space="preserve">, not 255 —</w:t>
      </w:r>
      <w:r>
        <w:t xml:space="preserve"> </w:t>
      </w:r>
      <w:r>
        <w:t xml:space="preserve">a four-column unique key over</w:t>
      </w:r>
      <w:r>
        <w:t xml:space="preserve"> </w:t>
      </w:r>
      <w:r>
        <w:rPr>
          <w:rStyle w:val="VerbatimChar"/>
        </w:rPr>
        <w:t xml:space="preserve">VARCHAR(255)</w:t>
      </w:r>
      <w:r>
        <w:t xml:space="preserve"> </w:t>
      </w:r>
      <w:r>
        <w:t xml:space="preserve">exceeds DB2’s index key limit and is</w:t>
      </w:r>
      <w:r>
        <w:t xml:space="preserve"> </w:t>
      </w:r>
      <w:r>
        <w:t xml:space="preserve">rejected with</w:t>
      </w:r>
      <w:r>
        <w:t xml:space="preserve"> </w:t>
      </w:r>
      <w:r>
        <w:rPr>
          <w:rStyle w:val="VerbatimChar"/>
        </w:rPr>
        <w:t xml:space="preserve">SQL0613N</w:t>
      </w:r>
      <w:r>
        <w:t xml:space="preserve">.</w:t>
      </w:r>
    </w:p>
    <w:bookmarkEnd w:id="44"/>
    <w:bookmarkStart w:id="45" w:name="X125db513b84a0fcfd49aaebb7cdd097348e42fe"/>
    <w:p>
      <w:pPr>
        <w:pStyle w:val="Heading3"/>
      </w:pPr>
      <w:r>
        <w:t xml:space="preserve">Step 4 — Update Golden Layer field mappings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backend/src/main/resources/metadata/field-catalog-seed.yml</w:t>
      </w:r>
      <w:r>
        <w:t xml:space="preserve"> </w:t>
      </w:r>
      <w:r>
        <w:t xml:space="preserve">— replace every</w:t>
      </w:r>
      <w:r>
        <w:t xml:space="preserve"> </w:t>
      </w:r>
      <w:r>
        <w:rPr>
          <w:rStyle w:val="VerbatimChar"/>
        </w:rPr>
        <w:t xml:space="preserve">CHANGE_ME.*</w:t>
      </w:r>
      <w:r>
        <w:t xml:space="preserve"> </w:t>
      </w:r>
      <w:r>
        <w:t xml:space="preserve">live expression with the</w:t>
      </w:r>
      <w:r>
        <w:t xml:space="preserve"> </w:t>
      </w:r>
      <w:r>
        <w:rPr>
          <w:b/>
          <w:bCs/>
        </w:rPr>
        <w:t xml:space="preserve">fully-qualified</w:t>
      </w:r>
      <w:r>
        <w:t xml:space="preserve"> </w:t>
      </w:r>
      <w:r>
        <w:t xml:space="preserve">Golden Layer column reference,</w:t>
      </w:r>
      <w:r>
        <w:t xml:space="preserve"> </w:t>
      </w:r>
      <w:r>
        <w:rPr>
          <w:rStyle w:val="VerbatimChar"/>
        </w:rPr>
        <w:t xml:space="preserve">&lt;catalog&gt;.&lt;schema&gt;.&lt;table&gt;.&lt;column&gt;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iceberg_gold.golden_layer.tbl_beneficiary.age_years</w:t>
      </w:r>
      <w:r>
        <w:t xml:space="preserve">).</w:t>
      </w:r>
    </w:p>
    <w:p>
      <w:pPr>
        <w:pStyle w:val="BodyText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table.column</w:t>
      </w:r>
      <w:r>
        <w:t xml:space="preserve"> </w:t>
      </w:r>
      <w:r>
        <w:t xml:space="preserve">only resolves if the JDBC URL still carries a default catalog/schema, which is not guaranteed in client Dev — so qualify these fully rather than relying on the connection.</w:t>
      </w:r>
    </w:p>
    <w:p>
      <w:pPr>
        <w:pStyle w:val="BodyText"/>
      </w:pPr>
      <w:r>
        <w:t xml:space="preserve">Alternatively, configure mappings after deployment via the Admin UI (see</w:t>
      </w:r>
      <w:r>
        <w:t xml:space="preserve"> </w:t>
      </w:r>
      <w:hyperlink w:anchor="X98f36c85b7c02d62021f342d5ba748c3e27d642">
        <w:r>
          <w:rPr>
            <w:rStyle w:val="Hyperlink"/>
          </w:rPr>
          <w:t xml:space="preserve">Section 8</w:t>
        </w:r>
      </w:hyperlink>
      <w:r>
        <w:t xml:space="preserve">).</w:t>
      </w:r>
    </w:p>
    <w:bookmarkEnd w:id="45"/>
    <w:bookmarkStart w:id="46" w:name="X3b3b9d751ce018f7f1dbd57fdeab6c1b62e4691"/>
    <w:p>
      <w:pPr>
        <w:pStyle w:val="Heading3"/>
      </w:pPr>
      <w:r>
        <w:t xml:space="preserve">Step 5 — Build and start app containers only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docker-compose.client-dev.yml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srse-backend srse-frontend</w:t>
      </w:r>
    </w:p>
    <w:p>
      <w:pPr>
        <w:pStyle w:val="FirstParagraph"/>
      </w:pPr>
      <w:r>
        <w:t xml:space="preserve">This sets: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DATA_MODE=live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SPRING_PROFILES_ACTIVE=client-dev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SRSE_AUTH_MODE=rajsewadwar</w:t>
      </w:r>
    </w:p>
    <w:p>
      <w:pPr>
        <w:pStyle w:val="Compact"/>
        <w:numPr>
          <w:ilvl w:val="0"/>
          <w:numId w:val="1006"/>
        </w:numPr>
      </w:pPr>
      <w:r>
        <w:t xml:space="preserve">JDBC URLs from</w:t>
      </w:r>
      <w:r>
        <w:t xml:space="preserve"> </w:t>
      </w:r>
      <w:r>
        <w:rPr>
          <w:rStyle w:val="VerbatimChar"/>
        </w:rPr>
        <w:t xml:space="preserve">CLIENT_*</w:t>
      </w:r>
      <w:r>
        <w:t xml:space="preserve"> </w:t>
      </w:r>
      <w:r>
        <w:t xml:space="preserve">variables</w:t>
      </w:r>
    </w:p>
    <w:bookmarkEnd w:id="46"/>
    <w:bookmarkStart w:id="47" w:name="step-6-verify-live-connectivity"/>
    <w:p>
      <w:pPr>
        <w:pStyle w:val="Heading3"/>
      </w:pPr>
      <w:r>
        <w:t xml:space="preserve">Step 6 — Verify live connectivity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https://srse-api.your-domain.gov.in/api/health/planes</w:t>
      </w:r>
    </w:p>
    <w:p>
      <w:pPr>
        <w:pStyle w:val="FirstParagraph"/>
      </w:pPr>
      <w:r>
        <w:t xml:space="preserve">Both planes must report</w:t>
      </w:r>
      <w:r>
        <w:t xml:space="preserve"> </w:t>
      </w:r>
      <w:r>
        <w:rPr>
          <w:rStyle w:val="VerbatimChar"/>
        </w:rPr>
        <w:t xml:space="preserve">"up"</w:t>
      </w:r>
      <w:r>
        <w:t xml:space="preserve">. Then open the Admin page and confirm field mappings resolve to real columns.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post-deployment-admin-configuration"/>
    <w:p>
      <w:pPr>
        <w:pStyle w:val="Heading2"/>
      </w:pPr>
      <w:r>
        <w:t xml:space="preserve">8. Post-deployment admin configuration</w:t>
      </w:r>
    </w:p>
    <w:p>
      <w:pPr>
        <w:pStyle w:val="FirstParagraph"/>
      </w:pPr>
      <w:r>
        <w:t xml:space="preserve">Open http://localhost:3000/admin456 (or your deployed equivalent). This route is intentionally unlinked from the main navigation.</w:t>
      </w:r>
    </w:p>
    <w:p>
      <w:pPr>
        <w:pStyle w:val="BodyText"/>
      </w:pPr>
      <w:r>
        <w:t xml:space="preserve">The panels are ordered as a workflow — connect, then register, then map. Work through them in order on a fresh deployment.</w:t>
      </w:r>
    </w:p>
    <w:bookmarkStart w:id="49" w:name="panel-1-connections"/>
    <w:p>
      <w:pPr>
        <w:pStyle w:val="Heading3"/>
      </w:pPr>
      <w:r>
        <w:t xml:space="preserve">Panel 1 — Connections</w:t>
      </w:r>
    </w:p>
    <w:p>
      <w:pPr>
        <w:pStyle w:val="FirstParagraph"/>
      </w:pPr>
      <w:r>
        <w:t xml:space="preserve">View and edit JDBC connection settings for both planes. Analytical (Presto) edits apply immediately after a successful test-connect; operational (DB2) edits are saved but need a backend restart — the UI says which.</w:t>
      </w:r>
    </w:p>
    <w:p>
      <w:pPr>
        <w:pStyle w:val="BodyText"/>
      </w:pPr>
      <w:r>
        <w:t xml:space="preserve">The Presto URL is</w:t>
      </w:r>
      <w:r>
        <w:t xml:space="preserve"> </w:t>
      </w:r>
      <w:r>
        <w:rPr>
          <w:b/>
          <w:bCs/>
        </w:rPr>
        <w:t xml:space="preserve">catalog-agnostic</w:t>
      </w:r>
      <w:r>
        <w:t xml:space="preserve">:</w:t>
      </w:r>
      <w:r>
        <w:t xml:space="preserve"> </w:t>
      </w:r>
      <w:r>
        <w:rPr>
          <w:rStyle w:val="VerbatimChar"/>
        </w:rPr>
        <w:t xml:space="preserve">jdbc:presto://host:8080</w:t>
      </w:r>
      <w:r>
        <w:t xml:space="preserve"> </w:t>
      </w:r>
      <w:r>
        <w:t xml:space="preserve">is complete. Any trailing</w:t>
      </w:r>
      <w:r>
        <w:t xml:space="preserve"> </w:t>
      </w:r>
      <w:r>
        <w:rPr>
          <w:rStyle w:val="VerbatimChar"/>
        </w:rPr>
        <w:t xml:space="preserve">/catalog/schema</w:t>
      </w:r>
      <w:r>
        <w:t xml:space="preserve"> </w:t>
      </w:r>
      <w:r>
        <w:t xml:space="preserve">is only a default, because SRSE addresses every table by its full</w:t>
      </w:r>
      <w:r>
        <w:t xml:space="preserve"> </w:t>
      </w:r>
      <w:r>
        <w:rPr>
          <w:rStyle w:val="VerbatimChar"/>
        </w:rPr>
        <w:t xml:space="preserve">catalog.schema.table</w:t>
      </w:r>
      <w:r>
        <w:t xml:space="preserve"> </w:t>
      </w:r>
      <w:r>
        <w:t xml:space="preserve">and one connection must reach every registered catalog.</w:t>
      </w:r>
    </w:p>
    <w:p>
      <w:pPr>
        <w:pStyle w:val="BodyText"/>
      </w:pPr>
      <w:r>
        <w:t xml:space="preserve">Connection overrides are persisted to</w:t>
      </w:r>
      <w:r>
        <w:t xml:space="preserve"> </w:t>
      </w:r>
      <w:r>
        <w:rPr>
          <w:rStyle w:val="VerbatimChar"/>
        </w:rPr>
        <w:t xml:space="preserve">connection-overrides.properties</w:t>
      </w:r>
      <w:r>
        <w:t xml:space="preserve"> </w:t>
      </w:r>
      <w:r>
        <w:t xml:space="preserve">(Docker volume</w:t>
      </w:r>
      <w:r>
        <w:t xml:space="preserve"> </w:t>
      </w:r>
      <w:r>
        <w:rPr>
          <w:rStyle w:val="VerbatimChar"/>
        </w:rPr>
        <w:t xml:space="preserve">connection-overrides</w:t>
      </w:r>
      <w:r>
        <w:t xml:space="preserve">) so admin edits survive container recreation.</w:t>
      </w:r>
    </w:p>
    <w:bookmarkEnd w:id="49"/>
    <w:bookmarkStart w:id="50" w:name="X66be4d3a8e089a8f615cf0b87cd57715b7b5b77"/>
    <w:p>
      <w:pPr>
        <w:pStyle w:val="Heading3"/>
      </w:pPr>
      <w:r>
        <w:t xml:space="preserve">Panel 2 — Lakehouse registry (Catalog › Schema › Table)</w:t>
      </w:r>
    </w:p>
    <w:p>
      <w:pPr>
        <w:pStyle w:val="FirstParagraph"/>
      </w:pPr>
      <w:r>
        <w:t xml:space="preserve">This is the seam between what the connection can physically reach and what officers are offered. Nothing appears in the Analysis tab until a table is registered here.</w:t>
      </w:r>
    </w:p>
    <w:p>
      <w:pPr>
        <w:pStyle w:val="Compact"/>
        <w:numPr>
          <w:ilvl w:val="0"/>
          <w:numId w:val="1007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Catalog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Table</w:t>
      </w:r>
      <w:r>
        <w:t xml:space="preserve">. Each dropdown reads the live lakehouse (</w:t>
      </w:r>
      <w:r>
        <w:rPr>
          <w:rStyle w:val="VerbatimChar"/>
        </w:rPr>
        <w:t xml:space="preserve">SHOW CATALOGS</w:t>
      </w:r>
      <w:r>
        <w:t xml:space="preserve">, then that catalog’s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), so it shows exactly what the current connection can see.</w:t>
      </w:r>
    </w:p>
    <w:p>
      <w:pPr>
        <w:pStyle w:val="Compact"/>
        <w:numPr>
          <w:ilvl w:val="0"/>
          <w:numId w:val="1007"/>
        </w:numPr>
      </w:pPr>
      <w:r>
        <w:t xml:space="preserve">Optionally tag the</w:t>
      </w:r>
      <w: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SILVER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GOLD</w:t>
      </w:r>
      <w:r>
        <w:t xml:space="preserve">. This is a display tag that keeps same-named tables in two layers distinguishable; it is free text, so a third layer needs no code change.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Register table.</w:t>
      </w:r>
    </w:p>
    <w:p>
      <w:pPr>
        <w:pStyle w:val="FirstParagraph"/>
      </w:pPr>
      <w:r>
        <w:t xml:space="preserve">Registering exposes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table’s columns to officers. Columns are never copied into DB2 — they are re-read from the lakehouse on every use, so a column added upstream appears without re-registration and a dropped one disappears instead of lingering as a broken reference.</w:t>
      </w:r>
    </w:p>
    <w:p>
      <w:pPr>
        <w:pStyle w:val="BodyText"/>
      </w:pPr>
      <w:r>
        <w:t xml:space="preserve">Register both sides of any reconciliation you intend to run: a Silver↔Gold comparison is an ordinary match between two registered tables that happen to sit in different catalogs.</w:t>
      </w:r>
    </w:p>
    <w:p>
      <w:pPr>
        <w:pStyle w:val="BodyText"/>
      </w:pPr>
      <w:r>
        <w:rPr>
          <w:b/>
          <w:bCs/>
        </w:rPr>
        <w:t xml:space="preserve">Unregister</w:t>
      </w:r>
      <w:r>
        <w:t xml:space="preserve"> </w:t>
      </w:r>
      <w:r>
        <w:t xml:space="preserve">removes a table from the officer-facing lists. Nothing in the lakehouse is touched.</w:t>
      </w:r>
    </w:p>
    <w:bookmarkEnd w:id="50"/>
    <w:bookmarkStart w:id="51" w:name="panel-3-field-mappings-rule-engine-plane"/>
    <w:p>
      <w:pPr>
        <w:pStyle w:val="Heading3"/>
      </w:pPr>
      <w:r>
        <w:t xml:space="preserve">Panel 3 — Field mappings (Rule Engine plane)</w:t>
      </w:r>
    </w:p>
    <w:p>
      <w:pPr>
        <w:pStyle w:val="FirstParagraph"/>
      </w:pPr>
      <w:r>
        <w:t xml:space="preserve">Map each officer-facing</w:t>
      </w:r>
      <w:r>
        <w:t xml:space="preserve"> </w:t>
      </w:r>
      <w:r>
        <w:rPr>
          <w:b/>
          <w:bCs/>
        </w:rPr>
        <w:t xml:space="preserve">field key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age_years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) to a physical Presto expression for the active</w:t>
      </w:r>
      <w:r>
        <w:t xml:space="preserve"> </w:t>
      </w:r>
      <w:r>
        <w:rPr>
          <w:rStyle w:val="VerbatimChar"/>
        </w:rPr>
        <w:t xml:space="preserve">DATA_MODE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mode</w:t>
            </w:r>
          </w:p>
        </w:tc>
        <w:tc>
          <w:tcPr/>
          <w:p>
            <w:pPr>
              <w:pStyle w:val="Compact"/>
            </w:pPr>
            <w:r>
              <w:t xml:space="preserve">Mapping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Seeded from</w:t>
            </w:r>
            <w:r>
              <w:t xml:space="preserve"> </w:t>
            </w:r>
            <w:r>
              <w:rPr>
                <w:rStyle w:val="VerbatimChar"/>
              </w:rPr>
              <w:t xml:space="preserve">field-catalog-seed.yml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beneficiary.*</w:t>
            </w:r>
            <w:r>
              <w:t xml:space="preserve"> </w:t>
            </w: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Admin-configured → fully-qualified Golden Layer columns</w:t>
            </w:r>
          </w:p>
        </w:tc>
      </w:tr>
    </w:tbl>
    <w:p>
      <w:pPr>
        <w:pStyle w:val="BodyText"/>
      </w:pPr>
      <w:r>
        <w:t xml:space="preserve">Live expressions must be fully qualified —</w:t>
      </w:r>
      <w:r>
        <w:t xml:space="preserve"> </w:t>
      </w:r>
      <w:r>
        <w:rPr>
          <w:rStyle w:val="VerbatimChar"/>
        </w:rPr>
        <w:t xml:space="preserve">catalog.schema.table.column</w:t>
      </w:r>
      <w:r>
        <w:t xml:space="preserve">. Use</w:t>
      </w:r>
      <w:r>
        <w:t xml:space="preserve"> </w:t>
      </w:r>
      <w:r>
        <w:rPr>
          <w:b/>
          <w:bCs/>
        </w:rPr>
        <w:t xml:space="preserve">Pick from lakehouse…</w:t>
      </w:r>
      <w:r>
        <w:t xml:space="preserve"> </w:t>
      </w:r>
      <w:r>
        <w:t xml:space="preserve">to build one from the live schema rather than typing it; the free-text field remains editable for Tier-2 expressions (e.g. computing age from a DOB column), which are not a single column reference.</w:t>
      </w:r>
    </w:p>
    <w:p>
      <w:pPr>
        <w:pStyle w:val="BodyText"/>
      </w:pPr>
      <w:r>
        <w:t xml:space="preserve">Officers only ever see flat field keys in the rule builder. Joins and cross-table calculations must be pre-materialised upstream (Tier 3 fields).</w:t>
      </w:r>
    </w:p>
    <w:bookmarkEnd w:id="51"/>
    <w:bookmarkStart w:id="52" w:name="Xa7cecf30291b4f89cb48a2ecd07afb0cadb4067"/>
    <w:p>
      <w:pPr>
        <w:pStyle w:val="Heading3"/>
      </w:pPr>
      <w:r>
        <w:t xml:space="preserve">Panel 4 — Analysis column business names, fuzzy matching &amp; visibility</w:t>
      </w:r>
    </w:p>
    <w:p>
      <w:pPr>
        <w:pStyle w:val="FirstParagraph"/>
      </w:pPr>
      <w:r>
        <w:t xml:space="preserve">Per-column overrides for the Analysis tab, scoped to a</w:t>
      </w:r>
      <w:r>
        <w:t xml:space="preserve"> </w:t>
      </w:r>
      <w:r>
        <w:rPr>
          <w:b/>
          <w:bCs/>
        </w:rPr>
        <w:t xml:space="preserve">registered</w:t>
      </w:r>
      <w:r>
        <w:t xml:space="preserve"> </w:t>
      </w:r>
      <w:r>
        <w:t xml:space="preserve">table: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name</w:t>
      </w:r>
      <w:r>
        <w:t xml:space="preserve"> </w:t>
      </w:r>
      <w:r>
        <w:t xml:space="preserve">— the officer-facing label. Unset columns fall back to the raw column name.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Fuzzy matchable</w:t>
      </w:r>
      <w:r>
        <w:t xml:space="preserve"> </w:t>
      </w:r>
      <w:r>
        <w:t xml:space="preserve">— offers approximate (Levenshtein) matching for that column. Unset columns fall back to a name-substring guess, matching the backend’s own rule.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Visible</w:t>
      </w:r>
      <w:r>
        <w:t xml:space="preserve"> </w:t>
      </w:r>
      <w:r>
        <w:t xml:space="preserve">— uncheck to hide a column from officers. This is how you narrow a wide registered table; registration exposes everything by default.</w:t>
      </w:r>
    </w:p>
    <w:p>
      <w:pPr>
        <w:pStyle w:val="FirstParagraph"/>
      </w:pPr>
      <w:r>
        <w:t xml:space="preserve">Entries are keyed by the full</w:t>
      </w:r>
      <w:r>
        <w:t xml:space="preserve"> </w:t>
      </w:r>
      <w:r>
        <w:rPr>
          <w:rStyle w:val="VerbatimChar"/>
        </w:rPr>
        <w:t xml:space="preserve">catalog.schema.table.column</w:t>
      </w:r>
      <w:r>
        <w:t xml:space="preserve">, so the same column name in the Silver and Gold layers carries independent metadata.</w:t>
      </w:r>
    </w:p>
    <w:bookmarkEnd w:id="52"/>
    <w:bookmarkStart w:id="53" w:name="field-catalogue-bootstrap"/>
    <w:p>
      <w:pPr>
        <w:pStyle w:val="Heading3"/>
      </w:pPr>
      <w:r>
        <w:t xml:space="preserve">Field catalogue bootstrap</w:t>
      </w:r>
    </w:p>
    <w:p>
      <w:pPr>
        <w:pStyle w:val="FirstParagraph"/>
      </w:pPr>
      <w:r>
        <w:t xml:space="preserve">On every backend boot,</w:t>
      </w:r>
      <w:r>
        <w:t xml:space="preserve"> </w:t>
      </w:r>
      <w:r>
        <w:rPr>
          <w:rStyle w:val="VerbatimChar"/>
        </w:rPr>
        <w:t xml:space="preserve">FieldCatalogSeedRunner</w:t>
      </w:r>
      <w:r>
        <w:t xml:space="preserve"> </w:t>
      </w:r>
      <w:r>
        <w:t xml:space="preserve">upserts entries from</w:t>
      </w:r>
      <w:r>
        <w:t xml:space="preserve"> </w:t>
      </w:r>
      <w:r>
        <w:rPr>
          <w:rStyle w:val="VerbatimChar"/>
        </w:rPr>
        <w:t xml:space="preserve">field-catalog-seed.yml</w:t>
      </w:r>
      <w:r>
        <w:t xml:space="preserve">. Existing catalogue rows are not overwritten — only missing fields are inserted.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optional-sonarqube-code-quality-scans"/>
    <w:p>
      <w:pPr>
        <w:pStyle w:val="Heading2"/>
      </w:pPr>
      <w:r>
        <w:t xml:space="preserve">9. Optional: SonarQube code quality scans</w:t>
      </w:r>
    </w:p>
    <w:bookmarkStart w:id="55" w:name="one-time-sonarqube-setup"/>
    <w:p>
      <w:pPr>
        <w:pStyle w:val="Heading3"/>
      </w:pPr>
      <w:r>
        <w:t xml:space="preserve">One-time SonarQube setup</w:t>
      </w:r>
    </w:p>
    <w:p>
      <w:pPr>
        <w:pStyle w:val="Compact"/>
        <w:numPr>
          <w:ilvl w:val="0"/>
          <w:numId w:val="1009"/>
        </w:numPr>
      </w:pPr>
      <w:r>
        <w:t xml:space="preserve">Run SonarQube locally (default http://localhost:9012).</w:t>
      </w:r>
    </w:p>
    <w:p>
      <w:pPr>
        <w:pStyle w:val="Compact"/>
        <w:numPr>
          <w:ilvl w:val="0"/>
          <w:numId w:val="1009"/>
        </w:numPr>
      </w:pPr>
      <w:r>
        <w:t xml:space="preserve">Create project:</w:t>
      </w:r>
      <w:r>
        <w:t xml:space="preserve"> </w:t>
      </w:r>
      <w:r>
        <w:rPr>
          <w:b/>
          <w:bCs/>
        </w:rPr>
        <w:t xml:space="preserve">Project key</w:t>
      </w:r>
      <w:r>
        <w:t xml:space="preserve"> </w:t>
      </w:r>
      <w:r>
        <w:rPr>
          <w:rStyle w:val="VerbatimChar"/>
        </w:rPr>
        <w:t xml:space="preserve">SRSE</w:t>
      </w:r>
      <w:r>
        <w:t xml:space="preserve">,</w:t>
      </w:r>
      <w:r>
        <w:t xml:space="preserve"> </w:t>
      </w:r>
      <w:r>
        <w:rPr>
          <w:b/>
          <w:bCs/>
        </w:rPr>
        <w:t xml:space="preserve">Display name</w:t>
      </w:r>
      <w:r>
        <w:t xml:space="preserve"> </w:t>
      </w:r>
      <w:r>
        <w:rPr>
          <w:rStyle w:val="VerbatimChar"/>
        </w:rPr>
        <w:t xml:space="preserve">SRSE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Generate token:</w:t>
      </w:r>
      <w:r>
        <w:t xml:space="preserve"> </w:t>
      </w:r>
      <w:r>
        <w:rPr>
          <w:b/>
          <w:bCs/>
        </w:rPr>
        <w:t xml:space="preserve">My Account → Security → Generate Token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SONAR_HOST_URL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http://localhost:9012</w:t>
      </w:r>
      <w:r>
        <w:br/>
      </w:r>
      <w:r>
        <w:rPr>
          <w:rStyle w:val="VariableTok"/>
        </w:rPr>
        <w:t xml:space="preserve">SONAR_TOKEN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your-token</w:t>
      </w:r>
      <w:r>
        <w:rPr>
          <w:rStyle w:val="OperatorTok"/>
        </w:rPr>
        <w:t xml:space="preserve">&gt;</w:t>
      </w:r>
    </w:p>
    <w:bookmarkEnd w:id="55"/>
    <w:bookmarkStart w:id="56" w:name="run-a-scan"/>
    <w:p>
      <w:pPr>
        <w:pStyle w:val="Heading3"/>
      </w:pPr>
      <w:r>
        <w:t xml:space="preserve">Run a scan</w:t>
      </w:r>
    </w:p>
    <w:p>
      <w:pPr>
        <w:pStyle w:val="SourceCode"/>
      </w:pPr>
      <w:r>
        <w:rPr>
          <w:rStyle w:val="ExtensionTok"/>
        </w:rPr>
        <w:t xml:space="preserve">./scripts/sonar-scan.sh</w:t>
      </w:r>
    </w:p>
    <w:p>
      <w:pPr>
        <w:pStyle w:val="FirstParagraph"/>
      </w:pPr>
      <w:r>
        <w:t xml:space="preserve">Dashboard: http://localhost:9012/dashboard?id=SRSE</w:t>
      </w:r>
    </w:p>
    <w:bookmarkEnd w:id="56"/>
    <w:bookmarkStart w:id="57" w:name="optional-pre-push-hook"/>
    <w:p>
      <w:pPr>
        <w:pStyle w:val="Heading3"/>
      </w:pPr>
      <w:r>
        <w:t xml:space="preserve">Optional pre-push hook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core.hooksPath .githooks</w:t>
      </w:r>
    </w:p>
    <w:p>
      <w:pPr>
        <w:pStyle w:val="FirstParagraph"/>
      </w:pPr>
      <w:r>
        <w:t xml:space="preserve">The pre-push hook runs the same scan and blocks push on failure.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troubleshooting"/>
    <w:p>
      <w:pPr>
        <w:pStyle w:val="Heading2"/>
      </w:pPr>
      <w:r>
        <w:t xml:space="preserve">10. Troubleshooting</w:t>
      </w:r>
    </w:p>
    <w:bookmarkStart w:id="59" w:name="X53e825a20439db185cb42b293e774f32f54768f"/>
    <w:p>
      <w:pPr>
        <w:pStyle w:val="Heading3"/>
      </w:pPr>
      <w:r>
        <w:t xml:space="preserve">DB2 slow or backend shows</w:t>
      </w:r>
      <w:r>
        <w:t xml:space="preserve"> </w:t>
      </w:r>
      <w:r>
        <w:rPr>
          <w:rStyle w:val="VerbatimChar"/>
        </w:rPr>
        <w:t xml:space="preserve">operational: down</w:t>
      </w:r>
    </w:p>
    <w:p>
      <w:pPr>
        <w:pStyle w:val="Compact"/>
        <w:numPr>
          <w:ilvl w:val="0"/>
          <w:numId w:val="1010"/>
        </w:numPr>
      </w:pPr>
      <w:r>
        <w:t xml:space="preserve">DB2 community image first boot takes</w:t>
      </w:r>
      <w:r>
        <w:t xml:space="preserve"> </w:t>
      </w:r>
      <w:r>
        <w:rPr>
          <w:b/>
          <w:bCs/>
        </w:rPr>
        <w:t xml:space="preserve">5–10+ minutes</w:t>
      </w:r>
      <w:r>
        <w:t xml:space="preserve">, longer on Apple Silicon.</w:t>
      </w:r>
    </w:p>
    <w:p>
      <w:pPr>
        <w:pStyle w:val="Compact"/>
        <w:numPr>
          <w:ilvl w:val="0"/>
          <w:numId w:val="1010"/>
        </w:numPr>
      </w:pPr>
      <w:r>
        <w:t xml:space="preserve">Check logs:</w:t>
      </w:r>
      <w:r>
        <w:t xml:space="preserve"> </w:t>
      </w:r>
      <w:r>
        <w:rPr>
          <w:rStyle w:val="VerbatimChar"/>
        </w:rPr>
        <w:t xml:space="preserve">docker compose logs db2</w:t>
      </w:r>
    </w:p>
    <w:p>
      <w:pPr>
        <w:pStyle w:val="Compact"/>
        <w:numPr>
          <w:ilvl w:val="0"/>
          <w:numId w:val="1010"/>
        </w:numPr>
      </w:pPr>
      <w:r>
        <w:t xml:space="preserve">Confirm password matches:</w:t>
      </w:r>
      <w:r>
        <w:t xml:space="preserve"> </w:t>
      </w:r>
      <w:r>
        <w:rPr>
          <w:rStyle w:val="VerbatimChar"/>
        </w:rPr>
        <w:t xml:space="preserve">SRSE_DB2_PASSWORD=srse_local_pw</w:t>
      </w:r>
      <w:r>
        <w:t xml:space="preserve"> </w:t>
      </w:r>
      <w:r>
        <w:t xml:space="preserve">(local compose default).</w:t>
      </w:r>
    </w:p>
    <w:bookmarkEnd w:id="59"/>
    <w:bookmarkStart w:id="60" w:name="presto-oom-during-seed"/>
    <w:p>
      <w:pPr>
        <w:pStyle w:val="Heading3"/>
      </w:pPr>
      <w:r>
        <w:t xml:space="preserve">Presto OOM during seed</w:t>
      </w:r>
    </w:p>
    <w:p>
      <w:pPr>
        <w:pStyle w:val="Compact"/>
        <w:numPr>
          <w:ilvl w:val="0"/>
          <w:numId w:val="1011"/>
        </w:numPr>
      </w:pPr>
      <w:r>
        <w:t xml:space="preserve">Presto JVM is configured for 4 GB in</w:t>
      </w:r>
      <w:r>
        <w:t xml:space="preserve"> </w:t>
      </w:r>
      <w:r>
        <w:rPr>
          <w:rStyle w:val="VerbatimChar"/>
        </w:rPr>
        <w:t xml:space="preserve">docker/presto/jvm.config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Increase Docker Desktop memory allocation if seed crashes mid-run.</w:t>
      </w:r>
    </w:p>
    <w:p>
      <w:pPr>
        <w:pStyle w:val="Compact"/>
        <w:numPr>
          <w:ilvl w:val="0"/>
          <w:numId w:val="1011"/>
        </w:numPr>
      </w:pPr>
      <w:r>
        <w:t xml:space="preserve">Re-run seed:</w:t>
      </w:r>
      <w:r>
        <w:t xml:space="preserve"> </w:t>
      </w:r>
      <w:r>
        <w:rPr>
          <w:rStyle w:val="VerbatimChar"/>
        </w:rPr>
        <w:t xml:space="preserve">docker compose run --rm seed</w:t>
      </w:r>
    </w:p>
    <w:bookmarkEnd w:id="60"/>
    <w:bookmarkStart w:id="61" w:name="analytical-down-after-stack-is-up"/>
    <w:p>
      <w:pPr>
        <w:pStyle w:val="Heading3"/>
      </w:pPr>
      <w:r>
        <w:rPr>
          <w:rStyle w:val="VerbatimChar"/>
        </w:rPr>
        <w:t xml:space="preserve">analytical: down</w:t>
      </w:r>
      <w:r>
        <w:t xml:space="preserve"> </w:t>
      </w:r>
      <w:r>
        <w:t xml:space="preserve">after stack is up</w:t>
      </w:r>
    </w:p>
    <w:p>
      <w:pPr>
        <w:pStyle w:val="Compact"/>
        <w:numPr>
          <w:ilvl w:val="0"/>
          <w:numId w:val="1012"/>
        </w:numPr>
      </w:pPr>
      <w:r>
        <w:t xml:space="preserve">Confirm Presto is listening:</w:t>
      </w:r>
      <w:r>
        <w:t xml:space="preserve"> </w:t>
      </w:r>
      <w:r>
        <w:rPr>
          <w:rStyle w:val="VerbatimChar"/>
        </w:rPr>
        <w:t xml:space="preserve">curl http://localhost:8081/v1/info</w:t>
      </w:r>
    </w:p>
    <w:p>
      <w:pPr>
        <w:pStyle w:val="Compact"/>
        <w:numPr>
          <w:ilvl w:val="0"/>
          <w:numId w:val="1012"/>
        </w:numPr>
      </w:pPr>
      <w:r>
        <w:t xml:space="preserve">Check seed completed:</w:t>
      </w:r>
      <w:r>
        <w:t xml:space="preserve"> </w:t>
      </w:r>
      <w:r>
        <w:rPr>
          <w:rStyle w:val="VerbatimChar"/>
        </w:rPr>
        <w:t xml:space="preserve">docker compose logs seed</w:t>
      </w:r>
    </w:p>
    <w:p>
      <w:pPr>
        <w:pStyle w:val="Compact"/>
        <w:numPr>
          <w:ilvl w:val="0"/>
          <w:numId w:val="1012"/>
        </w:numPr>
      </w:pPr>
      <w:r>
        <w:t xml:space="preserve">Verify JDBC URL uses port</w:t>
      </w:r>
      <w:r>
        <w:t xml:space="preserve"> </w:t>
      </w:r>
      <w:r>
        <w:rPr>
          <w:b/>
          <w:bCs/>
        </w:rPr>
        <w:t xml:space="preserve">8081</w:t>
      </w:r>
      <w:r>
        <w:t xml:space="preserve"> </w:t>
      </w:r>
      <w:r>
        <w:t xml:space="preserve">from the host (mapped from container 8080).</w:t>
      </w:r>
    </w:p>
    <w:bookmarkEnd w:id="61"/>
    <w:bookmarkStart w:id="62" w:name="X66e6995fc673b9fd8bdc8dbd93a7449ea115d86"/>
    <w:p>
      <w:pPr>
        <w:pStyle w:val="Heading3"/>
      </w:pPr>
      <w:r>
        <w:t xml:space="preserve">Frontend cannot reach backend (CORS / network errors)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NEXT_PUBLIC_API_BASE</w:t>
      </w:r>
      <w:r>
        <w:t xml:space="preserve"> </w:t>
      </w:r>
      <w:r>
        <w:t xml:space="preserve">must be the URL the</w:t>
      </w:r>
      <w:r>
        <w:t xml:space="preserve"> </w:t>
      </w:r>
      <w:r>
        <w:rPr>
          <w:b/>
          <w:bCs/>
        </w:rPr>
        <w:t xml:space="preserve">browser</w:t>
      </w:r>
      <w:r>
        <w:t xml:space="preserve"> </w:t>
      </w:r>
      <w:r>
        <w:t xml:space="preserve">uses — not</w:t>
      </w:r>
      <w:r>
        <w:t xml:space="preserve"> </w:t>
      </w:r>
      <w:r>
        <w:rPr>
          <w:rStyle w:val="VerbatimChar"/>
        </w:rPr>
        <w:t xml:space="preserve">http://srse-backend:8080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SRSE_FRONTEND_ORIGINS</w:t>
      </w:r>
      <w:r>
        <w:t xml:space="preserve"> </w:t>
      </w:r>
      <w:r>
        <w:t xml:space="preserve">must include the exact frontend origin (scheme + host + port).</w:t>
      </w:r>
    </w:p>
    <w:p>
      <w:pPr>
        <w:pStyle w:val="Compact"/>
        <w:numPr>
          <w:ilvl w:val="0"/>
          <w:numId w:val="1013"/>
        </w:numPr>
      </w:pPr>
      <w:r>
        <w:t xml:space="preserve">After changing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, rebuild the frontend container.</w:t>
      </w:r>
    </w:p>
    <w:bookmarkEnd w:id="62"/>
    <w:bookmarkStart w:id="63" w:name="maven-mockito-test-failures"/>
    <w:p>
      <w:pPr>
        <w:pStyle w:val="Heading3"/>
      </w:pPr>
      <w:r>
        <w:t xml:space="preserve">Maven / Mockito test failures</w:t>
      </w:r>
    </w:p>
    <w:p>
      <w:pPr>
        <w:pStyle w:val="SourceCode"/>
      </w:pPr>
      <w:r>
        <w:rPr>
          <w:rStyle w:val="VerbatimChar"/>
        </w:rPr>
        <w:t xml:space="preserve">Detected JDK version 25... is not in the allowed range [17,18)</w:t>
      </w:r>
    </w:p>
    <w:p>
      <w:pPr>
        <w:pStyle w:val="FirstParagraph"/>
      </w:pPr>
      <w:r>
        <w:t xml:space="preserve">Pin Java 17: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/usr/libexec/java_home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17</w:t>
      </w:r>
      <w:r>
        <w:rPr>
          <w:rStyle w:val="VariableTok"/>
        </w:rPr>
        <w:t xml:space="preserve">)</w:t>
      </w:r>
    </w:p>
    <w:bookmarkEnd w:id="63"/>
    <w:bookmarkStart w:id="64" w:name="port-conflicts"/>
    <w:p>
      <w:pPr>
        <w:pStyle w:val="Heading3"/>
      </w:pPr>
      <w:r>
        <w:t xml:space="preserve">Port conflicts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Stop other Node apps or change compose port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Stop other Spring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Presto</w:t>
            </w:r>
          </w:p>
        </w:tc>
        <w:tc>
          <w:tcPr/>
          <w:p>
            <w:pPr>
              <w:pStyle w:val="Compact"/>
            </w:pPr>
            <w:r>
              <w:t xml:space="preserve">Stop other Presto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DB2</w:t>
            </w:r>
          </w:p>
        </w:tc>
        <w:tc>
          <w:tcPr/>
          <w:p>
            <w:pPr>
              <w:pStyle w:val="Compact"/>
            </w:pPr>
            <w:r>
              <w:t xml:space="preserve">Stop other DB2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9010/9011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Remapped to avoid clash with SonarQube on 9000</w:t>
            </w:r>
          </w:p>
        </w:tc>
      </w:tr>
    </w:tbl>
    <w:bookmarkEnd w:id="64"/>
    <w:bookmarkStart w:id="65" w:name="client-dev-field-mappings-show-change_me"/>
    <w:p>
      <w:pPr>
        <w:pStyle w:val="Heading3"/>
      </w:pPr>
      <w:r>
        <w:t xml:space="preserve">Client Dev: field mappings show</w:t>
      </w:r>
      <w:r>
        <w:t xml:space="preserve"> </w:t>
      </w:r>
      <w:r>
        <w:rPr>
          <w:rStyle w:val="VerbatimChar"/>
        </w:rPr>
        <w:t xml:space="preserve">CHANGE_ME</w:t>
      </w:r>
    </w:p>
    <w:p>
      <w:pPr>
        <w:pStyle w:val="FirstParagraph"/>
      </w:pPr>
      <w:r>
        <w:t xml:space="preserve">Golden Layer column names are not yet configured. Update</w:t>
      </w:r>
      <w:r>
        <w:t xml:space="preserve"> </w:t>
      </w:r>
      <w:r>
        <w:rPr>
          <w:rStyle w:val="VerbatimChar"/>
        </w:rPr>
        <w:t xml:space="preserve">field-catalog-seed.yml</w:t>
      </w:r>
      <w:r>
        <w:t xml:space="preserve"> </w:t>
      </w:r>
      <w:r>
        <w:t xml:space="preserve">or use Admin → Field mappings once Lovadeep confirms physical names.</w:t>
      </w:r>
    </w:p>
    <w:bookmarkEnd w:id="65"/>
    <w:bookmarkStart w:id="66" w:name="rajsewadwar-auth-rejects-requests"/>
    <w:p>
      <w:pPr>
        <w:pStyle w:val="Heading3"/>
      </w:pPr>
      <w:r>
        <w:t xml:space="preserve">RajSewadwar auth rejects requests</w:t>
      </w:r>
    </w:p>
    <w:p>
      <w:pPr>
        <w:pStyle w:val="FirstParagraph"/>
      </w:pPr>
      <w:r>
        <w:t xml:space="preserve">Client Dev sets</w:t>
      </w:r>
      <w:r>
        <w:t xml:space="preserve"> </w:t>
      </w:r>
      <w:r>
        <w:rPr>
          <w:rStyle w:val="VerbatimChar"/>
        </w:rPr>
        <w:t xml:space="preserve">SRSE_AUTH_MODE=rajsewadwar</w:t>
      </w:r>
      <w:r>
        <w:t xml:space="preserve">. Real SSO integration is pending (Arvind). Until then, use</w:t>
      </w:r>
      <w:r>
        <w:t xml:space="preserve"> </w:t>
      </w:r>
      <w:r>
        <w:rPr>
          <w:rStyle w:val="VerbatimChar"/>
        </w:rPr>
        <w:t xml:space="preserve">mock</w:t>
      </w:r>
      <w:r>
        <w:t xml:space="preserve"> </w:t>
      </w:r>
      <w:r>
        <w:t xml:space="preserve">mode for integration testing.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configuration-reference"/>
    <w:p>
      <w:pPr>
        <w:pStyle w:val="Heading2"/>
      </w:pPr>
      <w:r>
        <w:t xml:space="preserve">11. Configuration reference</w:t>
      </w:r>
    </w:p>
    <w:bookmarkStart w:id="68" w:name="file-map"/>
    <w:p>
      <w:pPr>
        <w:pStyle w:val="Heading3"/>
      </w:pPr>
      <w:r>
        <w:t xml:space="preserve">File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Local laptop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.env.client-dev.example</w:t>
            </w:r>
          </w:p>
        </w:tc>
        <w:tc>
          <w:tcPr/>
          <w:p>
            <w:pPr>
              <w:pStyle w:val="Compact"/>
            </w:pPr>
            <w:r>
              <w:t xml:space="preserve">On-prem connection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Full local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docker-compose.client-dev.yml</w:t>
            </w:r>
          </w:p>
        </w:tc>
        <w:tc>
          <w:tcPr/>
          <w:p>
            <w:pPr>
              <w:pStyle w:val="Compact"/>
            </w:pPr>
            <w:r>
              <w:t xml:space="preserve">Override for live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backend/src/main/resources/application.yml</w:t>
            </w:r>
          </w:p>
        </w:tc>
        <w:tc>
          <w:tcPr/>
          <w:p>
            <w:pPr>
              <w:pStyle w:val="Compact"/>
            </w:pPr>
            <w:r>
              <w:t xml:space="preserve">Spring Boot defaults and 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backend/src/main/resources/metadata/field-catalog-seed.yml</w:t>
            </w:r>
          </w:p>
        </w:tc>
        <w:tc>
          <w:tcPr/>
          <w:p>
            <w:pPr>
              <w:pStyle w:val="Compact"/>
            </w:pPr>
            <w:r>
              <w:t xml:space="preserve">Bootstrap field catalogue +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sonar-project.properties</w:t>
            </w:r>
          </w:p>
        </w:tc>
        <w:tc>
          <w:tcPr/>
          <w:p>
            <w:pPr>
              <w:pStyle w:val="Compact"/>
            </w:pPr>
            <w:r>
              <w:t xml:space="preserve">SonarQube project key and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scripts/sonar-scan.sh</w:t>
            </w:r>
          </w:p>
        </w:tc>
        <w:tc>
          <w:tcPr/>
          <w:p>
            <w:pPr>
              <w:pStyle w:val="Compact"/>
            </w:pPr>
            <w:r>
              <w:t xml:space="preserve">Local SonarQube scan script</w:t>
            </w:r>
          </w:p>
        </w:tc>
      </w:tr>
    </w:tbl>
    <w:bookmarkEnd w:id="68"/>
    <w:bookmarkStart w:id="69" w:name="spring-profiles"/>
    <w:p>
      <w:pPr>
        <w:pStyle w:val="Heading3"/>
      </w:pPr>
      <w:r>
        <w:t xml:space="preserve">Spring profiles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489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Used when</w:t>
            </w:r>
          </w:p>
        </w:tc>
        <w:tc>
          <w:tcPr/>
          <w:p>
            <w:pPr>
              <w:pStyle w:val="Compact"/>
            </w:pPr>
            <w:r>
              <w:t xml:space="preserve">Key 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Docker laptop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ddl-auto=update</w:t>
            </w:r>
            <w:r>
              <w:t xml:space="preserve">, fast-fail Hikari (3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client-dev</w:t>
            </w:r>
          </w:p>
        </w:tc>
        <w:tc>
          <w:tcPr/>
          <w:p>
            <w:pPr>
              <w:pStyle w:val="Compact"/>
            </w:pPr>
            <w:r>
              <w:t xml:space="preserve">On-prem deployment</w:t>
            </w:r>
          </w:p>
        </w:tc>
        <w:tc>
          <w:tcPr/>
          <w:p>
            <w:pPr>
              <w:pStyle w:val="Compact"/>
            </w:pPr>
            <w:r>
              <w:t xml:space="preserve">No auto DDL; real DB2 schema required</w:t>
            </w:r>
          </w:p>
        </w:tc>
      </w:tr>
    </w:tbl>
    <w:p>
      <w:pPr>
        <w:pStyle w:val="BodyText"/>
      </w:pPr>
      <w:r>
        <w:t xml:space="preserve">Resolver selection (synthetic stub vs JPA-backed metadata) is keyed off</w:t>
      </w:r>
      <w:r>
        <w:t xml:space="preserve"> </w:t>
      </w:r>
      <w:r>
        <w:rPr>
          <w:rStyle w:val="VerbatimChar"/>
          <w:b/>
          <w:bCs/>
        </w:rPr>
        <w:t xml:space="preserve">DATA_MODE</w:t>
      </w:r>
      <w:r>
        <w:t xml:space="preserve">, not Spring profile.</w:t>
      </w:r>
    </w:p>
    <w:bookmarkEnd w:id="69"/>
    <w:bookmarkStart w:id="70" w:name="default-local-urls-summary"/>
    <w:p>
      <w:pPr>
        <w:pStyle w:val="Heading3"/>
      </w:pPr>
      <w:r>
        <w:t xml:space="preserve">Default local URLs summary</w:t>
      </w:r>
    </w:p>
    <w:p>
      <w:pPr>
        <w:pStyle w:val="SourceCode"/>
      </w:pPr>
      <w:r>
        <w:rPr>
          <w:rStyle w:val="VerbatimChar"/>
        </w:rPr>
        <w:t xml:space="preserve">Frontend:     http://localhost:3000</w:t>
      </w:r>
      <w:r>
        <w:br/>
      </w:r>
      <w:r>
        <w:rPr>
          <w:rStyle w:val="VerbatimChar"/>
        </w:rPr>
        <w:t xml:space="preserve">Backend API:  http://localhost:8080</w:t>
      </w:r>
      <w:r>
        <w:br/>
      </w:r>
      <w:r>
        <w:rPr>
          <w:rStyle w:val="VerbatimChar"/>
        </w:rPr>
        <w:t xml:space="preserve">Swagger:      http://localhost:8080/swagger-ui.html</w:t>
      </w:r>
      <w:r>
        <w:br/>
      </w:r>
      <w:r>
        <w:rPr>
          <w:rStyle w:val="VerbatimChar"/>
        </w:rPr>
        <w:t xml:space="preserve">Health:       http://localhost:8080/api/health/planes</w:t>
      </w:r>
      <w:r>
        <w:br/>
      </w:r>
      <w:r>
        <w:rPr>
          <w:rStyle w:val="VerbatimChar"/>
        </w:rPr>
        <w:t xml:space="preserve">Presto UI:    http://localhost:8081</w:t>
      </w:r>
      <w:r>
        <w:br/>
      </w:r>
      <w:r>
        <w:rPr>
          <w:rStyle w:val="VerbatimChar"/>
        </w:rPr>
        <w:t xml:space="preserve">MinIO console:http://localhost:9011  (minioadmin / minioadmin)</w:t>
      </w:r>
      <w:r>
        <w:br/>
      </w:r>
      <w:r>
        <w:rPr>
          <w:rStyle w:val="VerbatimChar"/>
        </w:rPr>
        <w:t xml:space="preserve">DB2:          localhost:50000  (db2inst1 / srse_local_pw)</w:t>
      </w:r>
    </w:p>
    <w:bookmarkEnd w:id="70"/>
    <w:bookmarkStart w:id="71" w:name="support-contacts-open-items"/>
    <w:p>
      <w:pPr>
        <w:pStyle w:val="Heading3"/>
      </w:pPr>
      <w:r>
        <w:t xml:space="preserve">Support contacts (open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Presto / Golden Layer / DB2 placement</w:t>
            </w:r>
          </w:p>
        </w:tc>
        <w:tc>
          <w:tcPr/>
          <w:p>
            <w:pPr>
              <w:pStyle w:val="Compact"/>
            </w:pPr>
            <w:r>
              <w:t xml:space="preserve">Lovadeep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RajSewadwar SSO / RBAC</w:t>
            </w:r>
          </w:p>
        </w:tc>
        <w:tc>
          <w:tcPr/>
          <w:p>
            <w:pPr>
              <w:pStyle w:val="Compact"/>
            </w:pPr>
            <w:r>
              <w:t xml:space="preserve">Arvind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CP4BA / ODM integration</w:t>
            </w:r>
          </w:p>
        </w:tc>
        <w:tc>
          <w:tcPr/>
          <w:p>
            <w:pPr>
              <w:pStyle w:val="Compact"/>
            </w:pPr>
            <w:r>
              <w:t xml:space="preserve">Arvind / IBM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August 2026 — aligned with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7a9c99f</w:t>
      </w:r>
      <w:r>
        <w:rPr>
          <w:i/>
          <w:iCs/>
        </w:rPr>
        <w:t xml:space="preserve"> </w:t>
      </w:r>
      <w:r>
        <w:rPr>
          <w:i/>
          <w:iCs/>
        </w:rPr>
        <w:t xml:space="preserve">(SonarQube automation + zero open issues).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CLAUDE.md" TargetMode="External" /><Relationship Type="http://schemas.openxmlformats.org/officeDocument/2006/relationships/hyperlink" Id="rId10" Target="implementation_plan.md" TargetMode="External" /><Relationship Type="http://schemas.openxmlformats.org/officeDocument/2006/relationships/hyperlink" Id="rId43" Target="migrations/001-qualify-analysis-column-metadat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CLAUDE.md" TargetMode="External" /><Relationship Type="http://schemas.openxmlformats.org/officeDocument/2006/relationships/hyperlink" Id="rId10" Target="implementation_plan.md" TargetMode="External" /><Relationship Type="http://schemas.openxmlformats.org/officeDocument/2006/relationships/hyperlink" Id="rId43" Target="migrations/001-qualify-analysis-column-metadat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2026-09-01T17:48:28Z</dcterms:created>
  <dcterms:modified xsi:type="dcterms:W3CDTF">2026-09-01T17:48:28Z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