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ICE Certified Coffee Stocks ETL</w:t>
      </w:r>
    </w:p>
    <w:p>
      <w:pPr>
        <w:jc w:val="center"/>
      </w:pPr>
      <w:r>
        <w:rPr>
          <w:rFonts w:ascii="Arial" w:hAnsi="Arial"/>
          <w:i/>
          <w:sz w:val="20"/>
        </w:rPr>
        <w:t>Technical Documentation</w:t>
      </w:r>
    </w:p>
    <w:p>
      <w:pPr>
        <w:spacing w:after="100"/>
      </w:pPr>
      <w:r>
        <w:t>This document describes the technical design and processing flow of the submitted ICE Certified Coffee Stocks ETL implementation. It focuses on how the source reports are extracted, structured, standardized, validated and converted into the final certified-stock dataset.</w:t>
      </w:r>
    </w:p>
    <w:p>
      <w:pPr>
        <w:pStyle w:val="Heading1"/>
      </w:pPr>
      <w:r>
        <w:t>1. Purpose and Scope</w:t>
      </w:r>
    </w:p>
    <w:p>
      <w:pPr>
        <w:spacing w:after="100"/>
      </w:pPr>
      <w:r>
        <w:t>The project processes two ICE coffee-stock reports: Arabica Report 42 and Robusta Report 173. The reports have materially different source layouts, so the pipeline handles them separately at the source-specific stages and standardizes them into a common analytical structure in Silver.</w:t>
      </w:r>
    </w:p>
    <w:p>
      <w:pPr>
        <w:spacing w:after="100"/>
      </w:pPr>
      <w:r>
        <w:t>The main objective is to produce a reproducible consolidated dataset while preserving enough source information to validate transformations and trace records back to their originating report.</w:t>
      </w:r>
    </w:p>
    <w:p>
      <w:pPr>
        <w:pStyle w:val="Heading1"/>
      </w:pPr>
      <w:r>
        <w:t>2. Overall Data Flow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Stage</w:t>
            </w:r>
          </w:p>
        </w:tc>
        <w:tc>
          <w:tcPr>
            <w:tcW w:type="dxa" w:w="3360"/>
            <w:vAlign w:val="center"/>
          </w:tcPr>
          <w:p>
            <w:r>
              <w:rPr>
                <w:rFonts w:ascii="Arial" w:hAnsi="Arial"/>
                <w:b/>
                <w:sz w:val="18"/>
              </w:rPr>
              <w:t>Primary responsibility</w:t>
            </w:r>
          </w:p>
        </w:tc>
        <w:tc>
          <w:tcPr>
            <w:tcW w:type="dxa" w:w="3360"/>
            <w:vAlign w:val="center"/>
          </w:tcPr>
          <w:p>
            <w:r>
              <w:rPr>
                <w:rFonts w:ascii="Arial" w:hAnsi="Arial"/>
                <w:b/>
                <w:sz w:val="18"/>
              </w:rPr>
              <w:t>Main output</w:t>
            </w:r>
          </w:p>
        </w:tc>
      </w:tr>
      <w:tr>
        <w:tc>
          <w:tcPr>
            <w:tcW w:type="dxa" w:w="3360"/>
            <w:vAlign w:val="center"/>
          </w:tcPr>
          <w:p>
            <w:pPr>
              <w:spacing w:after="0"/>
            </w:pPr>
            <w:r>
              <w:rPr>
                <w:rFonts w:ascii="Arial" w:hAnsi="Arial"/>
                <w:sz w:val="17"/>
              </w:rPr>
              <w:t>Extraction</w:t>
            </w:r>
          </w:p>
        </w:tc>
        <w:tc>
          <w:tcPr>
            <w:tcW w:type="dxa" w:w="3360"/>
            <w:vAlign w:val="center"/>
          </w:tcPr>
          <w:p>
            <w:pPr>
              <w:spacing w:after="0"/>
            </w:pPr>
            <w:r>
              <w:rPr>
                <w:rFonts w:ascii="Arial" w:hAnsi="Arial"/>
                <w:sz w:val="17"/>
              </w:rPr>
              <w:t>Retrieve and validate source reports</w:t>
            </w:r>
          </w:p>
        </w:tc>
        <w:tc>
          <w:tcPr>
            <w:tcW w:type="dxa" w:w="3360"/>
            <w:vAlign w:val="center"/>
          </w:tcPr>
          <w:p>
            <w:pPr>
              <w:spacing w:after="0"/>
            </w:pPr>
            <w:r>
              <w:rPr>
                <w:rFonts w:ascii="Arial" w:hAnsi="Arial"/>
                <w:sz w:val="17"/>
              </w:rPr>
              <w:t>Raw XLS / CSV files and extraction inventories</w:t>
            </w:r>
          </w:p>
        </w:tc>
      </w:tr>
      <w:tr>
        <w:tc>
          <w:tcPr>
            <w:tcW w:type="dxa" w:w="3360"/>
            <w:vAlign w:val="center"/>
          </w:tcPr>
          <w:p>
            <w:pPr>
              <w:spacing w:after="0"/>
            </w:pPr>
            <w:r>
              <w:rPr>
                <w:rFonts w:ascii="Arial" w:hAnsi="Arial"/>
                <w:sz w:val="17"/>
              </w:rPr>
              <w:t>Bronze</w:t>
            </w:r>
          </w:p>
        </w:tc>
        <w:tc>
          <w:tcPr>
            <w:tcW w:type="dxa" w:w="3360"/>
            <w:vAlign w:val="center"/>
          </w:tcPr>
          <w:p>
            <w:pPr>
              <w:spacing w:after="0"/>
            </w:pPr>
            <w:r>
              <w:rPr>
                <w:rFonts w:ascii="Arial" w:hAnsi="Arial"/>
                <w:sz w:val="17"/>
              </w:rPr>
              <w:t>Structure source data while preserving source characteristics</w:t>
            </w:r>
          </w:p>
        </w:tc>
        <w:tc>
          <w:tcPr>
            <w:tcW w:type="dxa" w:w="3360"/>
            <w:vAlign w:val="center"/>
          </w:tcPr>
          <w:p>
            <w:pPr>
              <w:spacing w:after="0"/>
            </w:pPr>
            <w:r>
              <w:rPr>
                <w:rFonts w:ascii="Arial" w:hAnsi="Arial"/>
                <w:sz w:val="17"/>
              </w:rPr>
              <w:t>Arabica and Robusta Bronze datasets</w:t>
            </w:r>
          </w:p>
        </w:tc>
      </w:tr>
      <w:tr>
        <w:tc>
          <w:tcPr>
            <w:tcW w:type="dxa" w:w="3360"/>
            <w:vAlign w:val="center"/>
          </w:tcPr>
          <w:p>
            <w:pPr>
              <w:spacing w:after="0"/>
            </w:pPr>
            <w:r>
              <w:rPr>
                <w:rFonts w:ascii="Arial" w:hAnsi="Arial"/>
                <w:sz w:val="17"/>
              </w:rPr>
              <w:t>Silver</w:t>
            </w:r>
          </w:p>
        </w:tc>
        <w:tc>
          <w:tcPr>
            <w:tcW w:type="dxa" w:w="3360"/>
            <w:vAlign w:val="center"/>
          </w:tcPr>
          <w:p>
            <w:pPr>
              <w:spacing w:after="0"/>
            </w:pPr>
            <w:r>
              <w:rPr>
                <w:rFonts w:ascii="Arial" w:hAnsi="Arial"/>
                <w:sz w:val="17"/>
              </w:rPr>
              <w:t>Standardize, reshape and classify data</w:t>
            </w:r>
          </w:p>
        </w:tc>
        <w:tc>
          <w:tcPr>
            <w:tcW w:type="dxa" w:w="3360"/>
            <w:vAlign w:val="center"/>
          </w:tcPr>
          <w:p>
            <w:pPr>
              <w:spacing w:after="0"/>
            </w:pPr>
            <w:r>
              <w:rPr>
                <w:rFonts w:ascii="Arial" w:hAnsi="Arial"/>
                <w:sz w:val="17"/>
              </w:rPr>
              <w:t>Common Silver dataset</w:t>
            </w:r>
          </w:p>
        </w:tc>
      </w:tr>
      <w:tr>
        <w:tc>
          <w:tcPr>
            <w:tcW w:type="dxa" w:w="3360"/>
            <w:vAlign w:val="center"/>
          </w:tcPr>
          <w:p>
            <w:pPr>
              <w:spacing w:after="0"/>
            </w:pPr>
            <w:r>
              <w:rPr>
                <w:rFonts w:ascii="Arial" w:hAnsi="Arial"/>
                <w:sz w:val="17"/>
              </w:rPr>
              <w:t>Final</w:t>
            </w:r>
          </w:p>
        </w:tc>
        <w:tc>
          <w:tcPr>
            <w:tcW w:type="dxa" w:w="3360"/>
            <w:vAlign w:val="center"/>
          </w:tcPr>
          <w:p>
            <w:pPr>
              <w:spacing w:after="0"/>
            </w:pPr>
            <w:r>
              <w:rPr>
                <w:rFonts w:ascii="Arial" w:hAnsi="Arial"/>
                <w:sz w:val="17"/>
              </w:rPr>
              <w:t>Select certified stock and prepare business output</w:t>
            </w:r>
          </w:p>
        </w:tc>
        <w:tc>
          <w:tcPr>
            <w:tcW w:type="dxa" w:w="3360"/>
            <w:vAlign w:val="center"/>
          </w:tcPr>
          <w:p>
            <w:pPr>
              <w:spacing w:after="0"/>
            </w:pPr>
            <w:r>
              <w:rPr>
                <w:rFonts w:ascii="Arial" w:hAnsi="Arial"/>
                <w:sz w:val="17"/>
              </w:rPr>
              <w:t>Main_Final_data.csv</w:t>
            </w:r>
          </w:p>
        </w:tc>
      </w:tr>
    </w:tbl>
    <w:p>
      <w:pPr>
        <w:spacing w:after="100"/>
      </w:pPr>
      <w:r>
        <w:t>The normal execution flow is:</w:t>
      </w:r>
    </w:p>
    <w:p>
      <w:pPr>
        <w:jc w:val="center"/>
      </w:pPr>
      <w:r>
        <w:rPr>
          <w:b/>
        </w:rPr>
        <w:t>Extraction  →  Bronze  →  Silver  →  Final</w:t>
      </w:r>
    </w:p>
    <w:p>
      <w:pPr>
        <w:pStyle w:val="Heading1"/>
      </w:pPr>
      <w:r>
        <w:t>3. Source Reports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rFonts w:ascii="Arial" w:hAnsi="Arial"/>
                <w:b/>
                <w:sz w:val="18"/>
              </w:rPr>
              <w:t>Coffee type</w:t>
            </w:r>
          </w:p>
        </w:tc>
        <w:tc>
          <w:tcPr>
            <w:tcW w:type="dxa" w:w="2520"/>
            <w:vAlign w:val="center"/>
          </w:tcPr>
          <w:p>
            <w:r>
              <w:rPr>
                <w:rFonts w:ascii="Arial" w:hAnsi="Arial"/>
                <w:b/>
                <w:sz w:val="18"/>
              </w:rPr>
              <w:t>ICE report</w:t>
            </w:r>
          </w:p>
        </w:tc>
        <w:tc>
          <w:tcPr>
            <w:tcW w:type="dxa" w:w="2520"/>
            <w:vAlign w:val="center"/>
          </w:tcPr>
          <w:p>
            <w:r>
              <w:rPr>
                <w:rFonts w:ascii="Arial" w:hAnsi="Arial"/>
                <w:b/>
                <w:sz w:val="18"/>
              </w:rPr>
              <w:t>Source format</w:t>
            </w:r>
          </w:p>
        </w:tc>
        <w:tc>
          <w:tcPr>
            <w:tcW w:type="dxa" w:w="2520"/>
            <w:vAlign w:val="center"/>
          </w:tcPr>
          <w:p>
            <w:r>
              <w:rPr>
                <w:rFonts w:ascii="Arial" w:hAnsi="Arial"/>
                <w:b/>
                <w:sz w:val="18"/>
              </w:rPr>
              <w:t>Source-specific consideration</w:t>
            </w:r>
          </w:p>
        </w:tc>
      </w:tr>
      <w:tr>
        <w:tc>
          <w:tcPr>
            <w:tcW w:type="dxa" w:w="2520"/>
            <w:vAlign w:val="center"/>
          </w:tcPr>
          <w:p>
            <w:pPr>
              <w:spacing w:after="0"/>
            </w:pPr>
            <w:r>
              <w:rPr>
                <w:rFonts w:ascii="Arial" w:hAnsi="Arial"/>
                <w:sz w:val="17"/>
              </w:rPr>
              <w:t>Arabica</w:t>
            </w:r>
          </w:p>
        </w:tc>
        <w:tc>
          <w:tcPr>
            <w:tcW w:type="dxa" w:w="2520"/>
            <w:vAlign w:val="center"/>
          </w:tcPr>
          <w:p>
            <w:pPr>
              <w:spacing w:after="0"/>
            </w:pPr>
            <w:r>
              <w:rPr>
                <w:rFonts w:ascii="Arial" w:hAnsi="Arial"/>
                <w:sz w:val="17"/>
              </w:rPr>
              <w:t>Report 42</w:t>
            </w:r>
          </w:p>
        </w:tc>
        <w:tc>
          <w:tcPr>
            <w:tcW w:type="dxa" w:w="2520"/>
            <w:vAlign w:val="center"/>
          </w:tcPr>
          <w:p>
            <w:pPr>
              <w:spacing w:after="0"/>
            </w:pPr>
            <w:r>
              <w:rPr>
                <w:rFonts w:ascii="Arial" w:hAnsi="Arial"/>
                <w:sz w:val="17"/>
              </w:rPr>
              <w:t>XLS</w:t>
            </w:r>
          </w:p>
        </w:tc>
        <w:tc>
          <w:tcPr>
            <w:tcW w:type="dxa" w:w="2520"/>
            <w:vAlign w:val="center"/>
          </w:tcPr>
          <w:p>
            <w:pPr>
              <w:spacing w:after="0"/>
            </w:pPr>
            <w:r>
              <w:rPr>
                <w:rFonts w:ascii="Arial" w:hAnsi="Arial"/>
                <w:sz w:val="17"/>
              </w:rPr>
              <w:t>Multi-section report with warehouse-level columns</w:t>
            </w:r>
          </w:p>
        </w:tc>
      </w:tr>
      <w:tr>
        <w:tc>
          <w:tcPr>
            <w:tcW w:type="dxa" w:w="2520"/>
            <w:vAlign w:val="center"/>
          </w:tcPr>
          <w:p>
            <w:pPr>
              <w:spacing w:after="0"/>
            </w:pPr>
            <w:r>
              <w:rPr>
                <w:rFonts w:ascii="Arial" w:hAnsi="Arial"/>
                <w:sz w:val="17"/>
              </w:rPr>
              <w:t>Robusta</w:t>
            </w:r>
          </w:p>
        </w:tc>
        <w:tc>
          <w:tcPr>
            <w:tcW w:type="dxa" w:w="2520"/>
            <w:vAlign w:val="center"/>
          </w:tcPr>
          <w:p>
            <w:pPr>
              <w:spacing w:after="0"/>
            </w:pPr>
            <w:r>
              <w:rPr>
                <w:rFonts w:ascii="Arial" w:hAnsi="Arial"/>
                <w:sz w:val="17"/>
              </w:rPr>
              <w:t>Report 173</w:t>
            </w:r>
          </w:p>
        </w:tc>
        <w:tc>
          <w:tcPr>
            <w:tcW w:type="dxa" w:w="2520"/>
            <w:vAlign w:val="center"/>
          </w:tcPr>
          <w:p>
            <w:pPr>
              <w:spacing w:after="0"/>
            </w:pPr>
            <w:r>
              <w:rPr>
                <w:rFonts w:ascii="Arial" w:hAnsi="Arial"/>
                <w:sz w:val="17"/>
              </w:rPr>
              <w:t>CSV</w:t>
            </w:r>
          </w:p>
        </w:tc>
        <w:tc>
          <w:tcPr>
            <w:tcW w:type="dxa" w:w="2520"/>
            <w:vAlign w:val="center"/>
          </w:tcPr>
          <w:p>
            <w:pPr>
              <w:spacing w:after="0"/>
            </w:pPr>
            <w:r>
              <w:rPr>
                <w:rFonts w:ascii="Arial" w:hAnsi="Arial"/>
                <w:sz w:val="17"/>
              </w:rPr>
              <w:t>Port-level records with separate quantity fields</w:t>
            </w:r>
          </w:p>
        </w:tc>
      </w:tr>
    </w:tbl>
    <w:p>
      <w:pPr>
        <w:spacing w:after="100"/>
      </w:pPr>
      <w:r>
        <w:t>Because the reports are structurally different, the pipeline does not force them into a single raw schema. Source-specific parsing is performed first, followed by standardization in Silver.</w:t>
      </w:r>
    </w:p>
    <w:p>
      <w:r>
        <w:br w:type="page"/>
      </w:r>
    </w:p>
    <w:p>
      <w:pPr>
        <w:jc w:val="center"/>
      </w:pPr>
      <w:r>
        <w:rPr>
          <w:rFonts w:ascii="Arial" w:hAnsi="Arial"/>
          <w:b/>
          <w:sz w:val="40"/>
        </w:rPr>
        <w:t>ICE Certified Coffee Stocks ETL</w:t>
      </w:r>
    </w:p>
    <w:p>
      <w:pPr>
        <w:jc w:val="center"/>
      </w:pPr>
      <w:r>
        <w:rPr>
          <w:rFonts w:ascii="Arial" w:hAnsi="Arial"/>
          <w:i/>
          <w:sz w:val="20"/>
        </w:rPr>
        <w:t>Technical Documentation — Extraction Layer</w:t>
      </w:r>
    </w:p>
    <w:p>
      <w:pPr>
        <w:pStyle w:val="Heading1"/>
      </w:pPr>
      <w:r>
        <w:t>4. Extraction Layer</w:t>
      </w:r>
    </w:p>
    <w:p>
      <w:pPr>
        <w:spacing w:after="100"/>
      </w:pPr>
      <w:r>
        <w:t>The Extraction Layer is responsible for obtaining the latest available ICE reports, maintaining extraction state, and ensuring that downloaded files are complete enough for downstream processing.</w:t>
      </w:r>
    </w:p>
    <w:p>
      <w:pPr>
        <w:pStyle w:val="Heading2"/>
      </w:pPr>
      <w:r>
        <w:t>4.1 Browser and Source Access</w:t>
      </w:r>
    </w:p>
    <w:p>
      <w:pPr>
        <w:spacing w:after="100"/>
      </w:pPr>
      <w:r>
        <w:t>Selenium with Google Chrome is used for the browser-based ICE extraction flow. The browser session is used to access report pages, discover report links and download source files. The extraction process is designed to handle pages where browser interaction or anti-bot controls are involved.</w:t>
      </w:r>
    </w:p>
    <w:p>
      <w:pPr>
        <w:pStyle w:val="Heading2"/>
      </w:pPr>
      <w:r>
        <w:t>4.2 Arabica — ICE Report 42</w:t>
      </w:r>
    </w:p>
    <w:p>
      <w:pPr>
        <w:spacing w:after="100"/>
      </w:pPr>
      <w:r>
        <w:t>Arabica reports are downloaded as XLS files. The extractor navigates through result pages, identifies report links and derives the report date from the source filename.</w:t>
      </w:r>
    </w:p>
    <w:p>
      <w:pPr>
        <w:pStyle w:val="ListBullet"/>
        <w:spacing w:after="40"/>
      </w:pPr>
      <w:r>
        <w:t>Result pages are collected and checked for pagination overlap.</w:t>
      </w:r>
    </w:p>
    <w:p>
      <w:pPr>
        <w:pStyle w:val="ListBullet"/>
        <w:spacing w:after="40"/>
      </w:pPr>
      <w:r>
        <w:t>Report links are validated before downloading.</w:t>
      </w:r>
    </w:p>
    <w:p>
      <w:pPr>
        <w:pStyle w:val="ListBullet"/>
        <w:spacing w:after="40"/>
      </w:pPr>
      <w:r>
        <w:t>Report-date information is retained in the local extraction inventory.</w:t>
      </w:r>
    </w:p>
    <w:p>
      <w:pPr>
        <w:pStyle w:val="ListBullet"/>
        <w:spacing w:after="40"/>
      </w:pPr>
      <w:r>
        <w:t>Downloaded XLS files are stored as raw source files.</w:t>
      </w:r>
    </w:p>
    <w:p>
      <w:pPr>
        <w:pStyle w:val="ListBullet"/>
        <w:spacing w:after="40"/>
      </w:pPr>
      <w:r>
        <w:t>The extraction process avoids treating every calendar date as a required source date.</w:t>
      </w:r>
    </w:p>
    <w:p>
      <w:pPr>
        <w:pStyle w:val="Heading2"/>
      </w:pPr>
      <w:r>
        <w:t>4.3 Robusta — ICE Report 173</w:t>
      </w:r>
    </w:p>
    <w:p>
      <w:pPr>
        <w:spacing w:after="100"/>
      </w:pPr>
      <w:r>
        <w:t>Robusta reports are obtained as CSV files. The extraction process identifies the available report results and downloads the required CSV files.</w:t>
      </w:r>
    </w:p>
    <w:p>
      <w:pPr>
        <w:pStyle w:val="ListBullet"/>
        <w:spacing w:after="40"/>
      </w:pPr>
      <w:r>
        <w:t>Duplicate report-date entries are handled during link collection.</w:t>
      </w:r>
    </w:p>
    <w:p>
      <w:pPr>
        <w:pStyle w:val="ListBullet"/>
        <w:spacing w:after="40"/>
      </w:pPr>
      <w:r>
        <w:t>Expected source columns are checked before downstream processing.</w:t>
      </w:r>
    </w:p>
    <w:p>
      <w:pPr>
        <w:pStyle w:val="ListBullet"/>
        <w:spacing w:after="40"/>
      </w:pPr>
      <w:r>
        <w:t>Each downloaded report is associated with its reporting date.</w:t>
      </w:r>
    </w:p>
    <w:p>
      <w:pPr>
        <w:pStyle w:val="ListBullet"/>
        <w:spacing w:after="40"/>
      </w:pPr>
      <w:r>
        <w:t>Raw CSV files are retained for Bronze processing.</w:t>
      </w:r>
    </w:p>
    <w:p>
      <w:pPr>
        <w:pStyle w:val="Heading2"/>
      </w:pPr>
      <w:r>
        <w:t>4.4 Incremental Extraction</w:t>
      </w:r>
    </w:p>
    <w:p>
      <w:pPr>
        <w:spacing w:after="100"/>
      </w:pPr>
      <w:r>
        <w:t>The extraction layer maintains inventories and coverage information so that previously collected reports can be reused. During subsequent runs, the pipeline determines which reports are already covered and which source files are missing.</w:t>
      </w:r>
    </w:p>
    <w:p>
      <w:pPr>
        <w:pStyle w:val="ListBullet"/>
        <w:spacing w:after="40"/>
      </w:pPr>
      <w:r>
        <w:t>Previously extracted reports are not unnecessarily downloaded again.</w:t>
      </w:r>
    </w:p>
    <w:p>
      <w:pPr>
        <w:pStyle w:val="ListBullet"/>
        <w:spacing w:after="40"/>
      </w:pPr>
      <w:r>
        <w:t>If an inventory entry exists but the corresponding raw file is missing, the file can be retrieved again.</w:t>
      </w:r>
    </w:p>
    <w:p>
      <w:pPr>
        <w:pStyle w:val="ListBullet"/>
        <w:spacing w:after="40"/>
      </w:pPr>
      <w:r>
        <w:t>Extraction state is persisted locally for subsequent runs.</w:t>
      </w:r>
    </w:p>
    <w:p>
      <w:pPr>
        <w:pStyle w:val="ListBullet"/>
        <w:spacing w:after="40"/>
      </w:pPr>
      <w:r>
        <w:t>Missing source reporting dates are not artificially generated.</w:t>
      </w:r>
    </w:p>
    <w:p>
      <w:pPr>
        <w:pStyle w:val="Heading2"/>
      </w:pPr>
      <w:r>
        <w:t>4.5 Extraction Validation</w:t>
      </w:r>
    </w:p>
    <w:p>
      <w:pPr>
        <w:pStyle w:val="ListBullet"/>
        <w:spacing w:after="40"/>
      </w:pPr>
      <w:r>
        <w:t>Pagination overlap is detected.</w:t>
      </w:r>
    </w:p>
    <w:p>
      <w:pPr>
        <w:pStyle w:val="ListBullet"/>
        <w:spacing w:after="40"/>
      </w:pPr>
      <w:r>
        <w:t>Report links are checked before download.</w:t>
      </w:r>
    </w:p>
    <w:p>
      <w:pPr>
        <w:pStyle w:val="ListBullet"/>
        <w:spacing w:after="40"/>
      </w:pPr>
      <w:r>
        <w:t>Downloaded files are checked for completeness.</w:t>
      </w:r>
    </w:p>
    <w:p>
      <w:pPr>
        <w:pStyle w:val="ListBullet"/>
        <w:spacing w:after="40"/>
      </w:pPr>
      <w:r>
        <w:t>Robusta files are checked against expected source columns.</w:t>
      </w:r>
    </w:p>
    <w:p>
      <w:pPr>
        <w:pStyle w:val="ListBullet"/>
        <w:spacing w:after="40"/>
      </w:pPr>
      <w:r>
        <w:t>Robusta source files are checked for a single reporting date.</w:t>
      </w:r>
    </w:p>
    <w:p>
      <w:pPr>
        <w:pStyle w:val="ListBullet"/>
        <w:spacing w:after="40"/>
      </w:pPr>
      <w:r>
        <w:t>The extraction inventory provides a record of discovered reports.</w:t>
      </w:r>
    </w:p>
    <w:p>
      <w:r>
        <w:br w:type="page"/>
      </w:r>
    </w:p>
    <w:p>
      <w:pPr>
        <w:jc w:val="center"/>
      </w:pPr>
      <w:r>
        <w:rPr>
          <w:rFonts w:ascii="Arial" w:hAnsi="Arial"/>
          <w:b/>
          <w:sz w:val="40"/>
        </w:rPr>
        <w:t>ICE Certified Coffee Stocks ETL</w:t>
      </w:r>
    </w:p>
    <w:p>
      <w:pPr>
        <w:jc w:val="center"/>
      </w:pPr>
      <w:r>
        <w:rPr>
          <w:rFonts w:ascii="Arial" w:hAnsi="Arial"/>
          <w:i/>
          <w:sz w:val="20"/>
        </w:rPr>
        <w:t>Technical Documentation — Bronze Layer</w:t>
      </w:r>
    </w:p>
    <w:p>
      <w:pPr>
        <w:pStyle w:val="Heading1"/>
      </w:pPr>
      <w:r>
        <w:t>5. Bronze Layer</w:t>
      </w:r>
    </w:p>
    <w:p>
      <w:pPr>
        <w:spacing w:after="100"/>
      </w:pPr>
      <w:r>
        <w:t>The Bronze Layer converts downloaded source reports into structured datasets while preserving source-specific information. The objective of Bronze is source fidelity rather than creation of the final analytical schema.</w:t>
      </w:r>
    </w:p>
    <w:p>
      <w:pPr>
        <w:pStyle w:val="Heading2"/>
      </w:pPr>
      <w:r>
        <w:t>5.1 Arabica Bronze Processing</w:t>
      </w:r>
    </w:p>
    <w:p>
      <w:pPr>
        <w:spacing w:after="100"/>
      </w:pPr>
      <w:r>
        <w:t>Arabica reports contain multiple stock sections and warehouse-level columns. Bronze retains the information needed to identify the report section, report date, origin, warehouse fields, source totals and source filename.</w:t>
      </w:r>
    </w:p>
    <w:p>
      <w:pPr>
        <w:spacing w:after="100"/>
      </w:pPr>
      <w:r>
        <w:t>The warehouse columns remain wide in Bronze. This preserves the source structure until the Silver transformation, where those columns are reshaped into analytical rows.</w:t>
      </w:r>
    </w:p>
    <w:p>
      <w:pPr>
        <w:pStyle w:val="Heading2"/>
      </w:pPr>
      <w:r>
        <w:t>5.2 Arabica Report Sections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rial" w:hAnsi="Arial"/>
                <w:b/>
                <w:sz w:val="18"/>
              </w:rPr>
              <w:t>Source section</w:t>
            </w:r>
          </w:p>
        </w:tc>
        <w:tc>
          <w:tcPr>
            <w:tcW w:type="dxa" w:w="5040"/>
            <w:vAlign w:val="center"/>
          </w:tcPr>
          <w:p>
            <w:r>
              <w:rPr>
                <w:rFonts w:ascii="Arial" w:hAnsi="Arial"/>
                <w:b/>
                <w:sz w:val="18"/>
              </w:rPr>
              <w:t>Purpose in Bronze/Silver processing</w:t>
            </w:r>
          </w:p>
        </w:tc>
      </w:tr>
      <w:tr>
        <w:tc>
          <w:tcPr>
            <w:tcW w:type="dxa" w:w="5040"/>
            <w:vAlign w:val="center"/>
          </w:tcPr>
          <w:p>
            <w:pPr>
              <w:spacing w:after="0"/>
            </w:pPr>
            <w:r>
              <w:rPr>
                <w:rFonts w:ascii="Arial" w:hAnsi="Arial"/>
                <w:sz w:val="17"/>
              </w:rPr>
              <w:t>TOTAL BAGS CERTIFIED</w:t>
            </w:r>
          </w:p>
        </w:tc>
        <w:tc>
          <w:tcPr>
            <w:tcW w:type="dxa" w:w="5040"/>
            <w:vAlign w:val="center"/>
          </w:tcPr>
          <w:p>
            <w:pPr>
              <w:spacing w:after="0"/>
            </w:pPr>
            <w:r>
              <w:rPr>
                <w:rFonts w:ascii="Arial" w:hAnsi="Arial"/>
                <w:sz w:val="17"/>
              </w:rPr>
              <w:t>Certified stock records used by the Final layer</w:t>
            </w:r>
          </w:p>
        </w:tc>
      </w:tr>
      <w:tr>
        <w:tc>
          <w:tcPr>
            <w:tcW w:type="dxa" w:w="5040"/>
            <w:vAlign w:val="center"/>
          </w:tcPr>
          <w:p>
            <w:pPr>
              <w:spacing w:after="0"/>
            </w:pPr>
            <w:r>
              <w:rPr>
                <w:rFonts w:ascii="Arial" w:hAnsi="Arial"/>
                <w:sz w:val="17"/>
              </w:rPr>
              <w:t>TRANSITION BAGS CERTIFIED</w:t>
            </w:r>
          </w:p>
        </w:tc>
        <w:tc>
          <w:tcPr>
            <w:tcW w:type="dxa" w:w="5040"/>
            <w:vAlign w:val="center"/>
          </w:tcPr>
          <w:p>
            <w:pPr>
              <w:spacing w:after="0"/>
            </w:pPr>
            <w:r>
              <w:rPr>
                <w:rFonts w:ascii="Arial" w:hAnsi="Arial"/>
                <w:sz w:val="17"/>
              </w:rPr>
              <w:t>Transition stock classification</w:t>
            </w:r>
          </w:p>
        </w:tc>
      </w:tr>
      <w:tr>
        <w:tc>
          <w:tcPr>
            <w:tcW w:type="dxa" w:w="5040"/>
            <w:vAlign w:val="center"/>
          </w:tcPr>
          <w:p>
            <w:pPr>
              <w:spacing w:after="0"/>
            </w:pPr>
            <w:r>
              <w:rPr>
                <w:rFonts w:ascii="Arial" w:hAnsi="Arial"/>
                <w:sz w:val="17"/>
              </w:rPr>
              <w:t>PENDING GRADING REPORT</w:t>
            </w:r>
          </w:p>
        </w:tc>
        <w:tc>
          <w:tcPr>
            <w:tcW w:type="dxa" w:w="5040"/>
            <w:vAlign w:val="center"/>
          </w:tcPr>
          <w:p>
            <w:pPr>
              <w:spacing w:after="0"/>
            </w:pPr>
            <w:r>
              <w:rPr>
                <w:rFonts w:ascii="Arial" w:hAnsi="Arial"/>
                <w:sz w:val="17"/>
              </w:rPr>
              <w:t>Pending grading classification</w:t>
            </w:r>
          </w:p>
        </w:tc>
      </w:tr>
      <w:tr>
        <w:tc>
          <w:tcPr>
            <w:tcW w:type="dxa" w:w="5040"/>
            <w:vAlign w:val="center"/>
          </w:tcPr>
          <w:p>
            <w:pPr>
              <w:spacing w:after="0"/>
            </w:pPr>
            <w:r>
              <w:rPr>
                <w:rFonts w:ascii="Arial" w:hAnsi="Arial"/>
                <w:sz w:val="17"/>
              </w:rPr>
              <w:t>BAGS PASSED GRADING</w:t>
            </w:r>
          </w:p>
        </w:tc>
        <w:tc>
          <w:tcPr>
            <w:tcW w:type="dxa" w:w="5040"/>
            <w:vAlign w:val="center"/>
          </w:tcPr>
          <w:p>
            <w:pPr>
              <w:spacing w:after="0"/>
            </w:pPr>
            <w:r>
              <w:rPr>
                <w:rFonts w:ascii="Arial" w:hAnsi="Arial"/>
                <w:sz w:val="17"/>
              </w:rPr>
              <w:t>Passed grading classification</w:t>
            </w:r>
          </w:p>
        </w:tc>
      </w:tr>
      <w:tr>
        <w:tc>
          <w:tcPr>
            <w:tcW w:type="dxa" w:w="5040"/>
            <w:vAlign w:val="center"/>
          </w:tcPr>
          <w:p>
            <w:pPr>
              <w:spacing w:after="0"/>
            </w:pPr>
            <w:r>
              <w:rPr>
                <w:rFonts w:ascii="Arial" w:hAnsi="Arial"/>
                <w:sz w:val="17"/>
              </w:rPr>
              <w:t>BAGS FAILED GRADING</w:t>
            </w:r>
          </w:p>
        </w:tc>
        <w:tc>
          <w:tcPr>
            <w:tcW w:type="dxa" w:w="5040"/>
            <w:vAlign w:val="center"/>
          </w:tcPr>
          <w:p>
            <w:pPr>
              <w:spacing w:after="0"/>
            </w:pPr>
            <w:r>
              <w:rPr>
                <w:rFonts w:ascii="Arial" w:hAnsi="Arial"/>
                <w:sz w:val="17"/>
              </w:rPr>
              <w:t>Failed grading classification</w:t>
            </w:r>
          </w:p>
        </w:tc>
      </w:tr>
      <w:tr>
        <w:tc>
          <w:tcPr>
            <w:tcW w:type="dxa" w:w="5040"/>
            <w:vAlign w:val="center"/>
          </w:tcPr>
          <w:p>
            <w:pPr>
              <w:spacing w:after="0"/>
            </w:pPr>
            <w:r>
              <w:rPr>
                <w:rFonts w:ascii="Arial" w:hAnsi="Arial"/>
                <w:sz w:val="17"/>
              </w:rPr>
              <w:t>FLAGGED FOR REBAGGING</w:t>
            </w:r>
          </w:p>
        </w:tc>
        <w:tc>
          <w:tcPr>
            <w:tcW w:type="dxa" w:w="5040"/>
            <w:vAlign w:val="center"/>
          </w:tcPr>
          <w:p>
            <w:pPr>
              <w:spacing w:after="0"/>
            </w:pPr>
            <w:r>
              <w:rPr>
                <w:rFonts w:ascii="Arial" w:hAnsi="Arial"/>
                <w:sz w:val="17"/>
              </w:rPr>
              <w:t>Rebagging classification</w:t>
            </w:r>
          </w:p>
        </w:tc>
      </w:tr>
    </w:tbl>
    <w:p>
      <w:pPr>
        <w:pStyle w:val="Heading2"/>
      </w:pPr>
      <w:r>
        <w:t>5.3 Robusta Bronze Processing</w:t>
      </w:r>
    </w:p>
    <w:p>
      <w:pPr>
        <w:spacing w:after="100"/>
      </w:pPr>
      <w:r>
        <w:t>Robusta Bronze retains the source fields needed for downstream transformation and reconciliation, including Commodity, CutOffDate, PortId, LotsWithValCert, LotsNonTend and LotsSuspended, together with source_file.</w:t>
      </w:r>
    </w:p>
    <w:p>
      <w:pPr>
        <w:spacing w:after="100"/>
      </w:pPr>
      <w:r>
        <w:t>GRANDTOTAL records are retained in Bronze because they are required to reconcile the transformed port-level quantities after reshaping.</w:t>
      </w:r>
    </w:p>
    <w:p>
      <w:pPr>
        <w:pStyle w:val="Heading2"/>
      </w:pPr>
      <w:r>
        <w:t>5.4 Bronze Validation</w:t>
      </w:r>
    </w:p>
    <w:p>
      <w:pPr>
        <w:pStyle w:val="ListBullet"/>
        <w:spacing w:after="40"/>
      </w:pPr>
      <w:r>
        <w:t>Raw files must be readable before records are generated.</w:t>
      </w:r>
    </w:p>
    <w:p>
      <w:pPr>
        <w:pStyle w:val="ListBullet"/>
        <w:spacing w:after="40"/>
      </w:pPr>
      <w:r>
        <w:t>Processing checks that expected raw source files contribute to Bronze.</w:t>
      </w:r>
    </w:p>
    <w:p>
      <w:pPr>
        <w:pStyle w:val="ListBullet"/>
        <w:spacing w:after="40"/>
      </w:pPr>
      <w:r>
        <w:t>Arabica report dates and source-file/date relationships are validated.</w:t>
      </w:r>
    </w:p>
    <w:p>
      <w:pPr>
        <w:pStyle w:val="ListBullet"/>
        <w:spacing w:after="40"/>
      </w:pPr>
      <w:r>
        <w:t>Source-specific fields are retained so later transformations can be checked against the source.</w:t>
      </w:r>
    </w:p>
    <w:p>
      <w:pPr>
        <w:pStyle w:val="Heading2"/>
      </w:pPr>
      <w:r>
        <w:t>5.5 Bronze Design Principle</w:t>
      </w:r>
    </w:p>
    <w:p>
      <w:pPr>
        <w:spacing w:after="100"/>
      </w:pPr>
      <w:r>
        <w:t>Bronze intentionally does not attempt to make Arabica and Robusta identical. Keeping source-specific structures at this stage makes the raw-to-structured transformation easier to inspect and supports reconciliation against the original reports.</w:t>
      </w:r>
    </w:p>
    <w:p>
      <w:r>
        <w:br w:type="page"/>
      </w:r>
    </w:p>
    <w:p>
      <w:pPr>
        <w:jc w:val="center"/>
      </w:pPr>
      <w:r>
        <w:rPr>
          <w:rFonts w:ascii="Arial" w:hAnsi="Arial"/>
          <w:b/>
          <w:sz w:val="40"/>
        </w:rPr>
        <w:t>ICE Certified Coffee Stocks ETL</w:t>
      </w:r>
    </w:p>
    <w:p>
      <w:pPr>
        <w:jc w:val="center"/>
      </w:pPr>
      <w:r>
        <w:rPr>
          <w:rFonts w:ascii="Arial" w:hAnsi="Arial"/>
          <w:i/>
          <w:sz w:val="20"/>
        </w:rPr>
        <w:t>Technical Documentation — Silver Layer</w:t>
      </w:r>
    </w:p>
    <w:p>
      <w:pPr>
        <w:pStyle w:val="Heading1"/>
      </w:pPr>
      <w:r>
        <w:t>6. Silver Layer</w:t>
      </w:r>
    </w:p>
    <w:p>
      <w:pPr>
        <w:spacing w:after="100"/>
      </w:pPr>
      <w:r>
        <w:t>The Silver Layer is the main transformation and standardization stage. It converts the two different Bronze structures into a common analytical schema, reshapes wide source data into rows, assigns standardized stock classifications and validates that quantities are preserved.</w:t>
      </w:r>
    </w:p>
    <w:p>
      <w:pPr>
        <w:pStyle w:val="Heading2"/>
      </w:pPr>
      <w:r>
        <w:t>6.1 Common Silver Schema</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rial" w:hAnsi="Arial"/>
                <w:b/>
                <w:sz w:val="18"/>
              </w:rPr>
              <w:t>Column</w:t>
            </w:r>
          </w:p>
        </w:tc>
        <w:tc>
          <w:tcPr>
            <w:tcW w:type="dxa" w:w="5040"/>
            <w:vAlign w:val="center"/>
          </w:tcPr>
          <w:p>
            <w:r>
              <w:rPr>
                <w:rFonts w:ascii="Arial" w:hAnsi="Arial"/>
                <w:b/>
                <w:sz w:val="18"/>
              </w:rPr>
              <w:t>Purpose</w:t>
            </w:r>
          </w:p>
        </w:tc>
      </w:tr>
      <w:tr>
        <w:tc>
          <w:tcPr>
            <w:tcW w:type="dxa" w:w="5040"/>
            <w:vAlign w:val="center"/>
          </w:tcPr>
          <w:p>
            <w:pPr>
              <w:spacing w:after="0"/>
            </w:pPr>
            <w:r>
              <w:rPr>
                <w:rFonts w:ascii="Arial" w:hAnsi="Arial"/>
                <w:sz w:val="17"/>
              </w:rPr>
              <w:t>coffee_type</w:t>
            </w:r>
          </w:p>
        </w:tc>
        <w:tc>
          <w:tcPr>
            <w:tcW w:type="dxa" w:w="5040"/>
            <w:vAlign w:val="center"/>
          </w:tcPr>
          <w:p>
            <w:pPr>
              <w:spacing w:after="0"/>
            </w:pPr>
            <w:r>
              <w:rPr>
                <w:rFonts w:ascii="Arial" w:hAnsi="Arial"/>
                <w:sz w:val="17"/>
              </w:rPr>
              <w:t>Standardized coffee business name</w:t>
            </w:r>
          </w:p>
        </w:tc>
      </w:tr>
      <w:tr>
        <w:tc>
          <w:tcPr>
            <w:tcW w:type="dxa" w:w="5040"/>
            <w:vAlign w:val="center"/>
          </w:tcPr>
          <w:p>
            <w:pPr>
              <w:spacing w:after="0"/>
            </w:pPr>
            <w:r>
              <w:rPr>
                <w:rFonts w:ascii="Arial" w:hAnsi="Arial"/>
                <w:sz w:val="17"/>
              </w:rPr>
              <w:t>report_date</w:t>
            </w:r>
          </w:p>
        </w:tc>
        <w:tc>
          <w:tcPr>
            <w:tcW w:type="dxa" w:w="5040"/>
            <w:vAlign w:val="center"/>
          </w:tcPr>
          <w:p>
            <w:pPr>
              <w:spacing w:after="0"/>
            </w:pPr>
            <w:r>
              <w:rPr>
                <w:rFonts w:ascii="Arial" w:hAnsi="Arial"/>
                <w:sz w:val="17"/>
              </w:rPr>
              <w:t>Source report date</w:t>
            </w:r>
          </w:p>
        </w:tc>
      </w:tr>
      <w:tr>
        <w:tc>
          <w:tcPr>
            <w:tcW w:type="dxa" w:w="5040"/>
            <w:vAlign w:val="center"/>
          </w:tcPr>
          <w:p>
            <w:pPr>
              <w:spacing w:after="0"/>
            </w:pPr>
            <w:r>
              <w:rPr>
                <w:rFonts w:ascii="Arial" w:hAnsi="Arial"/>
                <w:sz w:val="17"/>
              </w:rPr>
              <w:t>location</w:t>
            </w:r>
          </w:p>
        </w:tc>
        <w:tc>
          <w:tcPr>
            <w:tcW w:type="dxa" w:w="5040"/>
            <w:vAlign w:val="center"/>
          </w:tcPr>
          <w:p>
            <w:pPr>
              <w:spacing w:after="0"/>
            </w:pPr>
            <w:r>
              <w:rPr>
                <w:rFonts w:ascii="Arial" w:hAnsi="Arial"/>
                <w:sz w:val="17"/>
              </w:rPr>
              <w:t>Warehouse or port/location</w:t>
            </w:r>
          </w:p>
        </w:tc>
      </w:tr>
      <w:tr>
        <w:tc>
          <w:tcPr>
            <w:tcW w:type="dxa" w:w="5040"/>
            <w:vAlign w:val="center"/>
          </w:tcPr>
          <w:p>
            <w:pPr>
              <w:spacing w:after="0"/>
            </w:pPr>
            <w:r>
              <w:rPr>
                <w:rFonts w:ascii="Arial" w:hAnsi="Arial"/>
                <w:sz w:val="17"/>
              </w:rPr>
              <w:t>origin</w:t>
            </w:r>
          </w:p>
        </w:tc>
        <w:tc>
          <w:tcPr>
            <w:tcW w:type="dxa" w:w="5040"/>
            <w:vAlign w:val="center"/>
          </w:tcPr>
          <w:p>
            <w:pPr>
              <w:spacing w:after="0"/>
            </w:pPr>
            <w:r>
              <w:rPr>
                <w:rFonts w:ascii="Arial" w:hAnsi="Arial"/>
                <w:sz w:val="17"/>
              </w:rPr>
              <w:t>Coffee origin where provided by the source</w:t>
            </w:r>
          </w:p>
        </w:tc>
      </w:tr>
      <w:tr>
        <w:tc>
          <w:tcPr>
            <w:tcW w:type="dxa" w:w="5040"/>
            <w:vAlign w:val="center"/>
          </w:tcPr>
          <w:p>
            <w:pPr>
              <w:spacing w:after="0"/>
            </w:pPr>
            <w:r>
              <w:rPr>
                <w:rFonts w:ascii="Arial" w:hAnsi="Arial"/>
                <w:sz w:val="17"/>
              </w:rPr>
              <w:t>stock_category</w:t>
            </w:r>
          </w:p>
        </w:tc>
        <w:tc>
          <w:tcPr>
            <w:tcW w:type="dxa" w:w="5040"/>
            <w:vAlign w:val="center"/>
          </w:tcPr>
          <w:p>
            <w:pPr>
              <w:spacing w:after="0"/>
            </w:pPr>
            <w:r>
              <w:rPr>
                <w:rFonts w:ascii="Arial" w:hAnsi="Arial"/>
                <w:sz w:val="17"/>
              </w:rPr>
              <w:t>Standardized stock category</w:t>
            </w:r>
          </w:p>
        </w:tc>
      </w:tr>
      <w:tr>
        <w:tc>
          <w:tcPr>
            <w:tcW w:type="dxa" w:w="5040"/>
            <w:vAlign w:val="center"/>
          </w:tcPr>
          <w:p>
            <w:pPr>
              <w:spacing w:after="0"/>
            </w:pPr>
            <w:r>
              <w:rPr>
                <w:rFonts w:ascii="Arial" w:hAnsi="Arial"/>
                <w:sz w:val="17"/>
              </w:rPr>
              <w:t>stock_status</w:t>
            </w:r>
          </w:p>
        </w:tc>
        <w:tc>
          <w:tcPr>
            <w:tcW w:type="dxa" w:w="5040"/>
            <w:vAlign w:val="center"/>
          </w:tcPr>
          <w:p>
            <w:pPr>
              <w:spacing w:after="0"/>
            </w:pPr>
            <w:r>
              <w:rPr>
                <w:rFonts w:ascii="Arial" w:hAnsi="Arial"/>
                <w:sz w:val="17"/>
              </w:rPr>
              <w:t>Standardized stock status</w:t>
            </w:r>
          </w:p>
        </w:tc>
      </w:tr>
      <w:tr>
        <w:tc>
          <w:tcPr>
            <w:tcW w:type="dxa" w:w="5040"/>
            <w:vAlign w:val="center"/>
          </w:tcPr>
          <w:p>
            <w:pPr>
              <w:spacing w:after="0"/>
            </w:pPr>
            <w:r>
              <w:rPr>
                <w:rFonts w:ascii="Arial" w:hAnsi="Arial"/>
                <w:sz w:val="17"/>
              </w:rPr>
              <w:t>quantity</w:t>
            </w:r>
          </w:p>
        </w:tc>
        <w:tc>
          <w:tcPr>
            <w:tcW w:type="dxa" w:w="5040"/>
            <w:vAlign w:val="center"/>
          </w:tcPr>
          <w:p>
            <w:pPr>
              <w:spacing w:after="0"/>
            </w:pPr>
            <w:r>
              <w:rPr>
                <w:rFonts w:ascii="Arial" w:hAnsi="Arial"/>
                <w:sz w:val="17"/>
              </w:rPr>
              <w:t>Stock quantity</w:t>
            </w:r>
          </w:p>
        </w:tc>
      </w:tr>
      <w:tr>
        <w:tc>
          <w:tcPr>
            <w:tcW w:type="dxa" w:w="5040"/>
            <w:vAlign w:val="center"/>
          </w:tcPr>
          <w:p>
            <w:pPr>
              <w:spacing w:after="0"/>
            </w:pPr>
            <w:r>
              <w:rPr>
                <w:rFonts w:ascii="Arial" w:hAnsi="Arial"/>
                <w:sz w:val="17"/>
              </w:rPr>
              <w:t>unit</w:t>
            </w:r>
          </w:p>
        </w:tc>
        <w:tc>
          <w:tcPr>
            <w:tcW w:type="dxa" w:w="5040"/>
            <w:vAlign w:val="center"/>
          </w:tcPr>
          <w:p>
            <w:pPr>
              <w:spacing w:after="0"/>
            </w:pPr>
            <w:r>
              <w:rPr>
                <w:rFonts w:ascii="Arial" w:hAnsi="Arial"/>
                <w:sz w:val="17"/>
              </w:rPr>
              <w:t>Quantity unit</w:t>
            </w:r>
          </w:p>
        </w:tc>
      </w:tr>
      <w:tr>
        <w:tc>
          <w:tcPr>
            <w:tcW w:type="dxa" w:w="5040"/>
            <w:vAlign w:val="center"/>
          </w:tcPr>
          <w:p>
            <w:pPr>
              <w:spacing w:after="0"/>
            </w:pPr>
            <w:r>
              <w:rPr>
                <w:rFonts w:ascii="Arial" w:hAnsi="Arial"/>
                <w:sz w:val="17"/>
              </w:rPr>
              <w:t>source_file</w:t>
            </w:r>
          </w:p>
        </w:tc>
        <w:tc>
          <w:tcPr>
            <w:tcW w:type="dxa" w:w="5040"/>
            <w:vAlign w:val="center"/>
          </w:tcPr>
          <w:p>
            <w:pPr>
              <w:spacing w:after="0"/>
            </w:pPr>
            <w:r>
              <w:rPr>
                <w:rFonts w:ascii="Arial" w:hAnsi="Arial"/>
                <w:sz w:val="17"/>
              </w:rPr>
              <w:t>Source-file lineage</w:t>
            </w:r>
          </w:p>
        </w:tc>
      </w:tr>
    </w:tbl>
    <w:p>
      <w:pPr>
        <w:pStyle w:val="Heading2"/>
      </w:pPr>
      <w:r>
        <w:t>6.2 Arabica Transformation</w:t>
      </w:r>
    </w:p>
    <w:p>
      <w:pPr>
        <w:pStyle w:val="ListBullet"/>
        <w:spacing w:after="40"/>
      </w:pPr>
      <w:r>
        <w:t>Source column names and values are standardized.</w:t>
      </w:r>
    </w:p>
    <w:p>
      <w:pPr>
        <w:pStyle w:val="ListBullet"/>
        <w:spacing w:after="40"/>
      </w:pPr>
      <w:r>
        <w:t>The source coffee code C is converted to Arabica.</w:t>
      </w:r>
    </w:p>
    <w:p>
      <w:pPr>
        <w:pStyle w:val="ListBullet"/>
        <w:spacing w:after="40"/>
      </w:pPr>
      <w:r>
        <w:t>Report sections are mapped to standard stock categories and statuses.</w:t>
      </w:r>
    </w:p>
    <w:p>
      <w:pPr>
        <w:pStyle w:val="ListBullet"/>
        <w:spacing w:after="40"/>
      </w:pPr>
      <w:r>
        <w:t>Warehouse columns are unpivoted so each warehouse becomes a location row.</w:t>
      </w:r>
    </w:p>
    <w:p>
      <w:pPr>
        <w:pStyle w:val="ListBullet"/>
        <w:spacing w:after="40"/>
      </w:pPr>
      <w:r>
        <w:t>The source totals are reconciled with the transformed warehouse quantities.</w:t>
      </w:r>
    </w:p>
    <w:p>
      <w:pPr>
        <w:pStyle w:val="ListBullet"/>
        <w:spacing w:after="40"/>
      </w:pPr>
      <w:r>
        <w:t>The source_file value is carried forward for lineage.</w:t>
      </w:r>
    </w:p>
    <w:p>
      <w:pPr>
        <w:pStyle w:val="Heading2"/>
      </w:pPr>
      <w:r>
        <w:t>6.3 Robusta Transformation</w:t>
      </w:r>
    </w:p>
    <w:p>
      <w:pPr>
        <w:pStyle w:val="ListBullet"/>
        <w:spacing w:after="40"/>
      </w:pPr>
      <w:r>
        <w:t>CutOffDate is converted into the standardized report_date field.</w:t>
      </w:r>
    </w:p>
    <w:p>
      <w:pPr>
        <w:pStyle w:val="ListBullet"/>
        <w:spacing w:after="40"/>
      </w:pPr>
      <w:r>
        <w:t>The source code RC is converted to Robusta.</w:t>
      </w:r>
    </w:p>
    <w:p>
      <w:pPr>
        <w:pStyle w:val="ListBullet"/>
        <w:spacing w:after="40"/>
      </w:pPr>
      <w:r>
        <w:t>Quantity fields such as LotsWithValCert, LotsNonTend and LotsSuspended are reshaped into analytical rows.</w:t>
      </w:r>
    </w:p>
    <w:p>
      <w:pPr>
        <w:pStyle w:val="ListBullet"/>
        <w:spacing w:after="40"/>
      </w:pPr>
      <w:r>
        <w:t>Quantity fields are mapped to standardized stock categories and statuses.</w:t>
      </w:r>
    </w:p>
    <w:p>
      <w:pPr>
        <w:pStyle w:val="ListBullet"/>
        <w:spacing w:after="40"/>
      </w:pPr>
      <w:r>
        <w:t>GRANDTOTAL records are used for reconciliation.</w:t>
      </w:r>
    </w:p>
    <w:p>
      <w:pPr>
        <w:pStyle w:val="ListBullet"/>
        <w:spacing w:after="40"/>
      </w:pPr>
      <w:r>
        <w:t>Robusta does not provide equivalent origin information, so origin remains null.</w:t>
      </w:r>
    </w:p>
    <w:p>
      <w:pPr>
        <w:pStyle w:val="ListBullet"/>
        <w:spacing w:after="40"/>
      </w:pPr>
      <w:r>
        <w:t>The quantity unit is lots.</w:t>
      </w:r>
    </w:p>
    <w:p>
      <w:pPr>
        <w:pStyle w:val="Heading2"/>
      </w:pPr>
      <w:r>
        <w:t>6.4 Certified Stock Mapping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rial" w:hAnsi="Arial"/>
                <w:b/>
                <w:sz w:val="18"/>
              </w:rPr>
              <w:t>Coffee type</w:t>
            </w:r>
          </w:p>
        </w:tc>
        <w:tc>
          <w:tcPr>
            <w:tcW w:type="dxa" w:w="5040"/>
            <w:vAlign w:val="center"/>
          </w:tcPr>
          <w:p>
            <w:r>
              <w:rPr>
                <w:rFonts w:ascii="Arial" w:hAnsi="Arial"/>
                <w:b/>
                <w:sz w:val="18"/>
              </w:rPr>
              <w:t>Silver certified-stock category used by Final</w:t>
            </w:r>
          </w:p>
        </w:tc>
      </w:tr>
      <w:tr>
        <w:tc>
          <w:tcPr>
            <w:tcW w:type="dxa" w:w="5040"/>
            <w:vAlign w:val="center"/>
          </w:tcPr>
          <w:p>
            <w:pPr>
              <w:spacing w:after="0"/>
            </w:pPr>
            <w:r>
              <w:rPr>
                <w:rFonts w:ascii="Arial" w:hAnsi="Arial"/>
                <w:sz w:val="17"/>
              </w:rPr>
              <w:t>Arabica</w:t>
            </w:r>
          </w:p>
        </w:tc>
        <w:tc>
          <w:tcPr>
            <w:tcW w:type="dxa" w:w="5040"/>
            <w:vAlign w:val="center"/>
          </w:tcPr>
          <w:p>
            <w:pPr>
              <w:spacing w:after="0"/>
            </w:pPr>
            <w:r>
              <w:rPr>
                <w:rFonts w:ascii="Arial" w:hAnsi="Arial"/>
                <w:sz w:val="17"/>
              </w:rPr>
              <w:t>total_bags_certified</w:t>
            </w:r>
          </w:p>
        </w:tc>
      </w:tr>
      <w:tr>
        <w:tc>
          <w:tcPr>
            <w:tcW w:type="dxa" w:w="5040"/>
            <w:vAlign w:val="center"/>
          </w:tcPr>
          <w:p>
            <w:pPr>
              <w:spacing w:after="0"/>
            </w:pPr>
            <w:r>
              <w:rPr>
                <w:rFonts w:ascii="Arial" w:hAnsi="Arial"/>
                <w:sz w:val="17"/>
              </w:rPr>
              <w:t>Robusta</w:t>
            </w:r>
          </w:p>
        </w:tc>
        <w:tc>
          <w:tcPr>
            <w:tcW w:type="dxa" w:w="5040"/>
            <w:vAlign w:val="center"/>
          </w:tcPr>
          <w:p>
            <w:pPr>
              <w:spacing w:after="0"/>
            </w:pPr>
            <w:r>
              <w:rPr>
                <w:rFonts w:ascii="Arial" w:hAnsi="Arial"/>
                <w:sz w:val="17"/>
              </w:rPr>
              <w:t>with_val_cert</w:t>
            </w:r>
          </w:p>
        </w:tc>
      </w:tr>
    </w:tbl>
    <w:p>
      <w:r>
        <w:br w:type="page"/>
      </w:r>
    </w:p>
    <w:p>
      <w:pPr>
        <w:jc w:val="center"/>
      </w:pPr>
      <w:r>
        <w:rPr>
          <w:rFonts w:ascii="Arial" w:hAnsi="Arial"/>
          <w:b/>
          <w:sz w:val="40"/>
        </w:rPr>
        <w:t>ICE Certified Coffee Stocks ETL</w:t>
      </w:r>
    </w:p>
    <w:p>
      <w:pPr>
        <w:jc w:val="center"/>
      </w:pPr>
      <w:r>
        <w:rPr>
          <w:rFonts w:ascii="Arial" w:hAnsi="Arial"/>
          <w:i/>
          <w:sz w:val="20"/>
        </w:rPr>
        <w:t>Technical Documentation — Validation and Final Layer</w:t>
      </w:r>
    </w:p>
    <w:p>
      <w:pPr>
        <w:pStyle w:val="Heading1"/>
      </w:pPr>
      <w:r>
        <w:t>7. Silver Data Quality Checks</w:t>
      </w:r>
    </w:p>
    <w:p>
      <w:pPr>
        <w:spacing w:after="100"/>
      </w:pPr>
      <w:r>
        <w:t>Validation is performed after transformation so that structural and business-level issues are detected before the data reaches the Final layer.</w:t>
      </w:r>
    </w:p>
    <w:p>
      <w:pPr>
        <w:pStyle w:val="ListBullet"/>
        <w:spacing w:after="40"/>
      </w:pPr>
      <w:r>
        <w:t>The Silver natural key is checked for duplicate rows.</w:t>
      </w:r>
    </w:p>
    <w:p>
      <w:pPr>
        <w:pStyle w:val="ListBullet"/>
        <w:spacing w:after="40"/>
      </w:pPr>
      <w:r>
        <w:t>Negative quantities are rejected.</w:t>
      </w:r>
    </w:p>
    <w:p>
      <w:pPr>
        <w:pStyle w:val="ListBullet"/>
        <w:spacing w:after="40"/>
      </w:pPr>
      <w:r>
        <w:t>Every Silver record must have a report date.</w:t>
      </w:r>
    </w:p>
    <w:p>
      <w:pPr>
        <w:pStyle w:val="ListBullet"/>
        <w:spacing w:after="40"/>
      </w:pPr>
      <w:r>
        <w:t>Every Silver record must have a stock classification.</w:t>
      </w:r>
    </w:p>
    <w:p>
      <w:pPr>
        <w:pStyle w:val="ListBullet"/>
        <w:spacing w:after="40"/>
      </w:pPr>
      <w:r>
        <w:t>Arabica transformed quantities are reconciled against applicable source totals.</w:t>
      </w:r>
    </w:p>
    <w:p>
      <w:pPr>
        <w:pStyle w:val="ListBullet"/>
        <w:spacing w:after="40"/>
      </w:pPr>
      <w:r>
        <w:t>Robusta transformed quantities are reconciled against source GRANDTOTAL values.</w:t>
      </w:r>
    </w:p>
    <w:p>
      <w:pPr>
        <w:spacing w:after="100"/>
      </w:pPr>
      <w:r>
        <w:t>The Silver natural key is composed of coffee_type, report_date, location, origin, stock_category, stock_status and unit. This key represents the expected uniqueness of an analytical Silver record.</w:t>
      </w:r>
    </w:p>
    <w:p>
      <w:pPr>
        <w:pStyle w:val="Heading1"/>
      </w:pPr>
      <w:r>
        <w:t>8. Final Data Layer</w:t>
      </w:r>
    </w:p>
    <w:p>
      <w:pPr>
        <w:spacing w:after="100"/>
      </w:pPr>
      <w:r>
        <w:t>The Final layer creates the business-facing certified-stock dataset from the standardized Silver data. Only the certified stock category required for the final output is retained for each coffee type.</w:t>
      </w:r>
    </w:p>
    <w:p>
      <w:pPr>
        <w:pStyle w:val="Heading2"/>
      </w:pPr>
      <w:r>
        <w:t>8.1 Final Transformation</w:t>
      </w:r>
    </w:p>
    <w:p>
      <w:pPr>
        <w:pStyle w:val="ListBullet"/>
        <w:spacing w:after="40"/>
      </w:pPr>
      <w:r>
        <w:t>Certified Arabica records are selected from total_bags_certified.</w:t>
      </w:r>
    </w:p>
    <w:p>
      <w:pPr>
        <w:pStyle w:val="ListBullet"/>
        <w:spacing w:after="40"/>
      </w:pPr>
      <w:r>
        <w:t>Certified Robusta records are selected from with_val_cert.</w:t>
      </w:r>
    </w:p>
    <w:p>
      <w:pPr>
        <w:pStyle w:val="ListBullet"/>
        <w:spacing w:after="40"/>
      </w:pPr>
      <w:r>
        <w:t>location is renamed to warehouse_location.</w:t>
      </w:r>
    </w:p>
    <w:p>
      <w:pPr>
        <w:pStyle w:val="ListBullet"/>
        <w:spacing w:after="40"/>
      </w:pPr>
      <w:r>
        <w:t>quantity is renamed to certified_stock_quantity.</w:t>
      </w:r>
    </w:p>
    <w:p>
      <w:pPr>
        <w:pStyle w:val="ListBullet"/>
        <w:spacing w:after="40"/>
      </w:pPr>
      <w:r>
        <w:t>source_file and unit are removed because they are technical/lineage fields not required in the business-facing output.</w:t>
      </w:r>
    </w:p>
    <w:p>
      <w:pPr>
        <w:pStyle w:val="ListBullet"/>
        <w:spacing w:after="40"/>
      </w:pPr>
      <w:r>
        <w:t>The Arabica and Robusta datasets are combined into one final CSV.</w:t>
      </w:r>
    </w:p>
    <w:p>
      <w:pPr>
        <w:pStyle w:val="Heading2"/>
      </w:pPr>
      <w:r>
        <w:t>8.2 Final Schema</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rial" w:hAnsi="Arial"/>
                <w:b/>
                <w:sz w:val="18"/>
              </w:rPr>
              <w:t>Column</w:t>
            </w:r>
          </w:p>
        </w:tc>
        <w:tc>
          <w:tcPr>
            <w:tcW w:type="dxa" w:w="5040"/>
            <w:vAlign w:val="center"/>
          </w:tcPr>
          <w:p>
            <w:r>
              <w:rPr>
                <w:rFonts w:ascii="Arial" w:hAnsi="Arial"/>
                <w:b/>
                <w:sz w:val="18"/>
              </w:rPr>
              <w:t>Description</w:t>
            </w:r>
          </w:p>
        </w:tc>
      </w:tr>
      <w:tr>
        <w:tc>
          <w:tcPr>
            <w:tcW w:type="dxa" w:w="5040"/>
            <w:vAlign w:val="center"/>
          </w:tcPr>
          <w:p>
            <w:pPr>
              <w:spacing w:after="0"/>
            </w:pPr>
            <w:r>
              <w:rPr>
                <w:rFonts w:ascii="Arial" w:hAnsi="Arial"/>
                <w:sz w:val="17"/>
              </w:rPr>
              <w:t>coffee_type</w:t>
            </w:r>
          </w:p>
        </w:tc>
        <w:tc>
          <w:tcPr>
            <w:tcW w:type="dxa" w:w="5040"/>
            <w:vAlign w:val="center"/>
          </w:tcPr>
          <w:p>
            <w:pPr>
              <w:spacing w:after="0"/>
            </w:pPr>
            <w:r>
              <w:rPr>
                <w:rFonts w:ascii="Arial" w:hAnsi="Arial"/>
                <w:sz w:val="17"/>
              </w:rPr>
              <w:t>Arabica or Robusta</w:t>
            </w:r>
          </w:p>
        </w:tc>
      </w:tr>
      <w:tr>
        <w:tc>
          <w:tcPr>
            <w:tcW w:type="dxa" w:w="5040"/>
            <w:vAlign w:val="center"/>
          </w:tcPr>
          <w:p>
            <w:pPr>
              <w:spacing w:after="0"/>
            </w:pPr>
            <w:r>
              <w:rPr>
                <w:rFonts w:ascii="Arial" w:hAnsi="Arial"/>
                <w:sz w:val="17"/>
              </w:rPr>
              <w:t>report_date</w:t>
            </w:r>
          </w:p>
        </w:tc>
        <w:tc>
          <w:tcPr>
            <w:tcW w:type="dxa" w:w="5040"/>
            <w:vAlign w:val="center"/>
          </w:tcPr>
          <w:p>
            <w:pPr>
              <w:spacing w:after="0"/>
            </w:pPr>
            <w:r>
              <w:rPr>
                <w:rFonts w:ascii="Arial" w:hAnsi="Arial"/>
                <w:sz w:val="17"/>
              </w:rPr>
              <w:t>ICE report date</w:t>
            </w:r>
          </w:p>
        </w:tc>
      </w:tr>
      <w:tr>
        <w:tc>
          <w:tcPr>
            <w:tcW w:type="dxa" w:w="5040"/>
            <w:vAlign w:val="center"/>
          </w:tcPr>
          <w:p>
            <w:pPr>
              <w:spacing w:after="0"/>
            </w:pPr>
            <w:r>
              <w:rPr>
                <w:rFonts w:ascii="Arial" w:hAnsi="Arial"/>
                <w:sz w:val="17"/>
              </w:rPr>
              <w:t>warehouse_location</w:t>
            </w:r>
          </w:p>
        </w:tc>
        <w:tc>
          <w:tcPr>
            <w:tcW w:type="dxa" w:w="5040"/>
            <w:vAlign w:val="center"/>
          </w:tcPr>
          <w:p>
            <w:pPr>
              <w:spacing w:after="0"/>
            </w:pPr>
            <w:r>
              <w:rPr>
                <w:rFonts w:ascii="Arial" w:hAnsi="Arial"/>
                <w:sz w:val="17"/>
              </w:rPr>
              <w:t>Warehouse/location associated with the stock</w:t>
            </w:r>
          </w:p>
        </w:tc>
      </w:tr>
      <w:tr>
        <w:tc>
          <w:tcPr>
            <w:tcW w:type="dxa" w:w="5040"/>
            <w:vAlign w:val="center"/>
          </w:tcPr>
          <w:p>
            <w:pPr>
              <w:spacing w:after="0"/>
            </w:pPr>
            <w:r>
              <w:rPr>
                <w:rFonts w:ascii="Arial" w:hAnsi="Arial"/>
                <w:sz w:val="17"/>
              </w:rPr>
              <w:t>origin</w:t>
            </w:r>
          </w:p>
        </w:tc>
        <w:tc>
          <w:tcPr>
            <w:tcW w:type="dxa" w:w="5040"/>
            <w:vAlign w:val="center"/>
          </w:tcPr>
          <w:p>
            <w:pPr>
              <w:spacing w:after="0"/>
            </w:pPr>
            <w:r>
              <w:rPr>
                <w:rFonts w:ascii="Arial" w:hAnsi="Arial"/>
                <w:sz w:val="17"/>
              </w:rPr>
              <w:t>Origin where supplied by the source</w:t>
            </w:r>
          </w:p>
        </w:tc>
      </w:tr>
      <w:tr>
        <w:tc>
          <w:tcPr>
            <w:tcW w:type="dxa" w:w="5040"/>
            <w:vAlign w:val="center"/>
          </w:tcPr>
          <w:p>
            <w:pPr>
              <w:spacing w:after="0"/>
            </w:pPr>
            <w:r>
              <w:rPr>
                <w:rFonts w:ascii="Arial" w:hAnsi="Arial"/>
                <w:sz w:val="17"/>
              </w:rPr>
              <w:t>stock_category</w:t>
            </w:r>
          </w:p>
        </w:tc>
        <w:tc>
          <w:tcPr>
            <w:tcW w:type="dxa" w:w="5040"/>
            <w:vAlign w:val="center"/>
          </w:tcPr>
          <w:p>
            <w:pPr>
              <w:spacing w:after="0"/>
            </w:pPr>
            <w:r>
              <w:rPr>
                <w:rFonts w:ascii="Arial" w:hAnsi="Arial"/>
                <w:sz w:val="17"/>
              </w:rPr>
              <w:t>Certified stock category</w:t>
            </w:r>
          </w:p>
        </w:tc>
      </w:tr>
      <w:tr>
        <w:tc>
          <w:tcPr>
            <w:tcW w:type="dxa" w:w="5040"/>
            <w:vAlign w:val="center"/>
          </w:tcPr>
          <w:p>
            <w:pPr>
              <w:spacing w:after="0"/>
            </w:pPr>
            <w:r>
              <w:rPr>
                <w:rFonts w:ascii="Arial" w:hAnsi="Arial"/>
                <w:sz w:val="17"/>
              </w:rPr>
              <w:t>stock_status</w:t>
            </w:r>
          </w:p>
        </w:tc>
        <w:tc>
          <w:tcPr>
            <w:tcW w:type="dxa" w:w="5040"/>
            <w:vAlign w:val="center"/>
          </w:tcPr>
          <w:p>
            <w:pPr>
              <w:spacing w:after="0"/>
            </w:pPr>
            <w:r>
              <w:rPr>
                <w:rFonts w:ascii="Arial" w:hAnsi="Arial"/>
                <w:sz w:val="17"/>
              </w:rPr>
              <w:t>Stock status</w:t>
            </w:r>
          </w:p>
        </w:tc>
      </w:tr>
      <w:tr>
        <w:tc>
          <w:tcPr>
            <w:tcW w:type="dxa" w:w="5040"/>
            <w:vAlign w:val="center"/>
          </w:tcPr>
          <w:p>
            <w:pPr>
              <w:spacing w:after="0"/>
            </w:pPr>
            <w:r>
              <w:rPr>
                <w:rFonts w:ascii="Arial" w:hAnsi="Arial"/>
                <w:sz w:val="17"/>
              </w:rPr>
              <w:t>certified_stock_quantity</w:t>
            </w:r>
          </w:p>
        </w:tc>
        <w:tc>
          <w:tcPr>
            <w:tcW w:type="dxa" w:w="5040"/>
            <w:vAlign w:val="center"/>
          </w:tcPr>
          <w:p>
            <w:pPr>
              <w:spacing w:after="0"/>
            </w:pPr>
            <w:r>
              <w:rPr>
                <w:rFonts w:ascii="Arial" w:hAnsi="Arial"/>
                <w:sz w:val="17"/>
              </w:rPr>
              <w:t>Certified stock quantity</w:t>
            </w:r>
          </w:p>
        </w:tc>
      </w:tr>
    </w:tbl>
    <w:p>
      <w:pPr>
        <w:pStyle w:val="Heading2"/>
      </w:pPr>
      <w:r>
        <w:t>9. Final Validation</w:t>
      </w:r>
    </w:p>
    <w:p>
      <w:pPr>
        <w:pStyle w:val="ListBullet"/>
        <w:spacing w:after="40"/>
      </w:pPr>
      <w:r>
        <w:t>Certified stock quantity must not be null.</w:t>
      </w:r>
    </w:p>
    <w:p>
      <w:pPr>
        <w:pStyle w:val="ListBullet"/>
        <w:spacing w:after="40"/>
      </w:pPr>
      <w:r>
        <w:t>Both coffee types are expected in the consolidated output.</w:t>
      </w:r>
    </w:p>
    <w:p>
      <w:pPr>
        <w:pStyle w:val="ListBullet"/>
        <w:spacing w:after="40"/>
      </w:pPr>
      <w:r>
        <w:t>The final dataset is checked after certified-stock filtering and before the technical columns are removed.</w:t>
      </w:r>
    </w:p>
    <w:p>
      <w:r>
        <w:br w:type="page"/>
      </w:r>
    </w:p>
    <w:p>
      <w:pPr>
        <w:jc w:val="center"/>
      </w:pPr>
      <w:r>
        <w:rPr>
          <w:rFonts w:ascii="Arial" w:hAnsi="Arial"/>
          <w:b/>
          <w:sz w:val="40"/>
        </w:rPr>
        <w:t>ICE Certified Coffee Stocks ETL</w:t>
      </w:r>
    </w:p>
    <w:p>
      <w:pPr>
        <w:jc w:val="center"/>
      </w:pPr>
      <w:r>
        <w:rPr>
          <w:rFonts w:ascii="Arial" w:hAnsi="Arial"/>
          <w:i/>
          <w:sz w:val="20"/>
        </w:rPr>
        <w:t>Technical Documentation — Orchestration, Lineage and Design Decisions</w:t>
      </w:r>
    </w:p>
    <w:p>
      <w:pPr>
        <w:pStyle w:val="Heading1"/>
      </w:pPr>
      <w:r>
        <w:t>10. Pipeline Orchestration</w:t>
      </w:r>
    </w:p>
    <w:p>
      <w:pPr>
        <w:spacing w:after="100"/>
      </w:pPr>
      <w:r>
        <w:t>run_pipeline.py is the main executable entry point for the project. It coordinates the enabled stages and allows the complete ETL to be executed without manually changing individual layer scripts.</w:t>
      </w:r>
    </w:p>
    <w:p>
      <w:pPr>
        <w:spacing w:after="100"/>
      </w:pPr>
      <w:r>
        <w:t>The standard full execution order is:</w:t>
      </w:r>
    </w:p>
    <w:p>
      <w:pPr>
        <w:jc w:val="center"/>
      </w:pPr>
      <w:r>
        <w:rPr>
          <w:b/>
        </w:rPr>
        <w:t>Extraction  →  Bronze  →  Silver  →  Final</w:t>
      </w:r>
    </w:p>
    <w:p>
      <w:pPr>
        <w:spacing w:after="100"/>
      </w:pPr>
      <w:r>
        <w:t>The pipeline can also work from a later stage when the required upstream outputs already exist. Command-line options are available for controlling extraction behavior, including fresh extraction and CAPTCHA-related handling.</w:t>
      </w:r>
    </w:p>
    <w:p>
      <w:pPr>
        <w:pStyle w:val="Heading1"/>
      </w:pPr>
      <w:r>
        <w:t>11. Data Lineage and Reproducibility</w:t>
      </w:r>
    </w:p>
    <w:p>
      <w:pPr>
        <w:spacing w:after="100"/>
      </w:pPr>
      <w:r>
        <w:t>Raw source reports are retained in the Extraction Layer. Bronze preserves source-specific fields, and Silver carries source_file forward. This provides a path from a transformed analytical record back to the report that produced it.</w:t>
      </w:r>
    </w:p>
    <w:p>
      <w:pPr>
        <w:pStyle w:val="ListBullet"/>
        <w:spacing w:after="40"/>
      </w:pPr>
      <w:r>
        <w:t>config.toml centralizes pipeline configuration.</w:t>
      </w:r>
    </w:p>
    <w:p>
      <w:pPr>
        <w:pStyle w:val="ListBullet"/>
        <w:spacing w:after="40"/>
      </w:pPr>
      <w:r>
        <w:t>requirements.txt defines the Python dependencies.</w:t>
      </w:r>
    </w:p>
    <w:p>
      <w:pPr>
        <w:pStyle w:val="ListBullet"/>
        <w:spacing w:after="40"/>
      </w:pPr>
      <w:r>
        <w:t>Extraction inventories preserve discovered report information.</w:t>
      </w:r>
    </w:p>
    <w:p>
      <w:pPr>
        <w:pStyle w:val="ListBullet"/>
        <w:spacing w:after="40"/>
      </w:pPr>
      <w:r>
        <w:t>Raw report files provide the source checkpoint.</w:t>
      </w:r>
    </w:p>
    <w:p>
      <w:pPr>
        <w:pStyle w:val="ListBullet"/>
        <w:spacing w:after="40"/>
      </w:pPr>
      <w:r>
        <w:t>Bronze and Silver outputs provide intermediate processing checkpoints.</w:t>
      </w:r>
    </w:p>
    <w:p>
      <w:pPr>
        <w:pStyle w:val="ListBullet"/>
        <w:spacing w:after="40"/>
      </w:pPr>
      <w:r>
        <w:t>run_pipeline.py provides the reproducible execution entry point.</w:t>
      </w:r>
    </w:p>
    <w:p>
      <w:pPr>
        <w:pStyle w:val="Heading1"/>
      </w:pPr>
      <w:r>
        <w:t>12. Key Design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rial" w:hAnsi="Arial"/>
                <w:b/>
                <w:sz w:val="18"/>
              </w:rPr>
              <w:t>Decision</w:t>
            </w:r>
          </w:p>
        </w:tc>
        <w:tc>
          <w:tcPr>
            <w:tcW w:type="dxa" w:w="5040"/>
            <w:vAlign w:val="center"/>
          </w:tcPr>
          <w:p>
            <w:r>
              <w:rPr>
                <w:rFonts w:ascii="Arial" w:hAnsi="Arial"/>
                <w:b/>
                <w:sz w:val="18"/>
              </w:rPr>
              <w:t>Rationale</w:t>
            </w:r>
          </w:p>
        </w:tc>
      </w:tr>
      <w:tr>
        <w:tc>
          <w:tcPr>
            <w:tcW w:type="dxa" w:w="5040"/>
            <w:vAlign w:val="center"/>
          </w:tcPr>
          <w:p>
            <w:pPr>
              <w:spacing w:after="0"/>
            </w:pPr>
            <w:r>
              <w:rPr>
                <w:rFonts w:ascii="Arial" w:hAnsi="Arial"/>
                <w:sz w:val="17"/>
              </w:rPr>
              <w:t>Separate source-specific Bronze structures</w:t>
            </w:r>
          </w:p>
        </w:tc>
        <w:tc>
          <w:tcPr>
            <w:tcW w:type="dxa" w:w="5040"/>
            <w:vAlign w:val="center"/>
          </w:tcPr>
          <w:p>
            <w:pPr>
              <w:spacing w:after="0"/>
            </w:pPr>
            <w:r>
              <w:rPr>
                <w:rFonts w:ascii="Arial" w:hAnsi="Arial"/>
                <w:sz w:val="17"/>
              </w:rPr>
              <w:t>Arabica and Robusta have materially different layouts, so source fidelity is preserved before standardization.</w:t>
            </w:r>
          </w:p>
        </w:tc>
      </w:tr>
      <w:tr>
        <w:tc>
          <w:tcPr>
            <w:tcW w:type="dxa" w:w="5040"/>
            <w:vAlign w:val="center"/>
          </w:tcPr>
          <w:p>
            <w:pPr>
              <w:spacing w:after="0"/>
            </w:pPr>
            <w:r>
              <w:rPr>
                <w:rFonts w:ascii="Arial" w:hAnsi="Arial"/>
                <w:sz w:val="17"/>
              </w:rPr>
              <w:t>Common Silver schema</w:t>
            </w:r>
          </w:p>
        </w:tc>
        <w:tc>
          <w:tcPr>
            <w:tcW w:type="dxa" w:w="5040"/>
            <w:vAlign w:val="center"/>
          </w:tcPr>
          <w:p>
            <w:pPr>
              <w:spacing w:after="0"/>
            </w:pPr>
            <w:r>
              <w:rPr>
                <w:rFonts w:ascii="Arial" w:hAnsi="Arial"/>
                <w:sz w:val="17"/>
              </w:rPr>
              <w:t>Provides one consistent structure for downstream processing and analysis.</w:t>
            </w:r>
          </w:p>
        </w:tc>
      </w:tr>
      <w:tr>
        <w:tc>
          <w:tcPr>
            <w:tcW w:type="dxa" w:w="5040"/>
            <w:vAlign w:val="center"/>
          </w:tcPr>
          <w:p>
            <w:pPr>
              <w:spacing w:after="0"/>
            </w:pPr>
            <w:r>
              <w:rPr>
                <w:rFonts w:ascii="Arial" w:hAnsi="Arial"/>
                <w:sz w:val="17"/>
              </w:rPr>
              <w:t>Reconciliation after reshaping</w:t>
            </w:r>
          </w:p>
        </w:tc>
        <w:tc>
          <w:tcPr>
            <w:tcW w:type="dxa" w:w="5040"/>
            <w:vAlign w:val="center"/>
          </w:tcPr>
          <w:p>
            <w:pPr>
              <w:spacing w:after="0"/>
            </w:pPr>
            <w:r>
              <w:rPr>
                <w:rFonts w:ascii="Arial" w:hAnsi="Arial"/>
                <w:sz w:val="17"/>
              </w:rPr>
              <w:t>Confirms that quantities are not lost or duplicated during unpivoting.</w:t>
            </w:r>
          </w:p>
        </w:tc>
      </w:tr>
      <w:tr>
        <w:tc>
          <w:tcPr>
            <w:tcW w:type="dxa" w:w="5040"/>
            <w:vAlign w:val="center"/>
          </w:tcPr>
          <w:p>
            <w:pPr>
              <w:spacing w:after="0"/>
            </w:pPr>
            <w:r>
              <w:rPr>
                <w:rFonts w:ascii="Arial" w:hAnsi="Arial"/>
                <w:sz w:val="17"/>
              </w:rPr>
              <w:t>Incremental extraction</w:t>
            </w:r>
          </w:p>
        </w:tc>
        <w:tc>
          <w:tcPr>
            <w:tcW w:type="dxa" w:w="5040"/>
            <w:vAlign w:val="center"/>
          </w:tcPr>
          <w:p>
            <w:pPr>
              <w:spacing w:after="0"/>
            </w:pPr>
            <w:r>
              <w:rPr>
                <w:rFonts w:ascii="Arial" w:hAnsi="Arial"/>
                <w:sz w:val="17"/>
              </w:rPr>
              <w:t>Reuses previously collected reports and avoids unnecessary source requests.</w:t>
            </w:r>
          </w:p>
        </w:tc>
      </w:tr>
      <w:tr>
        <w:tc>
          <w:tcPr>
            <w:tcW w:type="dxa" w:w="5040"/>
            <w:vAlign w:val="center"/>
          </w:tcPr>
          <w:p>
            <w:pPr>
              <w:spacing w:after="0"/>
            </w:pPr>
            <w:r>
              <w:rPr>
                <w:rFonts w:ascii="Arial" w:hAnsi="Arial"/>
                <w:sz w:val="17"/>
              </w:rPr>
              <w:t>Certified-stock Final layer</w:t>
            </w:r>
          </w:p>
        </w:tc>
        <w:tc>
          <w:tcPr>
            <w:tcW w:type="dxa" w:w="5040"/>
            <w:vAlign w:val="center"/>
          </w:tcPr>
          <w:p>
            <w:pPr>
              <w:spacing w:after="0"/>
            </w:pPr>
            <w:r>
              <w:rPr>
                <w:rFonts w:ascii="Arial" w:hAnsi="Arial"/>
                <w:sz w:val="17"/>
              </w:rPr>
              <w:t>Keeps the final output focused on the requested certified-stock business data.</w:t>
            </w:r>
          </w:p>
        </w:tc>
      </w:tr>
      <w:tr>
        <w:tc>
          <w:tcPr>
            <w:tcW w:type="dxa" w:w="5040"/>
            <w:vAlign w:val="center"/>
          </w:tcPr>
          <w:p>
            <w:pPr>
              <w:spacing w:after="0"/>
            </w:pPr>
            <w:r>
              <w:rPr>
                <w:rFonts w:ascii="Arial" w:hAnsi="Arial"/>
                <w:sz w:val="17"/>
              </w:rPr>
              <w:t>Source-file lineage</w:t>
            </w:r>
          </w:p>
        </w:tc>
        <w:tc>
          <w:tcPr>
            <w:tcW w:type="dxa" w:w="5040"/>
            <w:vAlign w:val="center"/>
          </w:tcPr>
          <w:p>
            <w:pPr>
              <w:spacing w:after="0"/>
            </w:pPr>
            <w:r>
              <w:rPr>
                <w:rFonts w:ascii="Arial" w:hAnsi="Arial"/>
                <w:sz w:val="17"/>
              </w:rPr>
              <w:t>Allows transformed records to be traced back to their originating report.</w:t>
            </w:r>
          </w:p>
        </w:tc>
      </w:tr>
    </w:tbl>
    <w:p>
      <w:pPr>
        <w:pStyle w:val="Heading1"/>
      </w:pPr>
      <w:r>
        <w:t>13. Technical Summary</w:t>
      </w:r>
    </w:p>
    <w:p>
      <w:pPr>
        <w:spacing w:after="100"/>
      </w:pPr>
      <w:r>
        <w:t>The implementation separates source acquisition, source-faithful structuring, analytical standardization and business output. Arabica and Robusta are parsed according to their own source structures, transformed into a common Silver model, reconciled against source totals, and then consolidated into a single certified-stock CSV. This separation provides clear processing boundaries, validation checkpoints and traceability throughout the ETL.</w:t>
      </w:r>
    </w:p>
    <w:p>
      <w:pPr>
        <w:spacing w:after="100"/>
      </w:pPr>
      <w:r>
        <w:t>Final output: Main_Final_data.csv</w:t>
      </w:r>
    </w:p>
    <w:p/>
    <w:p>
      <w:r>
        <w:rPr>
          <w:b/>
        </w:rPr>
        <w:t>Supporting Documentation:</w:t>
      </w:r>
      <w:r>
        <w:t xml:space="preserve"> The project includes a README.md file containing repository setup, cloning, installation, execution instructions, project structure, configuration, and final output information.</w:t>
      </w:r>
    </w:p>
    <w:p>
      <w:r>
        <w:t>A separate ICE_Coffee_Stocks_STTM_and_Data_Dictionary.docx document has also been provided containing the Source-to-Target Mapping (STTM) and unified Silver-layer Data Dictionary.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ICE Certified Coffee Stocks ETL  |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