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COMBINED PAVEMENT-DESIGN REPORT</w:t>
      </w:r>
    </w:p>
    <w:p>
      <w:pPr>
        <w:jc w:val="center"/>
      </w:pPr>
      <w:r>
        <w:rPr>
          <w:rFonts w:ascii="Arial" w:hAnsi="Arial"/>
          <w:b/>
          <w:i w:val="0"/>
          <w:sz w:val="24"/>
        </w:rPr>
        <w:t>Combined Design Test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Pavement Laboratory  •  Report Date: 23-Jun-2026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Project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Name of Work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Stabilized Pavement Test Work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Agency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Test Agency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Submitted By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Test Engineer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Contents of this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Governing Reference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Report Provenance and Traceability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Audit metadata; no engineering calculations</w:t>
            </w:r>
          </w:p>
        </w:tc>
      </w:tr>
    </w:tbl>
    <w:p>
      <w:r>
        <w:br w:type="page"/>
      </w:r>
    </w:p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REPORT PROVENANCE AND TRACEABILITY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Generation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Report generated at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2026-06-23 01:12:15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Operator identifier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Test Engineer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Project ID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212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Project work name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Stabilized Pavement Test Work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Report path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E:\pavment sam pave\build\smoke_stabilized_combined.docx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IITPAVE Schema-History Selection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Selection status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all_available_history_selected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Available candidate IDs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None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Selected history IDs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None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Unknown requested IDs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None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Included history records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Propagated diagnostic rows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Engineering calculations allowed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No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Validation Warning Summary</w:t>
      </w:r>
    </w:p>
    <w:p>
      <w:pPr>
        <w:jc w:val="left"/>
      </w:pPr>
      <w:r>
        <w:rPr>
          <w:rFonts w:ascii="Arial" w:hAnsi="Arial"/>
          <w:b w:val="0"/>
          <w:i w:val="0"/>
          <w:sz w:val="20"/>
        </w:rPr>
        <w:t>No report-time validation warnings recorded.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Export And Import Provenance</w:t>
      </w:r>
    </w:p>
    <w:p>
      <w:pPr>
        <w:jc w:val="left"/>
      </w:pPr>
      <w:r>
        <w:rPr>
          <w:rFonts w:ascii="Arial" w:hAnsi="Arial"/>
          <w:b w:val="0"/>
          <w:i w:val="0"/>
          <w:sz w:val="20"/>
        </w:rPr>
        <w:t>Project exchange format: sampave.project_export v1.0.</w:t>
      </w:r>
    </w:p>
    <w:p>
      <w:pPr>
        <w:jc w:val="left"/>
      </w:pPr>
      <w:r>
        <w:rPr>
          <w:rFonts w:ascii="Arial" w:hAnsi="Arial"/>
          <w:b w:val="0"/>
          <w:i w:val="0"/>
          <w:sz w:val="20"/>
        </w:rPr>
        <w:t>Project import creates new local rows; source record IDs are preserved only as provenance.</w:t>
      </w:r>
    </w:p>
    <w:p>
      <w:pPr>
        <w:jc w:val="left"/>
      </w:pPr>
      <w:r>
        <w:rPr>
          <w:rFonts w:ascii="Arial" w:hAnsi="Arial"/>
          <w:b w:val="0"/>
          <w:i w:val="0"/>
          <w:sz w:val="20"/>
        </w:rPr>
        <w:t>Imported IITPAVE schema-history audit IDs are shown exactly as recorded and are not remapped.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Report Environment Metadata</w:t>
      </w:r>
    </w:p>
    <w:p>
      <w:pPr>
        <w:jc w:val="left"/>
      </w:pPr>
      <w:r>
        <w:rPr>
          <w:rFonts w:ascii="Arial" w:hAnsi="Arial"/>
          <w:b w:val="0"/>
          <w:i w:val="0"/>
          <w:sz w:val="20"/>
        </w:rPr>
        <w:t>Application: SAMPAVE v1.0.0.</w:t>
      </w:r>
    </w:p>
    <w:p>
      <w:pPr>
        <w:jc w:val="left"/>
      </w:pPr>
      <w:r>
        <w:rPr>
          <w:rFonts w:ascii="Arial" w:hAnsi="Arial"/>
          <w:b w:val="0"/>
          <w:i w:val="0"/>
          <w:sz w:val="20"/>
        </w:rPr>
        <w:t>Runtime: Python 3.14.4.</w:t>
      </w:r>
    </w:p>
    <w:p>
      <w:pPr>
        <w:jc w:val="left"/>
      </w:pPr>
      <w:r>
        <w:rPr>
          <w:rFonts w:ascii="Arial" w:hAnsi="Arial"/>
          <w:b w:val="0"/>
          <w:i w:val="0"/>
          <w:sz w:val="20"/>
        </w:rPr>
        <w:t>Platform family: Windows 11</w:t>
      </w:r>
    </w:p>
    <w:p>
      <w:pPr>
        <w:jc w:val="left"/>
      </w:pPr>
      <w:r>
        <w:rPr>
          <w:rFonts w:ascii="Arial" w:hAnsi="Arial"/>
          <w:b w:val="0"/>
          <w:i/>
          <w:sz w:val="18"/>
        </w:rPr>
        <w:t>This provenance section is read-only audit metadata. It does not extract IITPAVE strains, run mechanistic calculations, evaluate fatigue or rutting, make IRC compliance claims, or issue engineering recommendations.</w:t>
      </w:r>
    </w:p>
    <w:p>
      <w:r>
        <w:br w:type="page"/>
      </w:r>
    </w:p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STABILIZED PAVEMENT DESIGN (CTB/CTS)</w:t>
      </w:r>
    </w:p>
    <w:p>
      <w:pPr>
        <w:jc w:val="center"/>
      </w:pPr>
      <w:r>
        <w:rPr>
          <w:rFonts w:ascii="Arial" w:hAnsi="Arial"/>
          <w:b/>
          <w:i w:val="0"/>
          <w:sz w:val="24"/>
        </w:rPr>
        <w:t>Combined Design Test</w:t>
      </w:r>
    </w:p>
    <w:p>
      <w:pPr>
        <w:jc w:val="center"/>
      </w:pPr>
      <w:r>
        <w:rPr>
          <w:rFonts w:ascii="Arial" w:hAnsi="Arial"/>
          <w:b w:val="0"/>
          <w:i/>
          <w:sz w:val="20"/>
        </w:rPr>
        <w:t>Design basis: IRC:37-2018 (empirically derived stabilized pavement guidelines).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Pavement Laboratory  •  Report Date: 23-Jun-2026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Project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Name of Work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Stabilized Pavement Test Work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Agency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Test Agency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Submitted By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Test Engineer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1. Design Validation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Validation Mode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★ Decision Support Mode ★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Fatigue Status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Mechanistic verification required</w:t>
            </w:r>
          </w:p>
        </w:tc>
      </w:tr>
    </w:tbl>
    <w:p>
      <w:pPr>
        <w:jc w:val="left"/>
      </w:pPr>
      <w:r>
        <w:rPr>
          <w:rFonts w:ascii="Arial" w:hAnsi="Arial"/>
          <w:b/>
          <w:i w:val="0"/>
          <w:sz w:val="20"/>
        </w:rPr>
        <w:t>IMPORTANT NOTE: This design is for decision support only. Independent engineering verification is required before field execution.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2. Material Inputs &amp; Design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Layer Thickness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Elastic Modulus (E_CTB)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5000 MPa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28-day UCS Strength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4.2 MPa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Poisson's Ratio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0.25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CTS Strength Class / Grade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C3/4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CTS Layer Thickness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CTS Elastic Modulus (E_CTS)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3000 MPa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CTS Poisson's Ratio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0.25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Bituminous Cover Thickness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Granular Sub-base Thickness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Baseline Traffic (MSA)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 MSA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Baseline Subgrade CBR (%)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6 %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3. Indicative comparison against conventional flexible pavement</w:t>
      </w:r>
    </w:p>
    <w:p>
      <w:pPr>
        <w:jc w:val="left"/>
      </w:pPr>
      <w:r>
        <w:rPr>
          <w:rFonts w:ascii="Arial" w:hAnsi="Arial"/>
          <w:b w:val="0"/>
          <w:i w:val="0"/>
          <w:sz w:val="22"/>
        </w:rPr>
        <w:t>Side-by-side comparison of conventional flexible pavement catalogue composition vs. cement-stabilized pavement structure: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Conventional Flexible Design (Catalogue)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Stabilized Design (CTB/CTS)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Bituminous Concrete (BC) (BC): 40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Bituminous Cover (BC/DBM): 100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Dense Bituminous Macadam (DBM) (DBM-II): 100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Cement Treated Base (CTB) (CTB): 120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Wet Mix Macadam (WMM) (WMM): 250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Cement Treated Sub-base (CTS) (CTS): 100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Granular Sub-base (GSB) (GSB): 230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Granular Sub-base (GSB): 150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 DEPTH: 620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TOTAL DEPTH: 470 mm</w:t>
            </w:r>
          </w:p>
        </w:tc>
      </w:tr>
    </w:tbl>
    <w:p>
      <w:pPr>
        <w:jc w:val="left"/>
      </w:pPr>
      <w:r>
        <w:rPr>
          <w:rFonts w:ascii="Arial" w:hAnsi="Arial"/>
          <w:b/>
          <w:i w:val="0"/>
          <w:sz w:val="22"/>
        </w:rPr>
        <w:t>Thickness Savings: 150 mm (24.2% reduction). Note: Thickness savings are indicative comparison only, not an optimization proof.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4. Engineering Warnings &amp; Screening Remarks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Engineering screening alerts &amp; placeholders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CTB Fatigue Check (Placeholder): Fatigue cracking validation is not fully verified from empirical inputs. Complete fatigue checks require mechanistic IITPAVE strain analysis.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Engineer review required: Cement-stabilized base/sub-base designs must be verified through local material trials and mechanistic analysis.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ENGINEERING INTELLIGENCE REVIEW - Stabilized Pavement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Engineering Screening Score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65 / 100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Risk Classification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Needs engineering review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Design Compatibility Screening Alerts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Engineering compatibility screening alerts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Engineering review required: Very stiff stabilized layer 'Cement Treated Sub-base (CTS)' is placed directly over weak support 'Granular Sub-base' (150 MPa &lt; 500 MPa). Potential risk of cracking due to stiffness mismatch.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Engineering review required: Excessive modular ratio between adjacent layers (Cement Treated Sub-base (CTS) to Granular Sub-base ratio = 20.0 &gt; 10.0). Risk of high tensile strain at interface.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Engineering Review Remarks</w:t>
      </w:r>
    </w:p>
    <w:p>
      <w:pPr>
        <w:jc w:val="left"/>
      </w:pPr>
      <w:r>
        <w:rPr>
          <w:rFonts w:ascii="Arial" w:hAnsi="Arial"/>
          <w:b w:val="0"/>
          <w:i w:val="0"/>
          <w:sz w:val="22"/>
        </w:rPr>
        <w:t>• Design requires engineering review. Layer modular ratios or thicknesses deviate from typical screening limits.</w:t>
      </w:r>
    </w:p>
    <w:p>
      <w:pPr>
        <w:jc w:val="left"/>
      </w:pPr>
      <w:r>
        <w:rPr>
          <w:rFonts w:ascii="Arial" w:hAnsi="Arial"/>
          <w:b w:val="0"/>
          <w:i w:val="0"/>
          <w:sz w:val="22"/>
        </w:rPr>
        <w:t>• Review is based on static pavement guidelines. Final designs must be mechanistically validated in IITPAVE.</w:t>
      </w:r>
    </w:p>
    <w:p>
      <w:pPr>
        <w:jc w:val="left"/>
      </w:pPr>
      <w:r>
        <w:rPr>
          <w:rFonts w:ascii="Arial" w:hAnsi="Arial"/>
          <w:b w:val="0"/>
          <w:i/>
          <w:sz w:val="18"/>
        </w:rPr>
        <w:t>Disclaimer: This Engineering Intelligence Review is a decision-support screening tool. Final design acceptance requires independent review and sign-off by a qualified pavement engineer. The Engineering Screening Score is a mathematical index based on typical ranges and does not constitute final safety approval or certification.</w:t>
      </w:r>
    </w:p>
    <w:p>
      <w:pPr>
        <w:spacing w:before="40" w:after="120"/>
        <w:jc w:val="left"/>
      </w:pPr>
      <w:r>
        <w:rPr>
          <w:rFonts w:ascii="Arial" w:hAnsi="Arial"/>
          <w:i/>
          <w:color w:val="555B6E"/>
          <w:sz w:val="18"/>
        </w:rPr>
        <w:t>Disclaimer: This module is intended for structural comparison and decision-support only. Empirically suggested configurations must be verified using local material characterization, fatigue trials, and mechanistic strain validation (IITPAVE).</w:t>
      </w:r>
    </w:p>
    <w:p>
      <w:r>
        <w:br w:type="page"/>
      </w:r>
    </w:p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ENGINEERING INTELLIGENCE REVIEW</w:t>
      </w:r>
    </w:p>
    <w:p>
      <w:pPr>
        <w:jc w:val="center"/>
      </w:pPr>
      <w:r>
        <w:rPr>
          <w:rFonts w:ascii="Arial" w:hAnsi="Arial"/>
          <w:b w:val="0"/>
          <w:i/>
          <w:sz w:val="20"/>
        </w:rPr>
        <w:t>Design screening checks based on static layer modular ratios, thicknesses, and material tier compatibility.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ENGINEERING INTELLIGENCE REVIEW - Stabilized Pavement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Engineering Screening Score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65 / 100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Risk Classification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Needs engineering review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Design Compatibility Screening Alerts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Engineering compatibility screening alerts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Engineering review required: Very stiff stabilized layer 'Cement Treated Sub-base (CTS)' is placed directly over weak support 'Granular Sub-base' (150 MPa &lt; 500 MPa). Potential risk of cracking due to stiffness mismatch.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Engineering review required: Excessive modular ratio between adjacent layers (Cement Treated Sub-base (CTS) to Granular Sub-base ratio = 20.0 &gt; 10.0). Risk of high tensile strain at interface.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Engineering Review Remarks</w:t>
      </w:r>
    </w:p>
    <w:p>
      <w:pPr>
        <w:jc w:val="left"/>
      </w:pPr>
      <w:r>
        <w:rPr>
          <w:rFonts w:ascii="Arial" w:hAnsi="Arial"/>
          <w:b w:val="0"/>
          <w:i w:val="0"/>
          <w:sz w:val="22"/>
        </w:rPr>
        <w:t>• Design requires engineering review. Layer modular ratios or thicknesses deviate from typical screening limits.</w:t>
      </w:r>
    </w:p>
    <w:p>
      <w:pPr>
        <w:jc w:val="left"/>
      </w:pPr>
      <w:r>
        <w:rPr>
          <w:rFonts w:ascii="Arial" w:hAnsi="Arial"/>
          <w:b w:val="0"/>
          <w:i w:val="0"/>
          <w:sz w:val="22"/>
        </w:rPr>
        <w:t>• Review is based on static pavement guidelines. Final designs must be mechanistically validated in IITPAVE.</w:t>
      </w:r>
    </w:p>
    <w:p>
      <w:pPr>
        <w:jc w:val="left"/>
      </w:pPr>
      <w:r>
        <w:rPr>
          <w:rFonts w:ascii="Arial" w:hAnsi="Arial"/>
          <w:b w:val="0"/>
          <w:i/>
          <w:sz w:val="18"/>
        </w:rPr>
        <w:t>Disclaimer: This Engineering Intelligence Review is a decision-support screening tool. Final design acceptance requires independent review and sign-off by a qualified pavement engineer. The Engineering Screening Score is a mathematical index based on typical ranges and does not constitute final safety approval or certification.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Prepared By</w:t>
              <w:br/>
              <w:br/>
              <w:t>______________________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Approved By</w:t>
              <w:br/>
              <w:br/>
              <w:t>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