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val="0"/>
          <w:i w:val="0"/>
          <w:sz w:val="22"/>
        </w:rPr>
        <w:br/>
      </w:r>
    </w:p>
    <w:p>
      <w:pPr>
        <w:spacing w:before="160" w:after="80"/>
        <w:jc w:val="center"/>
      </w:pPr>
      <w:r>
        <w:rPr>
          <w:rFonts w:ascii="Arial" w:hAnsi="Arial"/>
          <w:b/>
          <w:color w:val="1F3A68"/>
          <w:sz w:val="28"/>
        </w:rPr>
        <w:t>ARCSTONE INFRASTRUCTURE</w:t>
      </w:r>
    </w:p>
    <w:p>
      <w:pPr>
        <w:spacing w:before="160" w:after="80"/>
        <w:jc w:val="center"/>
      </w:pPr>
      <w:r>
        <w:rPr>
          <w:rFonts w:ascii="Arial" w:hAnsi="Arial"/>
          <w:b/>
          <w:color w:val="1F3A68"/>
          <w:sz w:val="24"/>
        </w:rPr>
        <w:t>PROFESSIONAL PAVEMENT DESIGN REPORT</w:t>
      </w:r>
    </w:p>
    <w:p>
      <w:pPr>
        <w:jc w:val="left"/>
      </w:pPr>
      <w:r>
        <w:rPr>
          <w:rFonts w:ascii="Arial" w:hAnsi="Arial"/>
          <w:b w:val="0"/>
          <w:i w:val="0"/>
          <w:sz w:val="22"/>
        </w:rPr>
        <w:br/>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Project Name</w:t>
            </w:r>
          </w:p>
        </w:tc>
        <w:tc>
          <w:tcPr>
            <w:tcW w:type="dxa" w:w="4801"/>
            <w:vAlign w:val="center"/>
          </w:tcPr>
          <w:p>
            <w:pPr>
              <w:jc w:val="center"/>
            </w:pPr>
            <w:r>
              <w:rPr>
                <w:rFonts w:ascii="Arial" w:hAnsi="Arial"/>
                <w:b w:val="0"/>
                <w:sz w:val="20"/>
              </w:rPr>
              <w:t>NH-48 Flexible Pavement Preset</w:t>
            </w:r>
          </w:p>
        </w:tc>
      </w:tr>
      <w:tr>
        <w:tc>
          <w:tcPr>
            <w:tcW w:type="dxa" w:w="4801"/>
            <w:vAlign w:val="center"/>
          </w:tcPr>
          <w:p>
            <w:pPr>
              <w:jc w:val="left"/>
            </w:pPr>
            <w:r>
              <w:rPr>
                <w:rFonts w:ascii="Arial" w:hAnsi="Arial"/>
                <w:b w:val="0"/>
                <w:sz w:val="20"/>
              </w:rPr>
              <w:t>Client Name</w:t>
            </w:r>
          </w:p>
        </w:tc>
        <w:tc>
          <w:tcPr>
            <w:tcW w:type="dxa" w:w="4801"/>
            <w:vAlign w:val="center"/>
          </w:tcPr>
          <w:p>
            <w:pPr>
              <w:jc w:val="center"/>
            </w:pPr>
            <w:r>
              <w:rPr>
                <w:rFonts w:ascii="Arial" w:hAnsi="Arial"/>
                <w:b w:val="0"/>
                <w:sz w:val="20"/>
              </w:rPr>
              <w:t>Sample Highway Authority</w:t>
            </w:r>
          </w:p>
        </w:tc>
      </w:tr>
      <w:tr>
        <w:tc>
          <w:tcPr>
            <w:tcW w:type="dxa" w:w="4801"/>
            <w:vAlign w:val="center"/>
          </w:tcPr>
          <w:p>
            <w:pPr>
              <w:jc w:val="left"/>
            </w:pPr>
            <w:r>
              <w:rPr>
                <w:rFonts w:ascii="Arial" w:hAnsi="Arial"/>
                <w:b w:val="0"/>
                <w:sz w:val="20"/>
              </w:rPr>
              <w:t>Location</w:t>
            </w:r>
          </w:p>
        </w:tc>
        <w:tc>
          <w:tcPr>
            <w:tcW w:type="dxa" w:w="4801"/>
            <w:vAlign w:val="center"/>
          </w:tcPr>
          <w:p>
            <w:pPr>
              <w:jc w:val="center"/>
            </w:pPr>
            <w:r>
              <w:rPr>
                <w:rFonts w:ascii="Arial" w:hAnsi="Arial"/>
                <w:b w:val="0"/>
                <w:sz w:val="20"/>
              </w:rPr>
              <w:t>Surat, Gujarat</w:t>
            </w:r>
          </w:p>
        </w:tc>
      </w:tr>
      <w:tr>
        <w:tc>
          <w:tcPr>
            <w:tcW w:type="dxa" w:w="4801"/>
            <w:vAlign w:val="center"/>
          </w:tcPr>
          <w:p>
            <w:pPr>
              <w:jc w:val="left"/>
            </w:pPr>
            <w:r>
              <w:rPr>
                <w:rFonts w:ascii="Arial" w:hAnsi="Arial"/>
                <w:b w:val="0"/>
                <w:sz w:val="20"/>
              </w:rPr>
              <w:t>Consultant</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Report Number</w:t>
            </w:r>
          </w:p>
        </w:tc>
        <w:tc>
          <w:tcPr>
            <w:tcW w:type="dxa" w:w="4801"/>
            <w:vAlign w:val="center"/>
          </w:tcPr>
          <w:p>
            <w:pPr>
              <w:jc w:val="center"/>
            </w:pPr>
            <w:r>
              <w:rPr>
                <w:rFonts w:ascii="Arial" w:hAnsi="Arial"/>
                <w:b w:val="0"/>
                <w:sz w:val="20"/>
              </w:rPr>
              <w:t>N/A</w:t>
            </w:r>
          </w:p>
        </w:tc>
      </w:tr>
      <w:tr>
        <w:tc>
          <w:tcPr>
            <w:tcW w:type="dxa" w:w="4801"/>
            <w:vAlign w:val="center"/>
          </w:tcPr>
          <w:p>
            <w:pPr>
              <w:jc w:val="left"/>
            </w:pPr>
            <w:r>
              <w:rPr>
                <w:rFonts w:ascii="Arial" w:hAnsi="Arial"/>
                <w:b w:val="0"/>
                <w:sz w:val="20"/>
              </w:rPr>
              <w:t>Revision Number</w:t>
            </w:r>
          </w:p>
        </w:tc>
        <w:tc>
          <w:tcPr>
            <w:tcW w:type="dxa" w:w="4801"/>
            <w:vAlign w:val="center"/>
          </w:tcPr>
          <w:p>
            <w:pPr>
              <w:jc w:val="center"/>
            </w:pPr>
            <w:r>
              <w:rPr>
                <w:rFonts w:ascii="Arial" w:hAnsi="Arial"/>
                <w:b w:val="0"/>
                <w:sz w:val="20"/>
              </w:rPr>
              <w:t>R0</w:t>
            </w:r>
          </w:p>
        </w:tc>
      </w:tr>
      <w:tr>
        <w:tc>
          <w:tcPr>
            <w:tcW w:type="dxa" w:w="4801"/>
            <w:vAlign w:val="center"/>
          </w:tcPr>
          <w:p>
            <w:pPr>
              <w:jc w:val="left"/>
            </w:pPr>
            <w:r>
              <w:rPr>
                <w:rFonts w:ascii="Arial" w:hAnsi="Arial"/>
                <w:b w:val="0"/>
                <w:sz w:val="20"/>
              </w:rPr>
              <w:t>Submission Date</w:t>
            </w:r>
          </w:p>
        </w:tc>
        <w:tc>
          <w:tcPr>
            <w:tcW w:type="dxa" w:w="4801"/>
            <w:vAlign w:val="center"/>
          </w:tcPr>
          <w:p>
            <w:pPr>
              <w:jc w:val="center"/>
            </w:pPr>
            <w:r>
              <w:rPr>
                <w:rFonts w:ascii="Arial" w:hAnsi="Arial"/>
                <w:b w:val="0"/>
                <w:sz w:val="20"/>
              </w:rPr>
              <w:t>29-Jun-2026</w:t>
            </w:r>
          </w:p>
        </w:tc>
      </w:tr>
    </w:tbl>
    <w:p>
      <w:pPr>
        <w:jc w:val="left"/>
      </w:pPr>
      <w:r>
        <w:rPr>
          <w:rFonts w:ascii="Arial" w:hAnsi="Arial"/>
          <w:b w:val="0"/>
          <w:i w:val="0"/>
          <w:sz w:val="22"/>
        </w:rPr>
        <w:br/>
      </w:r>
    </w:p>
    <w:p>
      <w:pPr>
        <w:jc w:val="center"/>
      </w:pPr>
      <w:r>
        <w:rPr>
          <w:rFonts w:ascii="Arial" w:hAnsi="Arial"/>
          <w:b w:val="0"/>
          <w:i w:val="0"/>
          <w:sz w:val="20"/>
        </w:rPr>
        <w:t>========================================================================</w:t>
      </w:r>
    </w:p>
    <w:p>
      <w:pPr>
        <w:jc w:val="center"/>
      </w:pPr>
      <w:r>
        <w:rPr>
          <w:rFonts w:ascii="Arial" w:hAnsi="Arial"/>
          <w:b/>
          <w:i w:val="0"/>
          <w:sz w:val="20"/>
        </w:rPr>
        <w:t>Engineering Decision-Support Report — Final approval/sign-off by qualified pavement engineer required.</w:t>
      </w:r>
    </w:p>
    <w:p>
      <w:pPr>
        <w:jc w:val="center"/>
      </w:pPr>
      <w:r>
        <w:rPr>
          <w:rFonts w:ascii="Arial" w:hAnsi="Arial"/>
          <w:b w:val="0"/>
          <w:i w:val="0"/>
          <w:sz w:val="20"/>
        </w:rPr>
        <w:t>========================================================================</w:t>
      </w:r>
    </w:p>
    <w:p>
      <w:r>
        <w:br w:type="page"/>
      </w:r>
    </w:p>
    <w:p>
      <w:pPr>
        <w:spacing w:before="160" w:after="80"/>
        <w:jc w:val="left"/>
      </w:pPr>
      <w:r>
        <w:rPr>
          <w:rFonts w:ascii="Arial" w:hAnsi="Arial"/>
          <w:b/>
          <w:color w:val="1F3A68"/>
          <w:sz w:val="28"/>
        </w:rPr>
        <w:t>DOCUMENT CONTROL SHEET</w:t>
      </w:r>
    </w:p>
    <w:p>
      <w:pPr>
        <w:jc w:val="left"/>
      </w:pPr>
      <w:r>
        <w:rPr>
          <w:rFonts w:ascii="Arial" w:hAnsi="Arial"/>
          <w:b w:val="0"/>
          <w:i w:val="0"/>
          <w:sz w:val="22"/>
        </w:rPr>
        <w:br/>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Prepared By</w:t>
            </w:r>
          </w:p>
        </w:tc>
        <w:tc>
          <w:tcPr>
            <w:tcW w:type="dxa" w:w="4801"/>
            <w:vAlign w:val="center"/>
          </w:tcPr>
          <w:p>
            <w:pPr>
              <w:jc w:val="center"/>
            </w:pPr>
            <w:r>
              <w:rPr>
                <w:rFonts w:ascii="Arial" w:hAnsi="Arial"/>
                <w:b w:val="0"/>
                <w:sz w:val="20"/>
              </w:rPr>
              <w:t>QA Validator</w:t>
            </w:r>
          </w:p>
        </w:tc>
      </w:tr>
      <w:tr>
        <w:tc>
          <w:tcPr>
            <w:tcW w:type="dxa" w:w="4801"/>
            <w:vAlign w:val="center"/>
          </w:tcPr>
          <w:p>
            <w:pPr>
              <w:jc w:val="left"/>
            </w:pPr>
            <w:r>
              <w:rPr>
                <w:rFonts w:ascii="Arial" w:hAnsi="Arial"/>
                <w:b w:val="0"/>
                <w:sz w:val="20"/>
              </w:rPr>
              <w:t>Checked By</w:t>
            </w:r>
          </w:p>
        </w:tc>
        <w:tc>
          <w:tcPr>
            <w:tcW w:type="dxa" w:w="4801"/>
            <w:vAlign w:val="center"/>
          </w:tcPr>
          <w:p>
            <w:pPr>
              <w:jc w:val="center"/>
            </w:pPr>
            <w:r>
              <w:rPr>
                <w:rFonts w:ascii="Arial" w:hAnsi="Arial"/>
                <w:b w:val="0"/>
                <w:sz w:val="20"/>
              </w:rPr>
              <w:t>N/A</w:t>
            </w:r>
          </w:p>
        </w:tc>
      </w:tr>
      <w:tr>
        <w:tc>
          <w:tcPr>
            <w:tcW w:type="dxa" w:w="4801"/>
            <w:vAlign w:val="center"/>
          </w:tcPr>
          <w:p>
            <w:pPr>
              <w:jc w:val="left"/>
            </w:pPr>
            <w:r>
              <w:rPr>
                <w:rFonts w:ascii="Arial" w:hAnsi="Arial"/>
                <w:b w:val="0"/>
                <w:sz w:val="20"/>
              </w:rPr>
              <w:t>Approved By</w:t>
            </w:r>
          </w:p>
        </w:tc>
        <w:tc>
          <w:tcPr>
            <w:tcW w:type="dxa" w:w="4801"/>
            <w:vAlign w:val="center"/>
          </w:tcPr>
          <w:p>
            <w:pPr>
              <w:jc w:val="center"/>
            </w:pPr>
            <w:r>
              <w:rPr>
                <w:rFonts w:ascii="Arial" w:hAnsi="Arial"/>
                <w:b w:val="0"/>
                <w:sz w:val="20"/>
              </w:rPr>
              <w:t>Qualified Reviewing Engineer / Client Authority</w:t>
            </w:r>
          </w:p>
        </w:tc>
      </w:tr>
    </w:tbl>
    <w:p>
      <w:pPr>
        <w:jc w:val="left"/>
      </w:pPr>
      <w:r>
        <w:rPr>
          <w:rFonts w:ascii="Arial" w:hAnsi="Arial"/>
          <w:b w:val="0"/>
          <w:i w:val="0"/>
          <w:sz w:val="22"/>
        </w:rPr>
        <w:br/>
        <w:br/>
      </w:r>
    </w:p>
    <w:p>
      <w:pPr>
        <w:spacing w:before="160" w:after="80"/>
        <w:jc w:val="left"/>
      </w:pPr>
      <w:r>
        <w:rPr>
          <w:rFonts w:ascii="Arial" w:hAnsi="Arial"/>
          <w:b/>
          <w:color w:val="1F3A68"/>
          <w:sz w:val="24"/>
        </w:rPr>
        <w:t>Revision History Table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tblGrid>
      <w:tr>
        <w:tc>
          <w:tcPr>
            <w:tcW w:type="dxa" w:w="1600"/>
            <w:shd w:val="clear" w:color="auto" w:fill="1F3A68"/>
            <w:vAlign w:val="center"/>
          </w:tcPr>
          <w:p>
            <w:pPr>
              <w:jc w:val="center"/>
            </w:pPr>
            <w:r>
              <w:rPr>
                <w:rFonts w:ascii="Arial" w:hAnsi="Arial"/>
                <w:b/>
                <w:color w:val="FFFFFF"/>
                <w:sz w:val="20"/>
              </w:rPr>
              <w:t>Rev</w:t>
            </w:r>
          </w:p>
        </w:tc>
        <w:tc>
          <w:tcPr>
            <w:tcW w:type="dxa" w:w="1600"/>
            <w:shd w:val="clear" w:color="auto" w:fill="1F3A68"/>
            <w:vAlign w:val="center"/>
          </w:tcPr>
          <w:p>
            <w:pPr>
              <w:jc w:val="center"/>
            </w:pPr>
            <w:r>
              <w:rPr>
                <w:rFonts w:ascii="Arial" w:hAnsi="Arial"/>
                <w:b/>
                <w:color w:val="FFFFFF"/>
                <w:sz w:val="20"/>
              </w:rPr>
              <w:t>Date</w:t>
            </w:r>
          </w:p>
        </w:tc>
        <w:tc>
          <w:tcPr>
            <w:tcW w:type="dxa" w:w="1600"/>
            <w:shd w:val="clear" w:color="auto" w:fill="1F3A68"/>
            <w:vAlign w:val="center"/>
          </w:tcPr>
          <w:p>
            <w:pPr>
              <w:jc w:val="center"/>
            </w:pPr>
            <w:r>
              <w:rPr>
                <w:rFonts w:ascii="Arial" w:hAnsi="Arial"/>
                <w:b/>
                <w:color w:val="FFFFFF"/>
                <w:sz w:val="20"/>
              </w:rPr>
              <w:t>Engineer</w:t>
            </w:r>
          </w:p>
        </w:tc>
        <w:tc>
          <w:tcPr>
            <w:tcW w:type="dxa" w:w="1600"/>
            <w:shd w:val="clear" w:color="auto" w:fill="1F3A68"/>
            <w:vAlign w:val="center"/>
          </w:tcPr>
          <w:p>
            <w:pPr>
              <w:jc w:val="center"/>
            </w:pPr>
            <w:r>
              <w:rPr>
                <w:rFonts w:ascii="Arial" w:hAnsi="Arial"/>
                <w:b/>
                <w:color w:val="FFFFFF"/>
                <w:sz w:val="20"/>
              </w:rPr>
              <w:t>Description of Change</w:t>
            </w:r>
          </w:p>
        </w:tc>
        <w:tc>
          <w:tcPr>
            <w:tcW w:type="dxa" w:w="1600"/>
            <w:shd w:val="clear" w:color="auto" w:fill="1F3A68"/>
            <w:vAlign w:val="center"/>
          </w:tcPr>
          <w:p>
            <w:pPr>
              <w:jc w:val="center"/>
            </w:pPr>
            <w:r>
              <w:rPr>
                <w:rFonts w:ascii="Arial" w:hAnsi="Arial"/>
                <w:b/>
                <w:color w:val="FFFFFF"/>
                <w:sz w:val="20"/>
              </w:rPr>
              <w:t>Validation Status</w:t>
            </w:r>
          </w:p>
        </w:tc>
        <w:tc>
          <w:tcPr>
            <w:tcW w:type="dxa" w:w="1600"/>
            <w:shd w:val="clear" w:color="auto" w:fill="1F3A68"/>
            <w:vAlign w:val="center"/>
          </w:tcPr>
          <w:p>
            <w:pPr>
              <w:jc w:val="center"/>
            </w:pPr>
            <w:r>
              <w:rPr>
                <w:rFonts w:ascii="Arial" w:hAnsi="Arial"/>
                <w:b/>
                <w:color w:val="FFFFFF"/>
                <w:sz w:val="20"/>
              </w:rPr>
              <w:t>Generated Files</w:t>
            </w:r>
          </w:p>
        </w:tc>
      </w:tr>
      <w:tr>
        <w:tc>
          <w:tcPr>
            <w:tcW w:type="dxa" w:w="1600"/>
            <w:vAlign w:val="center"/>
          </w:tcPr>
          <w:p>
            <w:pPr>
              <w:jc w:val="left"/>
            </w:pPr>
            <w:r>
              <w:rPr>
                <w:rFonts w:ascii="Arial" w:hAnsi="Arial"/>
                <w:b w:val="0"/>
                <w:sz w:val="20"/>
              </w:rPr>
              <w:t>R0</w:t>
            </w:r>
          </w:p>
        </w:tc>
        <w:tc>
          <w:tcPr>
            <w:tcW w:type="dxa" w:w="1600"/>
            <w:vAlign w:val="center"/>
          </w:tcPr>
          <w:p>
            <w:pPr>
              <w:jc w:val="center"/>
            </w:pPr>
            <w:r>
              <w:rPr>
                <w:rFonts w:ascii="Arial" w:hAnsi="Arial"/>
                <w:b w:val="0"/>
                <w:sz w:val="20"/>
              </w:rPr>
              <w:t>2026-06-29</w:t>
            </w:r>
          </w:p>
        </w:tc>
        <w:tc>
          <w:tcPr>
            <w:tcW w:type="dxa" w:w="1600"/>
            <w:vAlign w:val="center"/>
          </w:tcPr>
          <w:p>
            <w:pPr>
              <w:jc w:val="center"/>
            </w:pPr>
            <w:r>
              <w:rPr>
                <w:rFonts w:ascii="Arial" w:hAnsi="Arial"/>
                <w:b w:val="0"/>
                <w:sz w:val="20"/>
              </w:rPr>
              <w:t>Pavement Consultant Ltd.</w:t>
            </w:r>
          </w:p>
        </w:tc>
        <w:tc>
          <w:tcPr>
            <w:tcW w:type="dxa" w:w="1600"/>
            <w:vAlign w:val="center"/>
          </w:tcPr>
          <w:p>
            <w:pPr>
              <w:jc w:val="center"/>
            </w:pPr>
            <w:r>
              <w:rPr>
                <w:rFonts w:ascii="Arial" w:hAnsi="Arial"/>
                <w:b w:val="0"/>
                <w:sz w:val="20"/>
              </w:rPr>
              <w:t>Initial Design Submission</w:t>
            </w:r>
          </w:p>
        </w:tc>
        <w:tc>
          <w:tcPr>
            <w:tcW w:type="dxa" w:w="1600"/>
            <w:vAlign w:val="center"/>
          </w:tcPr>
          <w:p>
            <w:pPr>
              <w:jc w:val="center"/>
            </w:pPr>
            <w:r>
              <w:rPr>
                <w:rFonts w:ascii="Arial" w:hAnsi="Arial"/>
                <w:b w:val="0"/>
                <w:sz w:val="20"/>
              </w:rPr>
              <w:t>Not Audited</w:t>
            </w:r>
          </w:p>
        </w:tc>
        <w:tc>
          <w:tcPr>
            <w:tcW w:type="dxa" w:w="1600"/>
            <w:vAlign w:val="center"/>
          </w:tcPr>
          <w:p>
            <w:pPr>
              <w:jc w:val="center"/>
            </w:pPr>
            <w:r>
              <w:rPr>
                <w:rFonts w:ascii="Arial" w:hAnsi="Arial"/>
                <w:b w:val="0"/>
                <w:sz w:val="20"/>
              </w:rPr>
              <w:t>None</w:t>
            </w:r>
          </w:p>
        </w:tc>
      </w:tr>
    </w:tbl>
    <w:p>
      <w:r>
        <w:br w:type="page"/>
      </w:r>
    </w:p>
    <w:p>
      <w:pPr>
        <w:spacing w:before="160" w:after="80"/>
        <w:jc w:val="left"/>
      </w:pPr>
      <w:r>
        <w:rPr>
          <w:rFonts w:ascii="Arial" w:hAnsi="Arial"/>
          <w:b/>
          <w:color w:val="1F3A68"/>
          <w:sz w:val="24"/>
        </w:rPr>
        <w:t>Contents of this Report</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Section / Appendix</w:t>
            </w:r>
          </w:p>
        </w:tc>
        <w:tc>
          <w:tcPr>
            <w:tcW w:type="dxa" w:w="4801"/>
            <w:shd w:val="clear" w:color="auto" w:fill="1F3A68"/>
            <w:vAlign w:val="center"/>
          </w:tcPr>
          <w:p>
            <w:pPr>
              <w:jc w:val="center"/>
            </w:pPr>
            <w:r>
              <w:rPr>
                <w:rFonts w:ascii="Arial" w:hAnsi="Arial"/>
                <w:b/>
                <w:color w:val="FFFFFF"/>
                <w:sz w:val="20"/>
              </w:rPr>
              <w:t>Governing Reference / Description</w:t>
            </w:r>
          </w:p>
        </w:tc>
      </w:tr>
      <w:tr>
        <w:tc>
          <w:tcPr>
            <w:tcW w:type="dxa" w:w="4801"/>
            <w:vAlign w:val="center"/>
          </w:tcPr>
          <w:p>
            <w:pPr>
              <w:jc w:val="left"/>
            </w:pPr>
            <w:r>
              <w:rPr>
                <w:rFonts w:ascii="Arial" w:hAnsi="Arial"/>
                <w:b w:val="0"/>
                <w:sz w:val="20"/>
              </w:rPr>
              <w:t>Executive Summary</w:t>
            </w:r>
          </w:p>
        </w:tc>
        <w:tc>
          <w:tcPr>
            <w:tcW w:type="dxa" w:w="4801"/>
            <w:vAlign w:val="center"/>
          </w:tcPr>
          <w:p>
            <w:pPr>
              <w:jc w:val="center"/>
            </w:pPr>
            <w:r>
              <w:rPr>
                <w:rFonts w:ascii="Arial" w:hAnsi="Arial"/>
                <w:b w:val="0"/>
                <w:sz w:val="20"/>
              </w:rPr>
              <w:t>Project summary and engineering disclaimer</w:t>
            </w:r>
          </w:p>
        </w:tc>
      </w:tr>
      <w:tr>
        <w:tc>
          <w:tcPr>
            <w:tcW w:type="dxa" w:w="4801"/>
            <w:vAlign w:val="center"/>
          </w:tcPr>
          <w:p>
            <w:pPr>
              <w:jc w:val="left"/>
            </w:pPr>
            <w:r>
              <w:rPr>
                <w:rFonts w:ascii="Arial" w:hAnsi="Arial"/>
                <w:b w:val="0"/>
                <w:sz w:val="20"/>
              </w:rPr>
              <w:t>Appendix A: Traffic Calculation</w:t>
            </w:r>
          </w:p>
        </w:tc>
        <w:tc>
          <w:tcPr>
            <w:tcW w:type="dxa" w:w="4801"/>
            <w:vAlign w:val="center"/>
          </w:tcPr>
          <w:p>
            <w:pPr>
              <w:jc w:val="center"/>
            </w:pPr>
            <w:r>
              <w:rPr>
                <w:rFonts w:ascii="Arial" w:hAnsi="Arial"/>
                <w:b w:val="0"/>
                <w:sz w:val="20"/>
              </w:rPr>
              <w:t>Commercial traffic projection and MSA calculation</w:t>
            </w:r>
          </w:p>
        </w:tc>
      </w:tr>
      <w:tr>
        <w:tc>
          <w:tcPr>
            <w:tcW w:type="dxa" w:w="4801"/>
            <w:vAlign w:val="center"/>
          </w:tcPr>
          <w:p>
            <w:pPr>
              <w:jc w:val="left"/>
            </w:pPr>
            <w:r>
              <w:rPr>
                <w:rFonts w:ascii="Arial" w:hAnsi="Arial"/>
                <w:b w:val="0"/>
                <w:sz w:val="20"/>
              </w:rPr>
              <w:t>Appendix B: Subgrade Evaluation</w:t>
            </w:r>
          </w:p>
        </w:tc>
        <w:tc>
          <w:tcPr>
            <w:tcW w:type="dxa" w:w="4801"/>
            <w:vAlign w:val="center"/>
          </w:tcPr>
          <w:p>
            <w:pPr>
              <w:jc w:val="center"/>
            </w:pPr>
            <w:r>
              <w:rPr>
                <w:rFonts w:ascii="Arial" w:hAnsi="Arial"/>
                <w:b w:val="0"/>
                <w:sz w:val="20"/>
              </w:rPr>
              <w:t>Subgrade CBR and Resilient Modulus (Mr) details</w:t>
            </w:r>
          </w:p>
        </w:tc>
      </w:tr>
      <w:tr>
        <w:tc>
          <w:tcPr>
            <w:tcW w:type="dxa" w:w="4801"/>
            <w:vAlign w:val="center"/>
          </w:tcPr>
          <w:p>
            <w:pPr>
              <w:jc w:val="left"/>
            </w:pPr>
            <w:r>
              <w:rPr>
                <w:rFonts w:ascii="Arial" w:hAnsi="Arial"/>
                <w:b w:val="0"/>
                <w:sz w:val="20"/>
              </w:rPr>
              <w:t>Appendix C: Pavement Design Summary</w:t>
            </w:r>
          </w:p>
        </w:tc>
        <w:tc>
          <w:tcPr>
            <w:tcW w:type="dxa" w:w="4801"/>
            <w:vAlign w:val="center"/>
          </w:tcPr>
          <w:p>
            <w:pPr>
              <w:jc w:val="center"/>
            </w:pPr>
            <w:r>
              <w:rPr>
                <w:rFonts w:ascii="Arial" w:hAnsi="Arial"/>
                <w:b w:val="0"/>
                <w:sz w:val="20"/>
              </w:rPr>
              <w:t>Empirical structural design layers &amp; alternative comparison</w:t>
            </w:r>
          </w:p>
        </w:tc>
      </w:tr>
      <w:tr>
        <w:tc>
          <w:tcPr>
            <w:tcW w:type="dxa" w:w="4801"/>
            <w:vAlign w:val="center"/>
          </w:tcPr>
          <w:p>
            <w:pPr>
              <w:jc w:val="left"/>
            </w:pPr>
            <w:r>
              <w:rPr>
                <w:rFonts w:ascii="Arial" w:hAnsi="Arial"/>
                <w:b w:val="0"/>
                <w:sz w:val="20"/>
              </w:rPr>
              <w:t>Appendix D: IITPAVE Verification</w:t>
            </w:r>
          </w:p>
        </w:tc>
        <w:tc>
          <w:tcPr>
            <w:tcW w:type="dxa" w:w="4801"/>
            <w:vAlign w:val="center"/>
          </w:tcPr>
          <w:p>
            <w:pPr>
              <w:jc w:val="center"/>
            </w:pPr>
            <w:r>
              <w:rPr>
                <w:rFonts w:ascii="Arial" w:hAnsi="Arial"/>
                <w:b w:val="0"/>
                <w:sz w:val="20"/>
              </w:rPr>
              <w:t>Linear elastic mechanistic strain checks and life verdicts</w:t>
            </w:r>
          </w:p>
        </w:tc>
      </w:tr>
      <w:tr>
        <w:tc>
          <w:tcPr>
            <w:tcW w:type="dxa" w:w="4801"/>
            <w:vAlign w:val="center"/>
          </w:tcPr>
          <w:p>
            <w:pPr>
              <w:jc w:val="left"/>
            </w:pPr>
            <w:r>
              <w:rPr>
                <w:rFonts w:ascii="Arial" w:hAnsi="Arial"/>
                <w:b w:val="0"/>
                <w:sz w:val="20"/>
              </w:rPr>
              <w:t>Appendix E: Mix Design</w:t>
            </w:r>
          </w:p>
        </w:tc>
        <w:tc>
          <w:tcPr>
            <w:tcW w:type="dxa" w:w="4801"/>
            <w:vAlign w:val="center"/>
          </w:tcPr>
          <w:p>
            <w:pPr>
              <w:jc w:val="center"/>
            </w:pPr>
            <w:r>
              <w:rPr>
                <w:rFonts w:ascii="Arial" w:hAnsi="Arial"/>
                <w:b w:val="0"/>
                <w:sz w:val="20"/>
              </w:rPr>
              <w:t>Optimum Binder Content &amp; companion mix report reference</w:t>
            </w:r>
          </w:p>
        </w:tc>
      </w:tr>
      <w:tr>
        <w:tc>
          <w:tcPr>
            <w:tcW w:type="dxa" w:w="4801"/>
            <w:vAlign w:val="center"/>
          </w:tcPr>
          <w:p>
            <w:pPr>
              <w:jc w:val="left"/>
            </w:pPr>
            <w:r>
              <w:rPr>
                <w:rFonts w:ascii="Arial" w:hAnsi="Arial"/>
                <w:b w:val="0"/>
                <w:sz w:val="20"/>
              </w:rPr>
              <w:t>Appendix F: BOQ &amp; Cost Estimate</w:t>
            </w:r>
          </w:p>
        </w:tc>
        <w:tc>
          <w:tcPr>
            <w:tcW w:type="dxa" w:w="4801"/>
            <w:vAlign w:val="center"/>
          </w:tcPr>
          <w:p>
            <w:pPr>
              <w:jc w:val="center"/>
            </w:pPr>
            <w:r>
              <w:rPr>
                <w:rFonts w:ascii="Arial" w:hAnsi="Arial"/>
                <w:b w:val="0"/>
                <w:sz w:val="20"/>
              </w:rPr>
              <w:t>Preliminary material quantities &amp; cost estimate summary</w:t>
            </w:r>
          </w:p>
        </w:tc>
      </w:tr>
      <w:tr>
        <w:tc>
          <w:tcPr>
            <w:tcW w:type="dxa" w:w="4801"/>
            <w:vAlign w:val="center"/>
          </w:tcPr>
          <w:p>
            <w:pPr>
              <w:jc w:val="left"/>
            </w:pPr>
            <w:r>
              <w:rPr>
                <w:rFonts w:ascii="Arial" w:hAnsi="Arial"/>
                <w:b w:val="0"/>
                <w:sz w:val="20"/>
              </w:rPr>
              <w:t>Appendix G: Expert Audit Report</w:t>
            </w:r>
          </w:p>
        </w:tc>
        <w:tc>
          <w:tcPr>
            <w:tcW w:type="dxa" w:w="4801"/>
            <w:vAlign w:val="center"/>
          </w:tcPr>
          <w:p>
            <w:pPr>
              <w:jc w:val="center"/>
            </w:pPr>
            <w:r>
              <w:rPr>
                <w:rFonts w:ascii="Arial" w:hAnsi="Arial"/>
                <w:b w:val="0"/>
                <w:sz w:val="20"/>
              </w:rPr>
              <w:t>Consultant design validation suitabilty score &amp; findings</w:t>
            </w:r>
          </w:p>
        </w:tc>
      </w:tr>
      <w:tr>
        <w:tc>
          <w:tcPr>
            <w:tcW w:type="dxa" w:w="4801"/>
            <w:vAlign w:val="center"/>
          </w:tcPr>
          <w:p>
            <w:pPr>
              <w:jc w:val="left"/>
            </w:pPr>
            <w:r>
              <w:rPr>
                <w:rFonts w:ascii="Arial" w:hAnsi="Arial"/>
                <w:b w:val="0"/>
                <w:sz w:val="20"/>
              </w:rPr>
              <w:t>Assumptions Sheet</w:t>
            </w:r>
          </w:p>
        </w:tc>
        <w:tc>
          <w:tcPr>
            <w:tcW w:type="dxa" w:w="4801"/>
            <w:vAlign w:val="center"/>
          </w:tcPr>
          <w:p>
            <w:pPr>
              <w:jc w:val="center"/>
            </w:pPr>
            <w:r>
              <w:rPr>
                <w:rFonts w:ascii="Arial" w:hAnsi="Arial"/>
                <w:b w:val="0"/>
                <w:sz w:val="20"/>
              </w:rPr>
              <w:t>Poisson's ratios, moduli, and growth presets</w:t>
            </w:r>
          </w:p>
        </w:tc>
      </w:tr>
      <w:tr>
        <w:tc>
          <w:tcPr>
            <w:tcW w:type="dxa" w:w="4801"/>
            <w:vAlign w:val="center"/>
          </w:tcPr>
          <w:p>
            <w:pPr>
              <w:jc w:val="left"/>
            </w:pPr>
            <w:r>
              <w:rPr>
                <w:rFonts w:ascii="Arial" w:hAnsi="Arial"/>
                <w:b w:val="0"/>
                <w:sz w:val="20"/>
              </w:rPr>
              <w:t>Limitations of the Report</w:t>
            </w:r>
          </w:p>
        </w:tc>
        <w:tc>
          <w:tcPr>
            <w:tcW w:type="dxa" w:w="4801"/>
            <w:vAlign w:val="center"/>
          </w:tcPr>
          <w:p>
            <w:pPr>
              <w:jc w:val="center"/>
            </w:pPr>
            <w:r>
              <w:rPr>
                <w:rFonts w:ascii="Arial" w:hAnsi="Arial"/>
                <w:b w:val="0"/>
                <w:sz w:val="20"/>
              </w:rPr>
              <w:t>Engineering screening disclaimers</w:t>
            </w:r>
          </w:p>
        </w:tc>
      </w:tr>
      <w:tr>
        <w:tc>
          <w:tcPr>
            <w:tcW w:type="dxa" w:w="4801"/>
            <w:vAlign w:val="center"/>
          </w:tcPr>
          <w:p>
            <w:pPr>
              <w:jc w:val="left"/>
            </w:pPr>
            <w:r>
              <w:rPr>
                <w:rFonts w:ascii="Arial" w:hAnsi="Arial"/>
                <w:b w:val="0"/>
                <w:sz w:val="20"/>
              </w:rPr>
              <w:t>Engineer Review Checklist</w:t>
            </w:r>
          </w:p>
        </w:tc>
        <w:tc>
          <w:tcPr>
            <w:tcW w:type="dxa" w:w="4801"/>
            <w:vAlign w:val="center"/>
          </w:tcPr>
          <w:p>
            <w:pPr>
              <w:jc w:val="center"/>
            </w:pPr>
            <w:r>
              <w:rPr>
                <w:rFonts w:ascii="Arial" w:hAnsi="Arial"/>
                <w:b w:val="0"/>
                <w:sz w:val="20"/>
              </w:rPr>
              <w:t>Checklist verification list</w:t>
            </w:r>
          </w:p>
        </w:tc>
      </w:tr>
      <w:tr>
        <w:tc>
          <w:tcPr>
            <w:tcW w:type="dxa" w:w="4801"/>
            <w:vAlign w:val="center"/>
          </w:tcPr>
          <w:p>
            <w:pPr>
              <w:jc w:val="left"/>
            </w:pPr>
            <w:r>
              <w:rPr>
                <w:rFonts w:ascii="Arial" w:hAnsi="Arial"/>
                <w:b w:val="0"/>
                <w:sz w:val="20"/>
              </w:rPr>
              <w:t>Engineering Sign-Off and Seal</w:t>
            </w:r>
          </w:p>
        </w:tc>
        <w:tc>
          <w:tcPr>
            <w:tcW w:type="dxa" w:w="4801"/>
            <w:vAlign w:val="center"/>
          </w:tcPr>
          <w:p>
            <w:pPr>
              <w:jc w:val="center"/>
            </w:pPr>
            <w:r>
              <w:rPr>
                <w:rFonts w:ascii="Arial" w:hAnsi="Arial"/>
                <w:b w:val="0"/>
                <w:sz w:val="20"/>
              </w:rPr>
              <w:t>Reviewer signatures</w:t>
            </w:r>
          </w:p>
        </w:tc>
      </w:tr>
    </w:tbl>
    <w:p>
      <w:r>
        <w:br w:type="page"/>
      </w:r>
    </w:p>
    <w:p>
      <w:pPr>
        <w:spacing w:before="160" w:after="80"/>
        <w:jc w:val="left"/>
      </w:pPr>
      <w:r>
        <w:rPr>
          <w:rFonts w:ascii="Arial" w:hAnsi="Arial"/>
          <w:b/>
          <w:color w:val="1F3A68"/>
          <w:sz w:val="28"/>
        </w:rPr>
        <w:t>EXECUTIVE SUMMARY</w:t>
      </w:r>
    </w:p>
    <w:p>
      <w:pPr>
        <w:jc w:val="left"/>
      </w:pPr>
      <w:r>
        <w:rPr>
          <w:rFonts w:ascii="Arial" w:hAnsi="Arial"/>
          <w:b w:val="0"/>
          <w:i w:val="0"/>
          <w:sz w:val="22"/>
        </w:rPr>
        <w:t>The key pavement design parameters and project outcomes are summarized in the table below:</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Pavement Metric</w:t>
            </w:r>
          </w:p>
        </w:tc>
        <w:tc>
          <w:tcPr>
            <w:tcW w:type="dxa" w:w="4801"/>
            <w:shd w:val="clear" w:color="auto" w:fill="1F3A68"/>
            <w:vAlign w:val="center"/>
          </w:tcPr>
          <w:p>
            <w:pPr>
              <w:jc w:val="center"/>
            </w:pPr>
            <w:r>
              <w:rPr>
                <w:rFonts w:ascii="Arial" w:hAnsi="Arial"/>
                <w:b/>
                <w:color w:val="FFFFFF"/>
                <w:sz w:val="20"/>
              </w:rPr>
              <w:t>Design Value / Outcome</w:t>
            </w:r>
          </w:p>
        </w:tc>
      </w:tr>
      <w:tr>
        <w:tc>
          <w:tcPr>
            <w:tcW w:type="dxa" w:w="4801"/>
            <w:vAlign w:val="center"/>
          </w:tcPr>
          <w:p>
            <w:pPr>
              <w:jc w:val="left"/>
            </w:pPr>
            <w:r>
              <w:rPr>
                <w:rFonts w:ascii="Arial" w:hAnsi="Arial"/>
                <w:b w:val="0"/>
                <w:sz w:val="20"/>
              </w:rPr>
              <w:t>Road Type / Category</w:t>
            </w:r>
          </w:p>
        </w:tc>
        <w:tc>
          <w:tcPr>
            <w:tcW w:type="dxa" w:w="4801"/>
            <w:vAlign w:val="center"/>
          </w:tcPr>
          <w:p>
            <w:pPr>
              <w:jc w:val="center"/>
            </w:pPr>
            <w:r>
              <w:rPr>
                <w:rFonts w:ascii="Arial" w:hAnsi="Arial"/>
                <w:b w:val="0"/>
                <w:sz w:val="20"/>
              </w:rPr>
              <w:t>National Highway</w:t>
            </w:r>
          </w:p>
        </w:tc>
      </w:tr>
      <w:tr>
        <w:tc>
          <w:tcPr>
            <w:tcW w:type="dxa" w:w="4801"/>
            <w:vAlign w:val="center"/>
          </w:tcPr>
          <w:p>
            <w:pPr>
              <w:jc w:val="left"/>
            </w:pPr>
            <w:r>
              <w:rPr>
                <w:rFonts w:ascii="Arial" w:hAnsi="Arial"/>
                <w:b w:val="0"/>
                <w:sz w:val="20"/>
              </w:rPr>
              <w:t>Design Traffic</w:t>
            </w:r>
          </w:p>
        </w:tc>
        <w:tc>
          <w:tcPr>
            <w:tcW w:type="dxa" w:w="4801"/>
            <w:vAlign w:val="center"/>
          </w:tcPr>
          <w:p>
            <w:pPr>
              <w:jc w:val="center"/>
            </w:pPr>
            <w:r>
              <w:rPr>
                <w:rFonts w:ascii="Arial" w:hAnsi="Arial"/>
                <w:b w:val="0"/>
                <w:sz w:val="20"/>
              </w:rPr>
              <w:t>183.30 MSA</w:t>
            </w:r>
          </w:p>
        </w:tc>
      </w:tr>
      <w:tr>
        <w:tc>
          <w:tcPr>
            <w:tcW w:type="dxa" w:w="4801"/>
            <w:vAlign w:val="center"/>
          </w:tcPr>
          <w:p>
            <w:pPr>
              <w:jc w:val="left"/>
            </w:pPr>
            <w:r>
              <w:rPr>
                <w:rFonts w:ascii="Arial" w:hAnsi="Arial"/>
                <w:b w:val="0"/>
                <w:sz w:val="20"/>
              </w:rPr>
              <w:t>Subgrade CBR</w:t>
            </w:r>
          </w:p>
        </w:tc>
        <w:tc>
          <w:tcPr>
            <w:tcW w:type="dxa" w:w="4801"/>
            <w:vAlign w:val="center"/>
          </w:tcPr>
          <w:p>
            <w:pPr>
              <w:jc w:val="center"/>
            </w:pPr>
            <w:r>
              <w:rPr>
                <w:rFonts w:ascii="Arial" w:hAnsi="Arial"/>
                <w:b w:val="0"/>
                <w:sz w:val="20"/>
              </w:rPr>
              <w:t>6.0 %</w:t>
            </w:r>
          </w:p>
        </w:tc>
      </w:tr>
      <w:tr>
        <w:tc>
          <w:tcPr>
            <w:tcW w:type="dxa" w:w="4801"/>
            <w:vAlign w:val="center"/>
          </w:tcPr>
          <w:p>
            <w:pPr>
              <w:jc w:val="left"/>
            </w:pPr>
            <w:r>
              <w:rPr>
                <w:rFonts w:ascii="Arial" w:hAnsi="Arial"/>
                <w:b w:val="0"/>
                <w:sz w:val="20"/>
              </w:rPr>
              <w:t>Selected Pavement Option</w:t>
            </w:r>
          </w:p>
        </w:tc>
        <w:tc>
          <w:tcPr>
            <w:tcW w:type="dxa" w:w="4801"/>
            <w:vAlign w:val="center"/>
          </w:tcPr>
          <w:p>
            <w:pPr>
              <w:jc w:val="center"/>
            </w:pPr>
            <w:r>
              <w:rPr>
                <w:rFonts w:ascii="Arial" w:hAnsi="Arial"/>
                <w:b w:val="0"/>
                <w:sz w:val="20"/>
              </w:rPr>
              <w:t>Option D: Recommended Option</w:t>
            </w:r>
          </w:p>
        </w:tc>
      </w:tr>
      <w:tr>
        <w:tc>
          <w:tcPr>
            <w:tcW w:type="dxa" w:w="4801"/>
            <w:vAlign w:val="center"/>
          </w:tcPr>
          <w:p>
            <w:pPr>
              <w:jc w:val="left"/>
            </w:pPr>
            <w:r>
              <w:rPr>
                <w:rFonts w:ascii="Arial" w:hAnsi="Arial"/>
                <w:b w:val="0"/>
                <w:sz w:val="20"/>
              </w:rPr>
              <w:t>Engineering Audit Score</w:t>
            </w:r>
          </w:p>
        </w:tc>
        <w:tc>
          <w:tcPr>
            <w:tcW w:type="dxa" w:w="4801"/>
            <w:vAlign w:val="center"/>
          </w:tcPr>
          <w:p>
            <w:pPr>
              <w:jc w:val="center"/>
            </w:pPr>
            <w:r>
              <w:rPr>
                <w:rFonts w:ascii="Arial" w:hAnsi="Arial"/>
                <w:b w:val="0"/>
                <w:sz w:val="20"/>
              </w:rPr>
              <w:t>60/100 (Not Ready)</w:t>
            </w:r>
          </w:p>
        </w:tc>
      </w:tr>
      <w:tr>
        <w:tc>
          <w:tcPr>
            <w:tcW w:type="dxa" w:w="4801"/>
            <w:vAlign w:val="center"/>
          </w:tcPr>
          <w:p>
            <w:pPr>
              <w:jc w:val="left"/>
            </w:pPr>
            <w:r>
              <w:rPr>
                <w:rFonts w:ascii="Arial" w:hAnsi="Arial"/>
                <w:b w:val="0"/>
                <w:sz w:val="20"/>
              </w:rPr>
              <w:t>Estimated Cost (Preliminary Estimate)</w:t>
            </w:r>
          </w:p>
        </w:tc>
        <w:tc>
          <w:tcPr>
            <w:tcW w:type="dxa" w:w="4801"/>
            <w:vAlign w:val="center"/>
          </w:tcPr>
          <w:p>
            <w:pPr>
              <w:jc w:val="center"/>
            </w:pPr>
            <w:r>
              <w:rPr>
                <w:rFonts w:ascii="Arial" w:hAnsi="Arial"/>
                <w:b w:val="0"/>
                <w:sz w:val="20"/>
              </w:rPr>
              <w:t>Rs. 0.00</w:t>
            </w:r>
          </w:p>
        </w:tc>
      </w:tr>
    </w:tbl>
    <w:p>
      <w:pPr>
        <w:jc w:val="left"/>
      </w:pPr>
      <w:r>
        <w:rPr>
          <w:rFonts w:ascii="Arial" w:hAnsi="Arial"/>
          <w:b w:val="0"/>
          <w:i w:val="0"/>
          <w:sz w:val="22"/>
        </w:rPr>
        <w:br/>
      </w:r>
    </w:p>
    <w:p>
      <w:pPr>
        <w:jc w:val="left"/>
      </w:pPr>
      <w:r>
        <w:rPr>
          <w:rFonts w:ascii="Arial" w:hAnsi="Arial"/>
          <w:b w:val="0"/>
          <w:i w:val="0"/>
          <w:sz w:val="22"/>
        </w:rPr>
        <w:t>This professional pavement design report presents the mechanistic and empirical design parameters established for the work 'NH-48 Flexible Pavement Preset'. The evaluation incorporates design traffic analysis, subgrade pavement layer profiling, and mechanistic safety screening. A conventional flexible pavement design has been developed for a design traffic of 183.30 MSA, resulting in a total pavement thickness of 710 mm. A cement-stabilized design (CTB/CTS) has been analyzed as an alternative to achieve structural thickness optimization. The design calculations have been prepared under IRC Catalogue Design (Decision Support Mode) guidelines.</w:t>
      </w:r>
    </w:p>
    <w:p>
      <w:pPr>
        <w:jc w:val="left"/>
      </w:pPr>
      <w:r>
        <w:rPr>
          <w:rFonts w:ascii="Arial" w:hAnsi="Arial"/>
          <w:b w:val="0"/>
          <w:i/>
          <w:sz w:val="18"/>
        </w:rPr>
        <w:t>Disclaimer: This Engineering Intelligence Review and report is a decision-support screening tool. Final design acceptance for construction field execution remains subject to independent review and sign-off by a qualified pavement engineer.</w:t>
      </w:r>
    </w:p>
    <w:p>
      <w:r>
        <w:br w:type="page"/>
      </w:r>
    </w:p>
    <w:p>
      <w:pPr>
        <w:spacing w:before="160" w:after="80"/>
        <w:jc w:val="center"/>
      </w:pPr>
      <w:r>
        <w:rPr>
          <w:rFonts w:ascii="Arial" w:hAnsi="Arial"/>
          <w:b/>
          <w:color w:val="1F3A68"/>
          <w:sz w:val="28"/>
        </w:rPr>
        <w:t>APPENDIX A: TRAFFIC CALCULATION</w:t>
      </w:r>
    </w:p>
    <w:p>
      <w:pPr>
        <w:spacing w:before="160" w:after="80"/>
        <w:jc w:val="left"/>
      </w:pPr>
      <w:r>
        <w:rPr>
          <w:rFonts w:ascii="Arial" w:hAnsi="Arial"/>
          <w:b/>
          <w:color w:val="1F3A68"/>
          <w:sz w:val="24"/>
        </w:rPr>
        <w:t>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Terrain</w:t>
            </w:r>
          </w:p>
        </w:tc>
        <w:tc>
          <w:tcPr>
            <w:tcW w:type="dxa" w:w="4801"/>
            <w:vAlign w:val="center"/>
          </w:tcPr>
          <w:p>
            <w:pPr>
              <w:jc w:val="center"/>
            </w:pPr>
            <w:r>
              <w:rPr>
                <w:rFonts w:ascii="Arial" w:hAnsi="Arial"/>
                <w:b w:val="0"/>
                <w:sz w:val="20"/>
              </w:rPr>
              <w:t>Plain</w:t>
            </w:r>
          </w:p>
        </w:tc>
      </w:tr>
      <w:tr>
        <w:tc>
          <w:tcPr>
            <w:tcW w:type="dxa" w:w="4801"/>
            <w:vAlign w:val="center"/>
          </w:tcPr>
          <w:p>
            <w:pPr>
              <w:jc w:val="left"/>
            </w:pPr>
            <w:r>
              <w:rPr>
                <w:rFonts w:ascii="Arial" w:hAnsi="Arial"/>
                <w:b w:val="0"/>
                <w:sz w:val="20"/>
              </w:rPr>
              <w:t>Lane Configuration</w:t>
            </w:r>
          </w:p>
        </w:tc>
        <w:tc>
          <w:tcPr>
            <w:tcW w:type="dxa" w:w="4801"/>
            <w:vAlign w:val="center"/>
          </w:tcPr>
          <w:p>
            <w:pPr>
              <w:jc w:val="center"/>
            </w:pPr>
            <w:r>
              <w:rPr>
                <w:rFonts w:ascii="Arial" w:hAnsi="Arial"/>
                <w:b w:val="0"/>
                <w:sz w:val="20"/>
              </w:rPr>
              <w:t>Two-lane carriageway</w:t>
            </w:r>
          </w:p>
        </w:tc>
      </w:tr>
      <w:tr>
        <w:tc>
          <w:tcPr>
            <w:tcW w:type="dxa" w:w="4801"/>
            <w:vAlign w:val="center"/>
          </w:tcPr>
          <w:p>
            <w:pPr>
              <w:jc w:val="left"/>
            </w:pPr>
            <w:r>
              <w:rPr>
                <w:rFonts w:ascii="Arial" w:hAnsi="Arial"/>
                <w:b w:val="0"/>
                <w:sz w:val="20"/>
              </w:rPr>
              <w:t>Initial Commercial Traffic (A)</w:t>
            </w:r>
          </w:p>
        </w:tc>
        <w:tc>
          <w:tcPr>
            <w:tcW w:type="dxa" w:w="4801"/>
            <w:vAlign w:val="center"/>
          </w:tcPr>
          <w:p>
            <w:pPr>
              <w:jc w:val="center"/>
            </w:pPr>
            <w:r>
              <w:rPr>
                <w:rFonts w:ascii="Arial" w:hAnsi="Arial"/>
                <w:b w:val="0"/>
                <w:sz w:val="20"/>
              </w:rPr>
              <w:t>4500 CVPD</w:t>
            </w:r>
          </w:p>
        </w:tc>
      </w:tr>
      <w:tr>
        <w:tc>
          <w:tcPr>
            <w:tcW w:type="dxa" w:w="4801"/>
            <w:vAlign w:val="center"/>
          </w:tcPr>
          <w:p>
            <w:pPr>
              <w:jc w:val="left"/>
            </w:pPr>
            <w:r>
              <w:rPr>
                <w:rFonts w:ascii="Arial" w:hAnsi="Arial"/>
                <w:b w:val="0"/>
                <w:sz w:val="20"/>
              </w:rPr>
              <w:t>Annual Growth Rate (r)</w:t>
            </w:r>
          </w:p>
        </w:tc>
        <w:tc>
          <w:tcPr>
            <w:tcW w:type="dxa" w:w="4801"/>
            <w:vAlign w:val="center"/>
          </w:tcPr>
          <w:p>
            <w:pPr>
              <w:jc w:val="center"/>
            </w:pPr>
            <w:r>
              <w:rPr>
                <w:rFonts w:ascii="Arial" w:hAnsi="Arial"/>
                <w:b w:val="0"/>
                <w:sz w:val="20"/>
              </w:rPr>
              <w:t>5 %</w:t>
            </w:r>
          </w:p>
        </w:tc>
      </w:tr>
      <w:tr>
        <w:tc>
          <w:tcPr>
            <w:tcW w:type="dxa" w:w="4801"/>
            <w:vAlign w:val="center"/>
          </w:tcPr>
          <w:p>
            <w:pPr>
              <w:jc w:val="left"/>
            </w:pPr>
            <w:r>
              <w:rPr>
                <w:rFonts w:ascii="Arial" w:hAnsi="Arial"/>
                <w:b w:val="0"/>
                <w:sz w:val="20"/>
              </w:rPr>
              <w:t>Design Life (n)</w:t>
            </w:r>
          </w:p>
        </w:tc>
        <w:tc>
          <w:tcPr>
            <w:tcW w:type="dxa" w:w="4801"/>
            <w:vAlign w:val="center"/>
          </w:tcPr>
          <w:p>
            <w:pPr>
              <w:jc w:val="center"/>
            </w:pPr>
            <w:r>
              <w:rPr>
                <w:rFonts w:ascii="Arial" w:hAnsi="Arial"/>
                <w:b w:val="0"/>
                <w:sz w:val="20"/>
              </w:rPr>
              <w:t>20 yr</w:t>
            </w:r>
          </w:p>
        </w:tc>
      </w:tr>
      <w:tr>
        <w:tc>
          <w:tcPr>
            <w:tcW w:type="dxa" w:w="4801"/>
            <w:vAlign w:val="center"/>
          </w:tcPr>
          <w:p>
            <w:pPr>
              <w:jc w:val="left"/>
            </w:pPr>
            <w:r>
              <w:rPr>
                <w:rFonts w:ascii="Arial" w:hAnsi="Arial"/>
                <w:b w:val="0"/>
                <w:sz w:val="20"/>
              </w:rPr>
              <w:t>VDF (F) — user / preset</w:t>
            </w:r>
          </w:p>
        </w:tc>
        <w:tc>
          <w:tcPr>
            <w:tcW w:type="dxa" w:w="4801"/>
            <w:vAlign w:val="center"/>
          </w:tcPr>
          <w:p>
            <w:pPr>
              <w:jc w:val="center"/>
            </w:pPr>
            <w:r>
              <w:rPr>
                <w:rFonts w:ascii="Arial" w:hAnsi="Arial"/>
                <w:b w:val="0"/>
                <w:sz w:val="20"/>
              </w:rPr>
              <w:t>4.5</w:t>
            </w:r>
          </w:p>
        </w:tc>
      </w:tr>
      <w:tr>
        <w:tc>
          <w:tcPr>
            <w:tcW w:type="dxa" w:w="4801"/>
            <w:vAlign w:val="center"/>
          </w:tcPr>
          <w:p>
            <w:pPr>
              <w:jc w:val="left"/>
            </w:pPr>
            <w:r>
              <w:rPr>
                <w:rFonts w:ascii="Arial" w:hAnsi="Arial"/>
                <w:b w:val="0"/>
                <w:sz w:val="20"/>
              </w:rPr>
              <w:t>LDF (D) — user / preset</w:t>
            </w:r>
          </w:p>
        </w:tc>
        <w:tc>
          <w:tcPr>
            <w:tcW w:type="dxa" w:w="4801"/>
            <w:vAlign w:val="center"/>
          </w:tcPr>
          <w:p>
            <w:pPr>
              <w:jc w:val="center"/>
            </w:pPr>
            <w:r>
              <w:rPr>
                <w:rFonts w:ascii="Arial" w:hAnsi="Arial"/>
                <w:b w:val="0"/>
                <w:sz w:val="20"/>
              </w:rPr>
              <w:t>0.75</w:t>
            </w:r>
          </w:p>
        </w:tc>
      </w:tr>
    </w:tbl>
    <w:p>
      <w:pPr>
        <w:spacing w:before="160" w:after="80"/>
        <w:jc w:val="left"/>
      </w:pPr>
      <w:r>
        <w:rPr>
          <w:rFonts w:ascii="Arial" w:hAnsi="Arial"/>
          <w:b/>
          <w:color w:val="1F3A68"/>
          <w:sz w:val="24"/>
        </w:rPr>
        <w:t>Computed Quantities</w:t>
      </w:r>
    </w:p>
    <w:p>
      <w:pPr>
        <w:jc w:val="left"/>
      </w:pPr>
      <w:r>
        <w:rPr>
          <w:rFonts w:ascii="Arial" w:hAnsi="Arial"/>
          <w:b w:val="0"/>
          <w:i/>
          <w:sz w:val="22"/>
        </w:rPr>
        <w:t>N = (365 · A · [(1+r)^n − 1]/r) · D · F · 10⁻⁶   (IRC:37 cl. 4.6)</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Quantity</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Growth Factor</w:t>
            </w:r>
          </w:p>
        </w:tc>
        <w:tc>
          <w:tcPr>
            <w:tcW w:type="dxa" w:w="2400"/>
            <w:vAlign w:val="center"/>
          </w:tcPr>
          <w:p>
            <w:pPr>
              <w:jc w:val="center"/>
            </w:pPr>
            <w:r>
              <w:rPr>
                <w:rFonts w:ascii="Arial" w:hAnsi="Arial"/>
                <w:b w:val="0"/>
                <w:sz w:val="20"/>
              </w:rPr>
              <w:t>GF</w:t>
            </w:r>
          </w:p>
        </w:tc>
        <w:tc>
          <w:tcPr>
            <w:tcW w:type="dxa" w:w="2400"/>
            <w:vAlign w:val="center"/>
          </w:tcPr>
          <w:p>
            <w:pPr>
              <w:jc w:val="center"/>
            </w:pPr>
            <w:r>
              <w:rPr>
                <w:rFonts w:ascii="Arial" w:hAnsi="Arial"/>
                <w:b w:val="0"/>
                <w:sz w:val="20"/>
              </w:rPr>
              <w:t>33.0660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VDF used</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4.5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LDF used</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183.30</w:t>
            </w:r>
          </w:p>
        </w:tc>
        <w:tc>
          <w:tcPr>
            <w:tcW w:type="dxa" w:w="2400"/>
            <w:vAlign w:val="center"/>
          </w:tcPr>
          <w:p>
            <w:pPr>
              <w:jc w:val="center"/>
            </w:pPr>
            <w:r>
              <w:rPr>
                <w:rFonts w:ascii="Arial" w:hAnsi="Arial"/>
                <w:b w:val="0"/>
                <w:sz w:val="20"/>
              </w:rPr>
              <w:t>MSA</w:t>
            </w:r>
          </w:p>
        </w:tc>
      </w:tr>
      <w:tr>
        <w:tc>
          <w:tcPr>
            <w:tcW w:type="dxa" w:w="2400"/>
            <w:vAlign w:val="center"/>
          </w:tcPr>
          <w:p>
            <w:pPr>
              <w:jc w:val="left"/>
            </w:pPr>
            <w:r>
              <w:rPr>
                <w:rFonts w:ascii="Arial" w:hAnsi="Arial"/>
                <w:b w:val="0"/>
                <w:sz w:val="20"/>
              </w:rPr>
              <w:t>AASHTO ESAL (alias N × 10⁶)</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183,299,050</w:t>
            </w:r>
          </w:p>
        </w:tc>
        <w:tc>
          <w:tcPr>
            <w:tcW w:type="dxa" w:w="2400"/>
            <w:vAlign w:val="center"/>
          </w:tcPr>
          <w:p>
            <w:pPr>
              <w:jc w:val="center"/>
            </w:pPr>
            <w:r>
              <w:rPr>
                <w:rFonts w:ascii="Arial" w:hAnsi="Arial"/>
                <w:b w:val="0"/>
                <w:sz w:val="20"/>
              </w:rPr>
              <w:t>ESAL</w:t>
            </w:r>
          </w:p>
        </w:tc>
      </w:tr>
      <w:tr>
        <w:tc>
          <w:tcPr>
            <w:tcW w:type="dxa" w:w="2400"/>
            <w:vAlign w:val="center"/>
          </w:tcPr>
          <w:p>
            <w:pPr>
              <w:jc w:val="left"/>
            </w:pPr>
            <w:r>
              <w:rPr>
                <w:rFonts w:ascii="Arial" w:hAnsi="Arial"/>
                <w:b w:val="0"/>
                <w:sz w:val="20"/>
              </w:rPr>
              <w:t>Traffic Category</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Very Heavy (&gt; 100 MSA)</w:t>
            </w:r>
          </w:p>
        </w:tc>
        <w:tc>
          <w:tcPr>
            <w:tcW w:type="dxa" w:w="2400"/>
            <w:vAlign w:val="center"/>
          </w:tcPr>
          <w:p>
            <w:pPr>
              <w:jc w:val="center"/>
            </w:pPr>
            <w:r>
              <w:rPr>
                <w:rFonts w:ascii="Arial" w:hAnsi="Arial"/>
                <w:b w:val="0"/>
                <w:sz w:val="20"/>
              </w:rPr>
              <w:t>—</w:t>
            </w:r>
          </w:p>
        </w:tc>
      </w:tr>
    </w:tbl>
    <w:p>
      <w:pPr>
        <w:spacing w:before="160" w:after="80"/>
        <w:jc w:val="left"/>
      </w:pPr>
      <w:r>
        <w:rPr>
          <w:rFonts w:ascii="Arial" w:hAnsi="Arial"/>
          <w:b/>
          <w:sz w:val="22"/>
        </w:rPr>
        <w:t>Reserved for Future Expansion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Axle-Load Spectrum</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Weigh-In-Motion Records</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Traffic-Survey Source</w:t>
            </w:r>
          </w:p>
        </w:tc>
        <w:tc>
          <w:tcPr>
            <w:tcW w:type="dxa" w:w="4801"/>
            <w:vAlign w:val="center"/>
          </w:tcPr>
          <w:p>
            <w:pPr>
              <w:jc w:val="center"/>
            </w:pPr>
            <w:r>
              <w:rPr>
                <w:rFonts w:ascii="Arial" w:hAnsi="Arial"/>
                <w:b w:val="0"/>
                <w:sz w:val="20"/>
              </w:rPr>
              <w:t>Not provided</w:t>
            </w:r>
          </w:p>
        </w:tc>
      </w:tr>
    </w:tbl>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4.6</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Table 1</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Plates 1-4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AASHTO-1993</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Guide for Design of Pavement Structures</w:t>
            </w:r>
          </w:p>
        </w:tc>
      </w:tr>
      <w:tr>
        <w:tc>
          <w:tcPr>
            <w:tcW w:type="dxa" w:w="3201"/>
            <w:vAlign w:val="center"/>
          </w:tcPr>
          <w:p>
            <w:pPr>
              <w:jc w:val="left"/>
            </w:pPr>
            <w:r>
              <w:rPr>
                <w:rFonts w:ascii="Arial" w:hAnsi="Arial"/>
                <w:b w:val="0"/>
                <w:sz w:val="20"/>
              </w:rPr>
              <w:t>AASHTO-T307</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Determining the Resilient Modulus of Soils and Aggregate Materials</w:t>
            </w:r>
          </w:p>
        </w:tc>
      </w:tr>
    </w:tbl>
    <w:p>
      <w:pPr>
        <w:spacing w:before="40" w:after="120"/>
        <w:jc w:val="left"/>
      </w:pPr>
      <w:r>
        <w:rPr>
          <w:rFonts w:ascii="Arial" w:hAnsi="Arial"/>
          <w:i/>
          <w:color w:val="555B6E"/>
          <w:sz w:val="18"/>
        </w:rPr>
        <w:t>Cumulative MSA via IRC:37-2018 cl. 4.6. VDF/LDF from IRC:37 Table 1 / cl. 4.4 when not user-supplied. AASHTO ESAL = MSA × 10^6.</w:t>
      </w:r>
    </w:p>
    <w:p>
      <w:pPr>
        <w:spacing w:before="160" w:after="80"/>
        <w:jc w:val="left"/>
      </w:pPr>
      <w:r>
        <w:rPr>
          <w:rFonts w:ascii="Arial" w:hAnsi="Arial"/>
          <w:b/>
          <w:sz w:val="22"/>
        </w:rPr>
        <w:t>Calculation Traceability — Traffic Projection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Initial Commercial Traffic (A)</w:t>
            </w:r>
          </w:p>
        </w:tc>
        <w:tc>
          <w:tcPr>
            <w:tcW w:type="dxa" w:w="3201"/>
            <w:vAlign w:val="center"/>
          </w:tcPr>
          <w:p>
            <w:pPr>
              <w:jc w:val="center"/>
            </w:pPr>
            <w:r>
              <w:rPr>
                <w:rFonts w:ascii="Arial" w:hAnsi="Arial"/>
                <w:b w:val="0"/>
                <w:sz w:val="20"/>
              </w:rPr>
              <w:t>4500 CVPD</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Annual Growth Rate (r)</w:t>
            </w:r>
          </w:p>
        </w:tc>
        <w:tc>
          <w:tcPr>
            <w:tcW w:type="dxa" w:w="3201"/>
            <w:vAlign w:val="center"/>
          </w:tcPr>
          <w:p>
            <w:pPr>
              <w:jc w:val="center"/>
            </w:pPr>
            <w:r>
              <w:rPr>
                <w:rFonts w:ascii="Arial" w:hAnsi="Arial"/>
                <w:b w:val="0"/>
                <w:sz w:val="20"/>
              </w:rPr>
              <w:t>5 %</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Vehicle Damage Factor (F)</w:t>
            </w:r>
          </w:p>
        </w:tc>
        <w:tc>
          <w:tcPr>
            <w:tcW w:type="dxa" w:w="3201"/>
            <w:vAlign w:val="center"/>
          </w:tcPr>
          <w:p>
            <w:pPr>
              <w:jc w:val="center"/>
            </w:pPr>
            <w:r>
              <w:rPr>
                <w:rFonts w:ascii="Arial" w:hAnsi="Arial"/>
                <w:b w:val="0"/>
                <w:sz w:val="20"/>
              </w:rPr>
              <w:t>4.5</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Lane Distribution Factor (D)</w:t>
            </w:r>
          </w:p>
        </w:tc>
        <w:tc>
          <w:tcPr>
            <w:tcW w:type="dxa" w:w="3201"/>
            <w:vAlign w:val="center"/>
          </w:tcPr>
          <w:p>
            <w:pPr>
              <w:jc w:val="center"/>
            </w:pPr>
            <w:r>
              <w:rPr>
                <w:rFonts w:ascii="Arial" w:hAnsi="Arial"/>
                <w:b w:val="0"/>
                <w:sz w:val="20"/>
              </w:rPr>
              <w:t>0.75</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Design Life (n)</w:t>
            </w:r>
          </w:p>
        </w:tc>
        <w:tc>
          <w:tcPr>
            <w:tcW w:type="dxa" w:w="3201"/>
            <w:vAlign w:val="center"/>
          </w:tcPr>
          <w:p>
            <w:pPr>
              <w:jc w:val="center"/>
            </w:pPr>
            <w:r>
              <w:rPr>
                <w:rFonts w:ascii="Arial" w:hAnsi="Arial"/>
                <w:b w:val="0"/>
                <w:sz w:val="20"/>
              </w:rPr>
              <w:t>20 years</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Cumulative Design Traffic (N)</w:t>
            </w:r>
          </w:p>
        </w:tc>
        <w:tc>
          <w:tcPr>
            <w:tcW w:type="dxa" w:w="3201"/>
            <w:vAlign w:val="center"/>
          </w:tcPr>
          <w:p>
            <w:pPr>
              <w:jc w:val="center"/>
            </w:pPr>
            <w:r>
              <w:rPr>
                <w:rFonts w:ascii="Arial" w:hAnsi="Arial"/>
                <w:b w:val="0"/>
                <w:sz w:val="20"/>
              </w:rPr>
              <w:t>183.30 MSA</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IRC:37-2018 (Clause 4.6)</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APPENDIX B: SUBGRADE EVALUATION</w:t>
      </w:r>
    </w:p>
    <w:p>
      <w:pPr>
        <w:spacing w:before="160" w:after="80"/>
        <w:jc w:val="left"/>
      </w:pPr>
      <w:r>
        <w:rPr>
          <w:rFonts w:ascii="Arial" w:hAnsi="Arial"/>
          <w:b/>
          <w:color w:val="1F3A68"/>
          <w:sz w:val="24"/>
        </w:rPr>
        <w:t>Subgrade Characterization</w:t>
      </w:r>
    </w:p>
    <w:p>
      <w:pPr>
        <w:jc w:val="left"/>
      </w:pPr>
      <w:r>
        <w:rPr>
          <w:rFonts w:ascii="Arial" w:hAnsi="Arial"/>
          <w:b w:val="0"/>
          <w:i w:val="0"/>
          <w:sz w:val="22"/>
        </w:rPr>
        <w:t>The subgrade strength is evaluated in terms of the California Bearing Ratio (CBR) and Resilient Modulus (M_R).</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Property Description</w:t>
            </w:r>
          </w:p>
        </w:tc>
        <w:tc>
          <w:tcPr>
            <w:tcW w:type="dxa" w:w="3201"/>
            <w:shd w:val="clear" w:color="auto" w:fill="1F3A68"/>
            <w:vAlign w:val="center"/>
          </w:tcPr>
          <w:p>
            <w:pPr>
              <w:jc w:val="center"/>
            </w:pPr>
            <w:r>
              <w:rPr>
                <w:rFonts w:ascii="Arial" w:hAnsi="Arial"/>
                <w:b/>
                <w:color w:val="FFFFFF"/>
                <w:sz w:val="20"/>
              </w:rPr>
              <w:t>Design Value</w:t>
            </w:r>
          </w:p>
        </w:tc>
        <w:tc>
          <w:tcPr>
            <w:tcW w:type="dxa" w:w="3201"/>
            <w:shd w:val="clear" w:color="auto" w:fill="1F3A68"/>
            <w:vAlign w:val="center"/>
          </w:tcPr>
          <w:p>
            <w:pPr>
              <w:jc w:val="center"/>
            </w:pPr>
            <w:r>
              <w:rPr>
                <w:rFonts w:ascii="Arial" w:hAnsi="Arial"/>
                <w:b/>
                <w:color w:val="FFFFFF"/>
                <w:sz w:val="20"/>
              </w:rPr>
              <w:t>Unit</w:t>
            </w:r>
          </w:p>
        </w:tc>
      </w:tr>
      <w:tr>
        <w:tc>
          <w:tcPr>
            <w:tcW w:type="dxa" w:w="3201"/>
            <w:vAlign w:val="center"/>
          </w:tcPr>
          <w:p>
            <w:pPr>
              <w:jc w:val="left"/>
            </w:pPr>
            <w:r>
              <w:rPr>
                <w:rFonts w:ascii="Arial" w:hAnsi="Arial"/>
                <w:b w:val="0"/>
                <w:sz w:val="20"/>
              </w:rPr>
              <w:t>Subgrade CBR (4-day soaked)</w:t>
            </w:r>
          </w:p>
        </w:tc>
        <w:tc>
          <w:tcPr>
            <w:tcW w:type="dxa" w:w="3201"/>
            <w:vAlign w:val="center"/>
          </w:tcPr>
          <w:p>
            <w:pPr>
              <w:jc w:val="center"/>
            </w:pPr>
            <w:r>
              <w:rPr>
                <w:rFonts w:ascii="Arial" w:hAnsi="Arial"/>
                <w:b w:val="0"/>
                <w:sz w:val="20"/>
              </w:rPr>
              <w:t>6</w:t>
            </w:r>
          </w:p>
        </w:tc>
        <w:tc>
          <w:tcPr>
            <w:tcW w:type="dxa" w:w="3201"/>
            <w:vAlign w:val="center"/>
          </w:tcPr>
          <w:p>
            <w:pPr>
              <w:jc w:val="center"/>
            </w:pPr>
            <w:r>
              <w:rPr>
                <w:rFonts w:ascii="Arial" w:hAnsi="Arial"/>
                <w:b w:val="0"/>
                <w:sz w:val="20"/>
              </w:rPr>
              <w:t>%</w:t>
            </w:r>
          </w:p>
        </w:tc>
      </w:tr>
      <w:tr>
        <w:tc>
          <w:tcPr>
            <w:tcW w:type="dxa" w:w="3201"/>
            <w:vAlign w:val="center"/>
          </w:tcPr>
          <w:p>
            <w:pPr>
              <w:jc w:val="left"/>
            </w:pPr>
            <w:r>
              <w:rPr>
                <w:rFonts w:ascii="Arial" w:hAnsi="Arial"/>
                <w:b w:val="0"/>
                <w:sz w:val="20"/>
              </w:rPr>
              <w:t>Resilient Modulus (M_R)</w:t>
            </w:r>
          </w:p>
        </w:tc>
        <w:tc>
          <w:tcPr>
            <w:tcW w:type="dxa" w:w="3201"/>
            <w:vAlign w:val="center"/>
          </w:tcPr>
          <w:p>
            <w:pPr>
              <w:jc w:val="center"/>
            </w:pPr>
            <w:r>
              <w:rPr>
                <w:rFonts w:ascii="Arial" w:hAnsi="Arial"/>
                <w:b w:val="0"/>
                <w:sz w:val="20"/>
              </w:rPr>
              <w:t>55.4</w:t>
            </w:r>
          </w:p>
        </w:tc>
        <w:tc>
          <w:tcPr>
            <w:tcW w:type="dxa" w:w="3201"/>
            <w:vAlign w:val="center"/>
          </w:tcPr>
          <w:p>
            <w:pPr>
              <w:jc w:val="center"/>
            </w:pPr>
            <w:r>
              <w:rPr>
                <w:rFonts w:ascii="Arial" w:hAnsi="Arial"/>
                <w:b w:val="0"/>
                <w:sz w:val="20"/>
              </w:rPr>
              <w:t>MPa</w:t>
            </w:r>
          </w:p>
        </w:tc>
      </w:tr>
    </w:tbl>
    <w:p>
      <w:pPr>
        <w:jc w:val="left"/>
      </w:pPr>
      <w:r>
        <w:rPr>
          <w:rFonts w:ascii="Arial" w:hAnsi="Arial"/>
          <w:b w:val="0"/>
          <w:i w:val="0"/>
          <w:sz w:val="22"/>
        </w:rPr>
      </w:r>
    </w:p>
    <w:p>
      <w:pPr>
        <w:spacing w:before="160" w:after="80"/>
        <w:jc w:val="left"/>
      </w:pPr>
      <w:r>
        <w:rPr>
          <w:rFonts w:ascii="Arial" w:hAnsi="Arial"/>
          <w:b/>
          <w:sz w:val="22"/>
        </w:rPr>
        <w:t>Calculation Traceability — Subgrade Resilient Modulus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California Bearing Ratio (CBR)</w:t>
            </w:r>
          </w:p>
        </w:tc>
        <w:tc>
          <w:tcPr>
            <w:tcW w:type="dxa" w:w="3201"/>
            <w:vAlign w:val="center"/>
          </w:tcPr>
          <w:p>
            <w:pPr>
              <w:jc w:val="center"/>
            </w:pPr>
            <w:r>
              <w:rPr>
                <w:rFonts w:ascii="Arial" w:hAnsi="Arial"/>
                <w:b w:val="0"/>
                <w:sz w:val="20"/>
              </w:rPr>
              <w:t>6 %</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Resilient Modulus (Mr)</w:t>
            </w:r>
          </w:p>
        </w:tc>
        <w:tc>
          <w:tcPr>
            <w:tcW w:type="dxa" w:w="3201"/>
            <w:vAlign w:val="center"/>
          </w:tcPr>
          <w:p>
            <w:pPr>
              <w:jc w:val="center"/>
            </w:pPr>
            <w:r>
              <w:rPr>
                <w:rFonts w:ascii="Arial" w:hAnsi="Arial"/>
                <w:b w:val="0"/>
                <w:sz w:val="20"/>
              </w:rPr>
              <w:t>55.4 MPa</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IRC:37-2018 (Annex E)</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APPENDIX C: PAVEMENT DESIGN SUMMARY</w:t>
      </w:r>
    </w:p>
    <w:p>
      <w:pPr>
        <w:spacing w:before="160" w:after="80"/>
        <w:jc w:val="left"/>
      </w:pPr>
      <w:r>
        <w:rPr>
          <w:rFonts w:ascii="Arial" w:hAnsi="Arial"/>
          <w:b/>
          <w:color w:val="1F3A68"/>
          <w:sz w:val="24"/>
        </w:rPr>
        <w:t>1. Project Information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Name of Work</w:t>
            </w:r>
          </w:p>
        </w:tc>
        <w:tc>
          <w:tcPr>
            <w:tcW w:type="dxa" w:w="4801"/>
            <w:vAlign w:val="center"/>
          </w:tcPr>
          <w:p>
            <w:pPr>
              <w:jc w:val="center"/>
            </w:pPr>
            <w:r>
              <w:rPr>
                <w:rFonts w:ascii="Arial" w:hAnsi="Arial"/>
                <w:b w:val="0"/>
                <w:sz w:val="20"/>
              </w:rPr>
              <w:t>NH-48 Surat bypass corridor pavement design</w:t>
            </w:r>
          </w:p>
        </w:tc>
      </w:tr>
      <w:tr>
        <w:tc>
          <w:tcPr>
            <w:tcW w:type="dxa" w:w="4801"/>
            <w:vAlign w:val="center"/>
          </w:tcPr>
          <w:p>
            <w:pPr>
              <w:jc w:val="left"/>
            </w:pPr>
            <w:r>
              <w:rPr>
                <w:rFonts w:ascii="Arial" w:hAnsi="Arial"/>
                <w:b w:val="0"/>
                <w:sz w:val="20"/>
              </w:rPr>
              <w:t>Client</w:t>
            </w:r>
          </w:p>
        </w:tc>
        <w:tc>
          <w:tcPr>
            <w:tcW w:type="dxa" w:w="4801"/>
            <w:vAlign w:val="center"/>
          </w:tcPr>
          <w:p>
            <w:pPr>
              <w:jc w:val="center"/>
            </w:pPr>
            <w:r>
              <w:rPr>
                <w:rFonts w:ascii="Arial" w:hAnsi="Arial"/>
                <w:b w:val="0"/>
                <w:sz w:val="20"/>
              </w:rPr>
              <w:t>Sample Highway Authority</w:t>
            </w:r>
          </w:p>
        </w:tc>
      </w:tr>
      <w:tr>
        <w:tc>
          <w:tcPr>
            <w:tcW w:type="dxa" w:w="4801"/>
            <w:vAlign w:val="center"/>
          </w:tcPr>
          <w:p>
            <w:pPr>
              <w:jc w:val="left"/>
            </w:pPr>
            <w:r>
              <w:rPr>
                <w:rFonts w:ascii="Arial" w:hAnsi="Arial"/>
                <w:b w:val="0"/>
                <w:sz w:val="20"/>
              </w:rPr>
              <w:t>Agency</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Submitted By</w:t>
            </w:r>
          </w:p>
        </w:tc>
        <w:tc>
          <w:tcPr>
            <w:tcW w:type="dxa" w:w="4801"/>
            <w:vAlign w:val="center"/>
          </w:tcPr>
          <w:p>
            <w:pPr>
              <w:jc w:val="center"/>
            </w:pPr>
            <w:r>
              <w:rPr>
                <w:rFonts w:ascii="Arial" w:hAnsi="Arial"/>
                <w:b w:val="0"/>
                <w:sz w:val="20"/>
              </w:rPr>
              <w:t>QA Validator</w:t>
            </w:r>
          </w:p>
        </w:tc>
      </w:tr>
    </w:tbl>
    <w:p>
      <w:pPr>
        <w:spacing w:before="160" w:after="80"/>
        <w:jc w:val="left"/>
      </w:pPr>
      <w:r>
        <w:rPr>
          <w:rFonts w:ascii="Arial" w:hAnsi="Arial"/>
          <w:b/>
          <w:color w:val="1F3A68"/>
          <w:sz w:val="24"/>
        </w:rPr>
        <w:t>2. Design 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Design Life (years)</w:t>
            </w:r>
          </w:p>
        </w:tc>
        <w:tc>
          <w:tcPr>
            <w:tcW w:type="dxa" w:w="4801"/>
            <w:vAlign w:val="center"/>
          </w:tcPr>
          <w:p>
            <w:pPr>
              <w:jc w:val="center"/>
            </w:pPr>
            <w:r>
              <w:rPr>
                <w:rFonts w:ascii="Arial" w:hAnsi="Arial"/>
                <w:b w:val="0"/>
                <w:sz w:val="20"/>
              </w:rPr>
              <w:t>20</w:t>
            </w:r>
          </w:p>
        </w:tc>
      </w:tr>
      <w:tr>
        <w:tc>
          <w:tcPr>
            <w:tcW w:type="dxa" w:w="4801"/>
            <w:vAlign w:val="center"/>
          </w:tcPr>
          <w:p>
            <w:pPr>
              <w:jc w:val="left"/>
            </w:pPr>
            <w:r>
              <w:rPr>
                <w:rFonts w:ascii="Arial" w:hAnsi="Arial"/>
                <w:b w:val="0"/>
                <w:sz w:val="20"/>
              </w:rPr>
              <w:t>Initial Commercial Traffic (CVPD)</w:t>
            </w:r>
          </w:p>
        </w:tc>
        <w:tc>
          <w:tcPr>
            <w:tcW w:type="dxa" w:w="4801"/>
            <w:vAlign w:val="center"/>
          </w:tcPr>
          <w:p>
            <w:pPr>
              <w:jc w:val="center"/>
            </w:pPr>
            <w:r>
              <w:rPr>
                <w:rFonts w:ascii="Arial" w:hAnsi="Arial"/>
                <w:b w:val="0"/>
                <w:sz w:val="20"/>
              </w:rPr>
              <w:t>4500</w:t>
            </w:r>
          </w:p>
        </w:tc>
      </w:tr>
      <w:tr>
        <w:tc>
          <w:tcPr>
            <w:tcW w:type="dxa" w:w="4801"/>
            <w:vAlign w:val="center"/>
          </w:tcPr>
          <w:p>
            <w:pPr>
              <w:jc w:val="left"/>
            </w:pPr>
            <w:r>
              <w:rPr>
                <w:rFonts w:ascii="Arial" w:hAnsi="Arial"/>
                <w:b w:val="0"/>
                <w:sz w:val="20"/>
              </w:rPr>
              <w:t>Traffic Growth Rate (% / year)</w:t>
            </w:r>
          </w:p>
        </w:tc>
        <w:tc>
          <w:tcPr>
            <w:tcW w:type="dxa" w:w="4801"/>
            <w:vAlign w:val="center"/>
          </w:tcPr>
          <w:p>
            <w:pPr>
              <w:jc w:val="center"/>
            </w:pPr>
            <w:r>
              <w:rPr>
                <w:rFonts w:ascii="Arial" w:hAnsi="Arial"/>
                <w:b w:val="0"/>
                <w:sz w:val="20"/>
              </w:rPr>
              <w:t>5</w:t>
            </w:r>
          </w:p>
        </w:tc>
      </w:tr>
      <w:tr>
        <w:tc>
          <w:tcPr>
            <w:tcW w:type="dxa" w:w="4801"/>
            <w:vAlign w:val="center"/>
          </w:tcPr>
          <w:p>
            <w:pPr>
              <w:jc w:val="left"/>
            </w:pPr>
            <w:r>
              <w:rPr>
                <w:rFonts w:ascii="Arial" w:hAnsi="Arial"/>
                <w:b w:val="0"/>
                <w:sz w:val="20"/>
              </w:rPr>
              <w:t>Vehicle Damage Factor (VDF)</w:t>
            </w:r>
          </w:p>
        </w:tc>
        <w:tc>
          <w:tcPr>
            <w:tcW w:type="dxa" w:w="4801"/>
            <w:vAlign w:val="center"/>
          </w:tcPr>
          <w:p>
            <w:pPr>
              <w:jc w:val="center"/>
            </w:pPr>
            <w:r>
              <w:rPr>
                <w:rFonts w:ascii="Arial" w:hAnsi="Arial"/>
                <w:b w:val="0"/>
                <w:sz w:val="20"/>
              </w:rPr>
              <w:t>4.5</w:t>
            </w:r>
          </w:p>
        </w:tc>
      </w:tr>
      <w:tr>
        <w:tc>
          <w:tcPr>
            <w:tcW w:type="dxa" w:w="4801"/>
            <w:vAlign w:val="center"/>
          </w:tcPr>
          <w:p>
            <w:pPr>
              <w:jc w:val="left"/>
            </w:pPr>
            <w:r>
              <w:rPr>
                <w:rFonts w:ascii="Arial" w:hAnsi="Arial"/>
                <w:b w:val="0"/>
                <w:sz w:val="20"/>
              </w:rPr>
              <w:t>Lane Distribution Factor (LDF)</w:t>
            </w:r>
          </w:p>
        </w:tc>
        <w:tc>
          <w:tcPr>
            <w:tcW w:type="dxa" w:w="4801"/>
            <w:vAlign w:val="center"/>
          </w:tcPr>
          <w:p>
            <w:pPr>
              <w:jc w:val="center"/>
            </w:pPr>
            <w:r>
              <w:rPr>
                <w:rFonts w:ascii="Arial" w:hAnsi="Arial"/>
                <w:b w:val="0"/>
                <w:sz w:val="20"/>
              </w:rPr>
              <w:t>0.75</w:t>
            </w:r>
          </w:p>
        </w:tc>
      </w:tr>
      <w:tr>
        <w:tc>
          <w:tcPr>
            <w:tcW w:type="dxa" w:w="4801"/>
            <w:vAlign w:val="center"/>
          </w:tcPr>
          <w:p>
            <w:pPr>
              <w:jc w:val="left"/>
            </w:pPr>
            <w:r>
              <w:rPr>
                <w:rFonts w:ascii="Arial" w:hAnsi="Arial"/>
                <w:b w:val="0"/>
                <w:sz w:val="20"/>
              </w:rPr>
              <w:t>Subgrade CBR — 4-day soaked (%)</w:t>
            </w:r>
          </w:p>
        </w:tc>
        <w:tc>
          <w:tcPr>
            <w:tcW w:type="dxa" w:w="4801"/>
            <w:vAlign w:val="center"/>
          </w:tcPr>
          <w:p>
            <w:pPr>
              <w:jc w:val="center"/>
            </w:pPr>
            <w:r>
              <w:rPr>
                <w:rFonts w:ascii="Arial" w:hAnsi="Arial"/>
                <w:b w:val="0"/>
                <w:sz w:val="20"/>
              </w:rPr>
              <w:t>6</w:t>
            </w:r>
          </w:p>
        </w:tc>
      </w:tr>
      <w:tr>
        <w:tc>
          <w:tcPr>
            <w:tcW w:type="dxa" w:w="4801"/>
            <w:vAlign w:val="center"/>
          </w:tcPr>
          <w:p>
            <w:pPr>
              <w:jc w:val="left"/>
            </w:pPr>
            <w:r>
              <w:rPr>
                <w:rFonts w:ascii="Arial" w:hAnsi="Arial"/>
                <w:b w:val="0"/>
                <w:sz w:val="20"/>
              </w:rPr>
              <w:t>Resilient Modulus (user-supplied)</w:t>
            </w:r>
          </w:p>
        </w:tc>
        <w:tc>
          <w:tcPr>
            <w:tcW w:type="dxa" w:w="4801"/>
            <w:vAlign w:val="center"/>
          </w:tcPr>
          <w:p>
            <w:pPr>
              <w:jc w:val="center"/>
            </w:pPr>
            <w:r>
              <w:rPr>
                <w:rFonts w:ascii="Arial" w:hAnsi="Arial"/>
                <w:b w:val="0"/>
                <w:sz w:val="20"/>
              </w:rPr>
              <w:t>auto (from CBR)</w:t>
            </w:r>
          </w:p>
        </w:tc>
      </w:tr>
    </w:tbl>
    <w:p>
      <w:pPr>
        <w:spacing w:before="160" w:after="80"/>
        <w:jc w:val="left"/>
      </w:pPr>
      <w:r>
        <w:rPr>
          <w:rFonts w:ascii="Arial" w:hAnsi="Arial"/>
          <w:b/>
          <w:color w:val="1F3A68"/>
          <w:sz w:val="24"/>
        </w:rPr>
        <w:t>3. Cumulative Design Traffic</w:t>
      </w:r>
    </w:p>
    <w:p>
      <w:pPr>
        <w:jc w:val="left"/>
      </w:pPr>
      <w:r>
        <w:rPr>
          <w:rFonts w:ascii="Arial" w:hAnsi="Arial"/>
          <w:b w:val="0"/>
          <w:i w:val="0"/>
          <w:sz w:val="22"/>
        </w:rPr>
        <w:t>Per IRC:37-2018 cl. 4.6:</w:t>
      </w:r>
    </w:p>
    <w:p>
      <w:pPr>
        <w:jc w:val="left"/>
      </w:pPr>
      <w:r>
        <w:rPr>
          <w:rFonts w:ascii="Arial" w:hAnsi="Arial"/>
          <w:b w:val="0"/>
          <w:i/>
          <w:sz w:val="22"/>
        </w:rPr>
        <w:t>N = (365 · A · [(1 + r)^n − 1] / r) · D · F · 10⁻⁶</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Parameter</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Initial Commercial Traffic</w:t>
            </w:r>
          </w:p>
        </w:tc>
        <w:tc>
          <w:tcPr>
            <w:tcW w:type="dxa" w:w="2400"/>
            <w:vAlign w:val="center"/>
          </w:tcPr>
          <w:p>
            <w:pPr>
              <w:jc w:val="center"/>
            </w:pPr>
            <w:r>
              <w:rPr>
                <w:rFonts w:ascii="Arial" w:hAnsi="Arial"/>
                <w:b w:val="0"/>
                <w:sz w:val="20"/>
              </w:rPr>
              <w:t>A</w:t>
            </w:r>
          </w:p>
        </w:tc>
        <w:tc>
          <w:tcPr>
            <w:tcW w:type="dxa" w:w="2400"/>
            <w:vAlign w:val="center"/>
          </w:tcPr>
          <w:p>
            <w:pPr>
              <w:jc w:val="center"/>
            </w:pPr>
            <w:r>
              <w:rPr>
                <w:rFonts w:ascii="Arial" w:hAnsi="Arial"/>
                <w:b w:val="0"/>
                <w:sz w:val="20"/>
              </w:rPr>
              <w:t>4500</w:t>
            </w:r>
          </w:p>
        </w:tc>
        <w:tc>
          <w:tcPr>
            <w:tcW w:type="dxa" w:w="2400"/>
            <w:vAlign w:val="center"/>
          </w:tcPr>
          <w:p>
            <w:pPr>
              <w:jc w:val="center"/>
            </w:pPr>
            <w:r>
              <w:rPr>
                <w:rFonts w:ascii="Arial" w:hAnsi="Arial"/>
                <w:b w:val="0"/>
                <w:sz w:val="20"/>
              </w:rPr>
              <w:t>CVPD</w:t>
            </w:r>
          </w:p>
        </w:tc>
      </w:tr>
      <w:tr>
        <w:tc>
          <w:tcPr>
            <w:tcW w:type="dxa" w:w="2400"/>
            <w:vAlign w:val="center"/>
          </w:tcPr>
          <w:p>
            <w:pPr>
              <w:jc w:val="left"/>
            </w:pPr>
            <w:r>
              <w:rPr>
                <w:rFonts w:ascii="Arial" w:hAnsi="Arial"/>
                <w:b w:val="0"/>
                <w:sz w:val="20"/>
              </w:rPr>
              <w:t>Annual Growth Rate</w:t>
            </w:r>
          </w:p>
        </w:tc>
        <w:tc>
          <w:tcPr>
            <w:tcW w:type="dxa" w:w="2400"/>
            <w:vAlign w:val="center"/>
          </w:tcPr>
          <w:p>
            <w:pPr>
              <w:jc w:val="center"/>
            </w:pPr>
            <w:r>
              <w:rPr>
                <w:rFonts w:ascii="Arial" w:hAnsi="Arial"/>
                <w:b w:val="0"/>
                <w:sz w:val="20"/>
              </w:rPr>
              <w:t>r</w:t>
            </w:r>
          </w:p>
        </w:tc>
        <w:tc>
          <w:tcPr>
            <w:tcW w:type="dxa" w:w="2400"/>
            <w:vAlign w:val="center"/>
          </w:tcPr>
          <w:p>
            <w:pPr>
              <w:jc w:val="center"/>
            </w:pPr>
            <w:r>
              <w:rPr>
                <w:rFonts w:ascii="Arial" w:hAnsi="Arial"/>
                <w:b w:val="0"/>
                <w:sz w:val="20"/>
              </w:rPr>
              <w:t>0.0500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Design Life</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20</w:t>
            </w:r>
          </w:p>
        </w:tc>
        <w:tc>
          <w:tcPr>
            <w:tcW w:type="dxa" w:w="2400"/>
            <w:vAlign w:val="center"/>
          </w:tcPr>
          <w:p>
            <w:pPr>
              <w:jc w:val="center"/>
            </w:pPr>
            <w:r>
              <w:rPr>
                <w:rFonts w:ascii="Arial" w:hAnsi="Arial"/>
                <w:b w:val="0"/>
                <w:sz w:val="20"/>
              </w:rPr>
              <w:t>years</w:t>
            </w:r>
          </w:p>
        </w:tc>
      </w:tr>
      <w:tr>
        <w:tc>
          <w:tcPr>
            <w:tcW w:type="dxa" w:w="2400"/>
            <w:vAlign w:val="center"/>
          </w:tcPr>
          <w:p>
            <w:pPr>
              <w:jc w:val="left"/>
            </w:pPr>
            <w:r>
              <w:rPr>
                <w:rFonts w:ascii="Arial" w:hAnsi="Arial"/>
                <w:b w:val="0"/>
                <w:sz w:val="20"/>
              </w:rPr>
              <w:t>Lane Distribution Factor</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Vehicle Damage Factor</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4.5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Growth Factor [(1+r)^n−1]/r</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33.0660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183.30</w:t>
            </w:r>
          </w:p>
        </w:tc>
        <w:tc>
          <w:tcPr>
            <w:tcW w:type="dxa" w:w="2400"/>
            <w:vAlign w:val="center"/>
          </w:tcPr>
          <w:p>
            <w:pPr>
              <w:jc w:val="center"/>
            </w:pPr>
            <w:r>
              <w:rPr>
                <w:rFonts w:ascii="Arial" w:hAnsi="Arial"/>
                <w:b w:val="0"/>
                <w:sz w:val="20"/>
              </w:rPr>
              <w:t>MSA</w:t>
            </w:r>
          </w:p>
        </w:tc>
      </w:tr>
    </w:tbl>
    <w:p>
      <w:pPr>
        <w:spacing w:before="160" w:after="80"/>
        <w:jc w:val="left"/>
      </w:pPr>
      <w:r>
        <w:rPr>
          <w:rFonts w:ascii="Arial" w:hAnsi="Arial"/>
          <w:b/>
          <w:color w:val="1F3A68"/>
          <w:sz w:val="24"/>
        </w:rPr>
        <w:t>4. Subgrade Resilient Modulus</w:t>
      </w:r>
    </w:p>
    <w:p>
      <w:pPr>
        <w:jc w:val="left"/>
      </w:pPr>
      <w:r>
        <w:rPr>
          <w:rFonts w:ascii="Arial" w:hAnsi="Arial"/>
          <w:b w:val="0"/>
          <w:i w:val="0"/>
          <w:sz w:val="22"/>
        </w:rPr>
        <w:t>Per IRC:37-2018 Annex E:</w:t>
      </w:r>
    </w:p>
    <w:p>
      <w:pPr>
        <w:jc w:val="left"/>
      </w:pPr>
      <w:r>
        <w:rPr>
          <w:rFonts w:ascii="Arial" w:hAnsi="Arial"/>
          <w:b w:val="0"/>
          <w:i/>
          <w:sz w:val="22"/>
        </w:rPr>
        <w:t xml:space="preserve">  M_R = 10 · CBR              for CBR ≤ 5 %</w:t>
      </w:r>
    </w:p>
    <w:p>
      <w:pPr>
        <w:jc w:val="left"/>
      </w:pPr>
      <w:r>
        <w:rPr>
          <w:rFonts w:ascii="Arial" w:hAnsi="Arial"/>
          <w:b w:val="0"/>
          <w:i/>
          <w:sz w:val="22"/>
        </w:rPr>
        <w:t xml:space="preserve">  M_R = 17.6 · CBR^0.64       for CBR &gt; 5 %</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Property</w:t>
            </w:r>
          </w:p>
        </w:tc>
        <w:tc>
          <w:tcPr>
            <w:tcW w:type="dxa" w:w="3201"/>
            <w:shd w:val="clear" w:color="auto" w:fill="1F3A68"/>
            <w:vAlign w:val="center"/>
          </w:tcPr>
          <w:p>
            <w:pPr>
              <w:jc w:val="center"/>
            </w:pPr>
            <w:r>
              <w:rPr>
                <w:rFonts w:ascii="Arial" w:hAnsi="Arial"/>
                <w:b/>
                <w:color w:val="FFFFFF"/>
                <w:sz w:val="20"/>
              </w:rPr>
              <w:t>Value</w:t>
            </w:r>
          </w:p>
        </w:tc>
        <w:tc>
          <w:tcPr>
            <w:tcW w:type="dxa" w:w="3201"/>
            <w:shd w:val="clear" w:color="auto" w:fill="1F3A68"/>
            <w:vAlign w:val="center"/>
          </w:tcPr>
          <w:p>
            <w:pPr>
              <w:jc w:val="center"/>
            </w:pPr>
            <w:r>
              <w:rPr>
                <w:rFonts w:ascii="Arial" w:hAnsi="Arial"/>
                <w:b/>
                <w:color w:val="FFFFFF"/>
                <w:sz w:val="20"/>
              </w:rPr>
              <w:t>Unit</w:t>
            </w:r>
          </w:p>
        </w:tc>
      </w:tr>
      <w:tr>
        <w:tc>
          <w:tcPr>
            <w:tcW w:type="dxa" w:w="3201"/>
            <w:vAlign w:val="center"/>
          </w:tcPr>
          <w:p>
            <w:pPr>
              <w:jc w:val="left"/>
            </w:pPr>
            <w:r>
              <w:rPr>
                <w:rFonts w:ascii="Arial" w:hAnsi="Arial"/>
                <w:b w:val="0"/>
                <w:sz w:val="20"/>
              </w:rPr>
              <w:t>CBR (4-day soaked)</w:t>
            </w:r>
          </w:p>
        </w:tc>
        <w:tc>
          <w:tcPr>
            <w:tcW w:type="dxa" w:w="3201"/>
            <w:vAlign w:val="center"/>
          </w:tcPr>
          <w:p>
            <w:pPr>
              <w:jc w:val="center"/>
            </w:pPr>
            <w:r>
              <w:rPr>
                <w:rFonts w:ascii="Arial" w:hAnsi="Arial"/>
                <w:b w:val="0"/>
                <w:sz w:val="20"/>
              </w:rPr>
              <w:t>6</w:t>
            </w:r>
          </w:p>
        </w:tc>
        <w:tc>
          <w:tcPr>
            <w:tcW w:type="dxa" w:w="3201"/>
            <w:vAlign w:val="center"/>
          </w:tcPr>
          <w:p>
            <w:pPr>
              <w:jc w:val="center"/>
            </w:pPr>
            <w:r>
              <w:rPr>
                <w:rFonts w:ascii="Arial" w:hAnsi="Arial"/>
                <w:b w:val="0"/>
                <w:sz w:val="20"/>
              </w:rPr>
              <w:t>%</w:t>
            </w:r>
          </w:p>
        </w:tc>
      </w:tr>
      <w:tr>
        <w:tc>
          <w:tcPr>
            <w:tcW w:type="dxa" w:w="3201"/>
            <w:vAlign w:val="center"/>
          </w:tcPr>
          <w:p>
            <w:pPr>
              <w:jc w:val="left"/>
            </w:pPr>
            <w:r>
              <w:rPr>
                <w:rFonts w:ascii="Arial" w:hAnsi="Arial"/>
                <w:b w:val="0"/>
                <w:sz w:val="20"/>
              </w:rPr>
              <w:t>Resilient Modulus (M_R)</w:t>
            </w:r>
          </w:p>
        </w:tc>
        <w:tc>
          <w:tcPr>
            <w:tcW w:type="dxa" w:w="3201"/>
            <w:vAlign w:val="center"/>
          </w:tcPr>
          <w:p>
            <w:pPr>
              <w:jc w:val="center"/>
            </w:pPr>
            <w:r>
              <w:rPr>
                <w:rFonts w:ascii="Arial" w:hAnsi="Arial"/>
                <w:b w:val="0"/>
                <w:sz w:val="20"/>
              </w:rPr>
              <w:t>55.4</w:t>
            </w:r>
          </w:p>
        </w:tc>
        <w:tc>
          <w:tcPr>
            <w:tcW w:type="dxa" w:w="3201"/>
            <w:vAlign w:val="center"/>
          </w:tcPr>
          <w:p>
            <w:pPr>
              <w:jc w:val="center"/>
            </w:pPr>
            <w:r>
              <w:rPr>
                <w:rFonts w:ascii="Arial" w:hAnsi="Arial"/>
                <w:b w:val="0"/>
                <w:sz w:val="20"/>
              </w:rPr>
              <w:t>MPa</w:t>
            </w:r>
          </w:p>
        </w:tc>
      </w:tr>
    </w:tbl>
    <w:p>
      <w:pPr>
        <w:spacing w:before="160" w:after="80"/>
        <w:jc w:val="left"/>
      </w:pPr>
      <w:r>
        <w:rPr>
          <w:rFonts w:ascii="Arial" w:hAnsi="Arial"/>
          <w:b/>
          <w:color w:val="1F3A68"/>
          <w:sz w:val="24"/>
        </w:rPr>
        <w:t>5. Suggested Pavement Composition</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Layer</w:t>
            </w:r>
          </w:p>
        </w:tc>
        <w:tc>
          <w:tcPr>
            <w:tcW w:type="dxa" w:w="2400"/>
            <w:shd w:val="clear" w:color="auto" w:fill="1F3A68"/>
            <w:vAlign w:val="center"/>
          </w:tcPr>
          <w:p>
            <w:pPr>
              <w:jc w:val="center"/>
            </w:pPr>
            <w:r>
              <w:rPr>
                <w:rFonts w:ascii="Arial" w:hAnsi="Arial"/>
                <w:b/>
                <w:color w:val="FFFFFF"/>
                <w:sz w:val="20"/>
              </w:rPr>
              <w:t>Material</w:t>
            </w:r>
          </w:p>
        </w:tc>
        <w:tc>
          <w:tcPr>
            <w:tcW w:type="dxa" w:w="2400"/>
            <w:shd w:val="clear" w:color="auto" w:fill="1F3A68"/>
            <w:vAlign w:val="center"/>
          </w:tcPr>
          <w:p>
            <w:pPr>
              <w:jc w:val="center"/>
            </w:pPr>
            <w:r>
              <w:rPr>
                <w:rFonts w:ascii="Arial" w:hAnsi="Arial"/>
                <w:b/>
                <w:color w:val="FFFFFF"/>
                <w:sz w:val="20"/>
              </w:rPr>
              <w:t>Thickness (mm)</w:t>
            </w:r>
          </w:p>
        </w:tc>
        <w:tc>
          <w:tcPr>
            <w:tcW w:type="dxa" w:w="2400"/>
            <w:shd w:val="clear" w:color="auto" w:fill="1F3A68"/>
            <w:vAlign w:val="center"/>
          </w:tcPr>
          <w:p>
            <w:pPr>
              <w:jc w:val="center"/>
            </w:pPr>
            <w:r>
              <w:rPr>
                <w:rFonts w:ascii="Arial" w:hAnsi="Arial"/>
                <w:b/>
                <w:color w:val="FFFFFF"/>
                <w:sz w:val="20"/>
              </w:rPr>
              <w:t>Typical Modulus (MPa)</w:t>
            </w:r>
          </w:p>
        </w:tc>
      </w:tr>
      <w:tr>
        <w:tc>
          <w:tcPr>
            <w:tcW w:type="dxa" w:w="2400"/>
            <w:vAlign w:val="center"/>
          </w:tcPr>
          <w:p>
            <w:pPr>
              <w:jc w:val="left"/>
            </w:pPr>
            <w:r>
              <w:rPr>
                <w:rFonts w:ascii="Arial" w:hAnsi="Arial"/>
                <w:b w:val="0"/>
                <w:sz w:val="20"/>
              </w:rPr>
              <w:t>Bituminous Concrete (BC)</w:t>
            </w:r>
          </w:p>
        </w:tc>
        <w:tc>
          <w:tcPr>
            <w:tcW w:type="dxa" w:w="2400"/>
            <w:vAlign w:val="center"/>
          </w:tcPr>
          <w:p>
            <w:pPr>
              <w:jc w:val="center"/>
            </w:pPr>
            <w:r>
              <w:rPr>
                <w:rFonts w:ascii="Arial" w:hAnsi="Arial"/>
                <w:b w:val="0"/>
                <w:sz w:val="20"/>
              </w:rPr>
              <w:t>BC</w:t>
            </w:r>
          </w:p>
        </w:tc>
        <w:tc>
          <w:tcPr>
            <w:tcW w:type="dxa" w:w="2400"/>
            <w:vAlign w:val="center"/>
          </w:tcPr>
          <w:p>
            <w:pPr>
              <w:jc w:val="center"/>
            </w:pPr>
            <w:r>
              <w:rPr>
                <w:rFonts w:ascii="Arial" w:hAnsi="Arial"/>
                <w:b w:val="0"/>
                <w:sz w:val="20"/>
              </w:rPr>
              <w:t>40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Dense Bituminous Macadam (DBM)</w:t>
            </w:r>
          </w:p>
        </w:tc>
        <w:tc>
          <w:tcPr>
            <w:tcW w:type="dxa" w:w="2400"/>
            <w:vAlign w:val="center"/>
          </w:tcPr>
          <w:p>
            <w:pPr>
              <w:jc w:val="center"/>
            </w:pPr>
            <w:r>
              <w:rPr>
                <w:rFonts w:ascii="Arial" w:hAnsi="Arial"/>
                <w:b w:val="0"/>
                <w:sz w:val="20"/>
              </w:rPr>
              <w:t>DBM-II</w:t>
            </w:r>
          </w:p>
        </w:tc>
        <w:tc>
          <w:tcPr>
            <w:tcW w:type="dxa" w:w="2400"/>
            <w:vAlign w:val="center"/>
          </w:tcPr>
          <w:p>
            <w:pPr>
              <w:jc w:val="center"/>
            </w:pPr>
            <w:r>
              <w:rPr>
                <w:rFonts w:ascii="Arial" w:hAnsi="Arial"/>
                <w:b w:val="0"/>
                <w:sz w:val="20"/>
              </w:rPr>
              <w:t>190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Wet Mix Macadam (WMM)</w:t>
            </w:r>
          </w:p>
        </w:tc>
        <w:tc>
          <w:tcPr>
            <w:tcW w:type="dxa" w:w="2400"/>
            <w:vAlign w:val="center"/>
          </w:tcPr>
          <w:p>
            <w:pPr>
              <w:jc w:val="center"/>
            </w:pPr>
            <w:r>
              <w:rPr>
                <w:rFonts w:ascii="Arial" w:hAnsi="Arial"/>
                <w:b w:val="0"/>
                <w:sz w:val="20"/>
              </w:rPr>
              <w:t>WMM</w:t>
            </w:r>
          </w:p>
        </w:tc>
        <w:tc>
          <w:tcPr>
            <w:tcW w:type="dxa" w:w="2400"/>
            <w:vAlign w:val="center"/>
          </w:tcPr>
          <w:p>
            <w:pPr>
              <w:jc w:val="center"/>
            </w:pPr>
            <w:r>
              <w:rPr>
                <w:rFonts w:ascii="Arial" w:hAnsi="Arial"/>
                <w:b w:val="0"/>
                <w:sz w:val="20"/>
              </w:rPr>
              <w:t>250</w:t>
            </w:r>
          </w:p>
        </w:tc>
        <w:tc>
          <w:tcPr>
            <w:tcW w:type="dxa" w:w="2400"/>
            <w:vAlign w:val="center"/>
          </w:tcPr>
          <w:p>
            <w:pPr>
              <w:jc w:val="center"/>
            </w:pPr>
            <w:r>
              <w:rPr>
                <w:rFonts w:ascii="Arial" w:hAnsi="Arial"/>
                <w:b w:val="0"/>
                <w:sz w:val="20"/>
              </w:rPr>
              <w:t>450</w:t>
            </w:r>
          </w:p>
        </w:tc>
      </w:tr>
      <w:tr>
        <w:tc>
          <w:tcPr>
            <w:tcW w:type="dxa" w:w="2400"/>
            <w:vAlign w:val="center"/>
          </w:tcPr>
          <w:p>
            <w:pPr>
              <w:jc w:val="left"/>
            </w:pPr>
            <w:r>
              <w:rPr>
                <w:rFonts w:ascii="Arial" w:hAnsi="Arial"/>
                <w:b w:val="0"/>
                <w:sz w:val="20"/>
              </w:rPr>
              <w:t>Granular Sub-base (GSB)</w:t>
            </w:r>
          </w:p>
        </w:tc>
        <w:tc>
          <w:tcPr>
            <w:tcW w:type="dxa" w:w="2400"/>
            <w:vAlign w:val="center"/>
          </w:tcPr>
          <w:p>
            <w:pPr>
              <w:jc w:val="center"/>
            </w:pPr>
            <w:r>
              <w:rPr>
                <w:rFonts w:ascii="Arial" w:hAnsi="Arial"/>
                <w:b w:val="0"/>
                <w:sz w:val="20"/>
              </w:rPr>
              <w:t>GSB</w:t>
            </w:r>
          </w:p>
        </w:tc>
        <w:tc>
          <w:tcPr>
            <w:tcW w:type="dxa" w:w="2400"/>
            <w:vAlign w:val="center"/>
          </w:tcPr>
          <w:p>
            <w:pPr>
              <w:jc w:val="center"/>
            </w:pPr>
            <w:r>
              <w:rPr>
                <w:rFonts w:ascii="Arial" w:hAnsi="Arial"/>
                <w:b w:val="0"/>
                <w:sz w:val="20"/>
              </w:rPr>
              <w:t>230</w:t>
            </w:r>
          </w:p>
        </w:tc>
        <w:tc>
          <w:tcPr>
            <w:tcW w:type="dxa" w:w="2400"/>
            <w:vAlign w:val="center"/>
          </w:tcPr>
          <w:p>
            <w:pPr>
              <w:jc w:val="center"/>
            </w:pPr>
            <w:r>
              <w:rPr>
                <w:rFonts w:ascii="Arial" w:hAnsi="Arial"/>
                <w:b w:val="0"/>
                <w:sz w:val="20"/>
              </w:rPr>
              <w:t>200</w:t>
            </w:r>
          </w:p>
        </w:tc>
      </w:tr>
      <w:tr>
        <w:tc>
          <w:tcPr>
            <w:tcW w:type="dxa" w:w="2400"/>
            <w:vAlign w:val="center"/>
          </w:tcPr>
          <w:p>
            <w:pPr>
              <w:jc w:val="left"/>
            </w:pPr>
            <w:r>
              <w:rPr>
                <w:rFonts w:ascii="Arial" w:hAnsi="Arial"/>
                <w:b w:val="0"/>
                <w:sz w:val="20"/>
              </w:rPr>
              <w:t>TOTAL</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710</w:t>
            </w:r>
          </w:p>
        </w:tc>
        <w:tc>
          <w:tcPr>
            <w:tcW w:type="dxa" w:w="2400"/>
            <w:vAlign w:val="center"/>
          </w:tcPr>
          <w:p>
            <w:pPr>
              <w:jc w:val="center"/>
            </w:pPr>
            <w:r>
              <w:rPr>
                <w:rFonts w:ascii="Arial" w:hAnsi="Arial"/>
                <w:b w:val="0"/>
                <w:sz w:val="20"/>
              </w:rPr>
              <w:t>—</w:t>
            </w:r>
          </w:p>
        </w:tc>
      </w:tr>
    </w:tbl>
    <w:p>
      <w:pPr>
        <w:spacing w:before="40" w:after="120"/>
        <w:jc w:val="left"/>
      </w:pPr>
      <w:r>
        <w:rPr>
          <w:rFonts w:ascii="Arial" w:hAnsi="Arial"/>
          <w:i/>
          <w:color w:val="555B6E"/>
          <w:sz w:val="18"/>
        </w:rPr>
        <w:t>Design selected from IRC:37 catalogue reference: Skeleton - CBR 5-8%, MSA &gt;= 50. Layer composition is a catalogue-style suggestion. Cross-check against IRC:37-2018 Plates 1–4 and run a mechanistic analysis (IITPAVE) for the fatigue and rutting limits in cl. 6.4 before adoption for construction.</w:t>
      </w:r>
    </w:p>
    <w:p>
      <w:pPr>
        <w:spacing w:before="160" w:after="80"/>
        <w:jc w:val="left"/>
      </w:pPr>
      <w:r>
        <w:rPr>
          <w:rFonts w:ascii="Arial" w:hAnsi="Arial"/>
          <w:b/>
          <w:color w:val="1F3A68"/>
          <w:sz w:val="24"/>
        </w:rPr>
        <w:t>6. Mechanistic Checks (IITPAVE)</w:t>
      </w:r>
    </w:p>
    <w:p>
      <w:pPr>
        <w:spacing w:before="160" w:after="80"/>
        <w:jc w:val="left"/>
      </w:pPr>
      <w:r>
        <w:rPr>
          <w:rFonts w:ascii="Arial" w:hAnsi="Arial"/>
          <w:b/>
          <w:color w:val="1F3A68"/>
          <w:sz w:val="24"/>
        </w:rPr>
        <w:t>IITPAVE Integration Details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Verification Mode</w:t>
            </w:r>
          </w:p>
        </w:tc>
        <w:tc>
          <w:tcPr>
            <w:tcW w:type="dxa" w:w="4801"/>
            <w:vAlign w:val="center"/>
          </w:tcPr>
          <w:p>
            <w:pPr>
              <w:jc w:val="center"/>
            </w:pPr>
            <w:r>
              <w:rPr>
                <w:rFonts w:ascii="Arial" w:hAnsi="Arial"/>
                <w:b w:val="0"/>
                <w:sz w:val="20"/>
              </w:rPr>
              <w:t>★ IRC Catalogue Design (Decision Support Mode) ★</w:t>
            </w:r>
          </w:p>
        </w:tc>
      </w:tr>
      <w:tr>
        <w:tc>
          <w:tcPr>
            <w:tcW w:type="dxa" w:w="4801"/>
            <w:vAlign w:val="center"/>
          </w:tcPr>
          <w:p>
            <w:pPr>
              <w:jc w:val="left"/>
            </w:pPr>
            <w:r>
              <w:rPr>
                <w:rFonts w:ascii="Arial" w:hAnsi="Arial"/>
                <w:b w:val="0"/>
                <w:sz w:val="20"/>
              </w:rPr>
              <w:t>Execution Timestamp</w:t>
            </w:r>
          </w:p>
        </w:tc>
        <w:tc>
          <w:tcPr>
            <w:tcW w:type="dxa" w:w="4801"/>
            <w:vAlign w:val="center"/>
          </w:tcPr>
          <w:p>
            <w:pPr>
              <w:jc w:val="center"/>
            </w:pPr>
            <w:r>
              <w:rPr>
                <w:rFonts w:ascii="Arial" w:hAnsi="Arial"/>
                <w:b w:val="0"/>
                <w:sz w:val="20"/>
              </w:rPr>
              <w:t>29-Jun-2026 08:50:11</w:t>
            </w:r>
          </w:p>
        </w:tc>
      </w:tr>
      <w:tr>
        <w:tc>
          <w:tcPr>
            <w:tcW w:type="dxa" w:w="4801"/>
            <w:vAlign w:val="center"/>
          </w:tcPr>
          <w:p>
            <w:pPr>
              <w:jc w:val="left"/>
            </w:pPr>
            <w:r>
              <w:rPr>
                <w:rFonts w:ascii="Arial" w:hAnsi="Arial"/>
                <w:b w:val="0"/>
                <w:sz w:val="20"/>
              </w:rPr>
              <w:t>Design Traffic</w:t>
            </w:r>
          </w:p>
        </w:tc>
        <w:tc>
          <w:tcPr>
            <w:tcW w:type="dxa" w:w="4801"/>
            <w:vAlign w:val="center"/>
          </w:tcPr>
          <w:p>
            <w:pPr>
              <w:jc w:val="center"/>
            </w:pPr>
            <w:r>
              <w:rPr>
                <w:rFonts w:ascii="Arial" w:hAnsi="Arial"/>
                <w:b w:val="0"/>
                <w:sz w:val="20"/>
              </w:rPr>
              <w:t>183.30 MSA</w:t>
            </w:r>
          </w:p>
        </w:tc>
      </w:tr>
    </w:tbl>
    <w:p>
      <w:pPr>
        <w:spacing w:before="160" w:after="80"/>
        <w:jc w:val="left"/>
      </w:pPr>
      <w:r>
        <w:rPr>
          <w:rFonts w:ascii="Arial" w:hAnsi="Arial"/>
          <w:b/>
          <w:sz w:val="22"/>
        </w:rPr>
        <w:t>IITPAVE Analysis Layer Composition</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1F3A68"/>
            <w:vAlign w:val="center"/>
          </w:tcPr>
          <w:p>
            <w:pPr>
              <w:jc w:val="center"/>
            </w:pPr>
            <w:r>
              <w:rPr>
                <w:rFonts w:ascii="Arial" w:hAnsi="Arial"/>
                <w:b/>
                <w:color w:val="FFFFFF"/>
                <w:sz w:val="20"/>
              </w:rPr>
              <w:t>Layer</w:t>
            </w:r>
          </w:p>
        </w:tc>
        <w:tc>
          <w:tcPr>
            <w:tcW w:type="dxa" w:w="1920"/>
            <w:shd w:val="clear" w:color="auto" w:fill="1F3A68"/>
            <w:vAlign w:val="center"/>
          </w:tcPr>
          <w:p>
            <w:pPr>
              <w:jc w:val="center"/>
            </w:pPr>
            <w:r>
              <w:rPr>
                <w:rFonts w:ascii="Arial" w:hAnsi="Arial"/>
                <w:b/>
                <w:color w:val="FFFFFF"/>
                <w:sz w:val="20"/>
              </w:rPr>
              <w:t>Material</w:t>
            </w:r>
          </w:p>
        </w:tc>
        <w:tc>
          <w:tcPr>
            <w:tcW w:type="dxa" w:w="1920"/>
            <w:shd w:val="clear" w:color="auto" w:fill="1F3A68"/>
            <w:vAlign w:val="center"/>
          </w:tcPr>
          <w:p>
            <w:pPr>
              <w:jc w:val="center"/>
            </w:pPr>
            <w:r>
              <w:rPr>
                <w:rFonts w:ascii="Arial" w:hAnsi="Arial"/>
                <w:b/>
                <w:color w:val="FFFFFF"/>
                <w:sz w:val="20"/>
              </w:rPr>
              <w:t>Thickness</w:t>
            </w:r>
          </w:p>
        </w:tc>
        <w:tc>
          <w:tcPr>
            <w:tcW w:type="dxa" w:w="1920"/>
            <w:shd w:val="clear" w:color="auto" w:fill="1F3A68"/>
            <w:vAlign w:val="center"/>
          </w:tcPr>
          <w:p>
            <w:pPr>
              <w:jc w:val="center"/>
            </w:pPr>
            <w:r>
              <w:rPr>
                <w:rFonts w:ascii="Arial" w:hAnsi="Arial"/>
                <w:b/>
                <w:color w:val="FFFFFF"/>
                <w:sz w:val="20"/>
              </w:rPr>
              <w:t>Elastic Modulus (MPa)</w:t>
            </w:r>
          </w:p>
        </w:tc>
        <w:tc>
          <w:tcPr>
            <w:tcW w:type="dxa" w:w="1920"/>
            <w:shd w:val="clear" w:color="auto" w:fill="1F3A68"/>
            <w:vAlign w:val="center"/>
          </w:tcPr>
          <w:p>
            <w:pPr>
              <w:jc w:val="center"/>
            </w:pPr>
            <w:r>
              <w:rPr>
                <w:rFonts w:ascii="Arial" w:hAnsi="Arial"/>
                <w:b/>
                <w:color w:val="FFFFFF"/>
                <w:sz w:val="20"/>
              </w:rPr>
              <w:t>Poisson's Ratio</w:t>
            </w:r>
          </w:p>
        </w:tc>
      </w:tr>
      <w:tr>
        <w:tc>
          <w:tcPr>
            <w:tcW w:type="dxa" w:w="1920"/>
            <w:vAlign w:val="center"/>
          </w:tcPr>
          <w:p>
            <w:pPr>
              <w:jc w:val="left"/>
            </w:pPr>
            <w:r>
              <w:rPr>
                <w:rFonts w:ascii="Arial" w:hAnsi="Arial"/>
                <w:b w:val="0"/>
                <w:sz w:val="20"/>
              </w:rPr>
              <w:t>Bituminous Concrete (BC)</w:t>
            </w:r>
          </w:p>
        </w:tc>
        <w:tc>
          <w:tcPr>
            <w:tcW w:type="dxa" w:w="1920"/>
            <w:vAlign w:val="center"/>
          </w:tcPr>
          <w:p>
            <w:pPr>
              <w:jc w:val="center"/>
            </w:pPr>
            <w:r>
              <w:rPr>
                <w:rFonts w:ascii="Arial" w:hAnsi="Arial"/>
                <w:b w:val="0"/>
                <w:sz w:val="20"/>
              </w:rPr>
              <w:t>BC</w:t>
            </w:r>
          </w:p>
        </w:tc>
        <w:tc>
          <w:tcPr>
            <w:tcW w:type="dxa" w:w="1920"/>
            <w:vAlign w:val="center"/>
          </w:tcPr>
          <w:p>
            <w:pPr>
              <w:jc w:val="center"/>
            </w:pPr>
            <w:r>
              <w:rPr>
                <w:rFonts w:ascii="Arial" w:hAnsi="Arial"/>
                <w:b w:val="0"/>
                <w:sz w:val="20"/>
              </w:rPr>
              <w:t>40 mm</w:t>
            </w:r>
          </w:p>
        </w:tc>
        <w:tc>
          <w:tcPr>
            <w:tcW w:type="dxa" w:w="1920"/>
            <w:vAlign w:val="center"/>
          </w:tcPr>
          <w:p>
            <w:pPr>
              <w:jc w:val="center"/>
            </w:pPr>
            <w:r>
              <w:rPr>
                <w:rFonts w:ascii="Arial" w:hAnsi="Arial"/>
                <w:b w:val="0"/>
                <w:sz w:val="20"/>
              </w:rPr>
              <w:t>3000.0 MPa</w:t>
            </w:r>
          </w:p>
        </w:tc>
        <w:tc>
          <w:tcPr>
            <w:tcW w:type="dxa" w:w="1920"/>
            <w:vAlign w:val="center"/>
          </w:tcPr>
          <w:p>
            <w:pPr>
              <w:jc w:val="center"/>
            </w:pPr>
            <w:r>
              <w:rPr>
                <w:rFonts w:ascii="Arial" w:hAnsi="Arial"/>
                <w:b w:val="0"/>
                <w:sz w:val="20"/>
              </w:rPr>
              <w:t>—</w:t>
            </w:r>
          </w:p>
        </w:tc>
      </w:tr>
      <w:tr>
        <w:tc>
          <w:tcPr>
            <w:tcW w:type="dxa" w:w="1920"/>
            <w:vAlign w:val="center"/>
          </w:tcPr>
          <w:p>
            <w:pPr>
              <w:jc w:val="left"/>
            </w:pPr>
            <w:r>
              <w:rPr>
                <w:rFonts w:ascii="Arial" w:hAnsi="Arial"/>
                <w:b w:val="0"/>
                <w:sz w:val="20"/>
              </w:rPr>
              <w:t>Dense Bituminous Macadam (DBM)</w:t>
            </w:r>
          </w:p>
        </w:tc>
        <w:tc>
          <w:tcPr>
            <w:tcW w:type="dxa" w:w="1920"/>
            <w:vAlign w:val="center"/>
          </w:tcPr>
          <w:p>
            <w:pPr>
              <w:jc w:val="center"/>
            </w:pPr>
            <w:r>
              <w:rPr>
                <w:rFonts w:ascii="Arial" w:hAnsi="Arial"/>
                <w:b w:val="0"/>
                <w:sz w:val="20"/>
              </w:rPr>
              <w:t>DBM-II</w:t>
            </w:r>
          </w:p>
        </w:tc>
        <w:tc>
          <w:tcPr>
            <w:tcW w:type="dxa" w:w="1920"/>
            <w:vAlign w:val="center"/>
          </w:tcPr>
          <w:p>
            <w:pPr>
              <w:jc w:val="center"/>
            </w:pPr>
            <w:r>
              <w:rPr>
                <w:rFonts w:ascii="Arial" w:hAnsi="Arial"/>
                <w:b w:val="0"/>
                <w:sz w:val="20"/>
              </w:rPr>
              <w:t>190 mm</w:t>
            </w:r>
          </w:p>
        </w:tc>
        <w:tc>
          <w:tcPr>
            <w:tcW w:type="dxa" w:w="1920"/>
            <w:vAlign w:val="center"/>
          </w:tcPr>
          <w:p>
            <w:pPr>
              <w:jc w:val="center"/>
            </w:pPr>
            <w:r>
              <w:rPr>
                <w:rFonts w:ascii="Arial" w:hAnsi="Arial"/>
                <w:b w:val="0"/>
                <w:sz w:val="20"/>
              </w:rPr>
              <w:t>3000.0 MPa</w:t>
            </w:r>
          </w:p>
        </w:tc>
        <w:tc>
          <w:tcPr>
            <w:tcW w:type="dxa" w:w="1920"/>
            <w:vAlign w:val="center"/>
          </w:tcPr>
          <w:p>
            <w:pPr>
              <w:jc w:val="center"/>
            </w:pPr>
            <w:r>
              <w:rPr>
                <w:rFonts w:ascii="Arial" w:hAnsi="Arial"/>
                <w:b w:val="0"/>
                <w:sz w:val="20"/>
              </w:rPr>
              <w:t>—</w:t>
            </w:r>
          </w:p>
        </w:tc>
      </w:tr>
      <w:tr>
        <w:tc>
          <w:tcPr>
            <w:tcW w:type="dxa" w:w="1920"/>
            <w:vAlign w:val="center"/>
          </w:tcPr>
          <w:p>
            <w:pPr>
              <w:jc w:val="left"/>
            </w:pPr>
            <w:r>
              <w:rPr>
                <w:rFonts w:ascii="Arial" w:hAnsi="Arial"/>
                <w:b w:val="0"/>
                <w:sz w:val="20"/>
              </w:rPr>
              <w:t>Wet Mix Macadam (WMM)</w:t>
            </w:r>
          </w:p>
        </w:tc>
        <w:tc>
          <w:tcPr>
            <w:tcW w:type="dxa" w:w="1920"/>
            <w:vAlign w:val="center"/>
          </w:tcPr>
          <w:p>
            <w:pPr>
              <w:jc w:val="center"/>
            </w:pPr>
            <w:r>
              <w:rPr>
                <w:rFonts w:ascii="Arial" w:hAnsi="Arial"/>
                <w:b w:val="0"/>
                <w:sz w:val="20"/>
              </w:rPr>
              <w:t>WMM</w:t>
            </w:r>
          </w:p>
        </w:tc>
        <w:tc>
          <w:tcPr>
            <w:tcW w:type="dxa" w:w="1920"/>
            <w:vAlign w:val="center"/>
          </w:tcPr>
          <w:p>
            <w:pPr>
              <w:jc w:val="center"/>
            </w:pPr>
            <w:r>
              <w:rPr>
                <w:rFonts w:ascii="Arial" w:hAnsi="Arial"/>
                <w:b w:val="0"/>
                <w:sz w:val="20"/>
              </w:rPr>
              <w:t>250 mm</w:t>
            </w:r>
          </w:p>
        </w:tc>
        <w:tc>
          <w:tcPr>
            <w:tcW w:type="dxa" w:w="1920"/>
            <w:vAlign w:val="center"/>
          </w:tcPr>
          <w:p>
            <w:pPr>
              <w:jc w:val="center"/>
            </w:pPr>
            <w:r>
              <w:rPr>
                <w:rFonts w:ascii="Arial" w:hAnsi="Arial"/>
                <w:b w:val="0"/>
                <w:sz w:val="20"/>
              </w:rPr>
              <w:t>450.0 MPa</w:t>
            </w:r>
          </w:p>
        </w:tc>
        <w:tc>
          <w:tcPr>
            <w:tcW w:type="dxa" w:w="1920"/>
            <w:vAlign w:val="center"/>
          </w:tcPr>
          <w:p>
            <w:pPr>
              <w:jc w:val="center"/>
            </w:pPr>
            <w:r>
              <w:rPr>
                <w:rFonts w:ascii="Arial" w:hAnsi="Arial"/>
                <w:b w:val="0"/>
                <w:sz w:val="20"/>
              </w:rPr>
              <w:t>—</w:t>
            </w:r>
          </w:p>
        </w:tc>
      </w:tr>
      <w:tr>
        <w:tc>
          <w:tcPr>
            <w:tcW w:type="dxa" w:w="1920"/>
            <w:vAlign w:val="center"/>
          </w:tcPr>
          <w:p>
            <w:pPr>
              <w:jc w:val="left"/>
            </w:pPr>
            <w:r>
              <w:rPr>
                <w:rFonts w:ascii="Arial" w:hAnsi="Arial"/>
                <w:b w:val="0"/>
                <w:sz w:val="20"/>
              </w:rPr>
              <w:t>Granular Sub-base (GSB)</w:t>
            </w:r>
          </w:p>
        </w:tc>
        <w:tc>
          <w:tcPr>
            <w:tcW w:type="dxa" w:w="1920"/>
            <w:vAlign w:val="center"/>
          </w:tcPr>
          <w:p>
            <w:pPr>
              <w:jc w:val="center"/>
            </w:pPr>
            <w:r>
              <w:rPr>
                <w:rFonts w:ascii="Arial" w:hAnsi="Arial"/>
                <w:b w:val="0"/>
                <w:sz w:val="20"/>
              </w:rPr>
              <w:t>GSB</w:t>
            </w:r>
          </w:p>
        </w:tc>
        <w:tc>
          <w:tcPr>
            <w:tcW w:type="dxa" w:w="1920"/>
            <w:vAlign w:val="center"/>
          </w:tcPr>
          <w:p>
            <w:pPr>
              <w:jc w:val="center"/>
            </w:pPr>
            <w:r>
              <w:rPr>
                <w:rFonts w:ascii="Arial" w:hAnsi="Arial"/>
                <w:b w:val="0"/>
                <w:sz w:val="20"/>
              </w:rPr>
              <w:t>230 mm</w:t>
            </w:r>
          </w:p>
        </w:tc>
        <w:tc>
          <w:tcPr>
            <w:tcW w:type="dxa" w:w="1920"/>
            <w:vAlign w:val="center"/>
          </w:tcPr>
          <w:p>
            <w:pPr>
              <w:jc w:val="center"/>
            </w:pPr>
            <w:r>
              <w:rPr>
                <w:rFonts w:ascii="Arial" w:hAnsi="Arial"/>
                <w:b w:val="0"/>
                <w:sz w:val="20"/>
              </w:rPr>
              <w:t>200.0 MPa</w:t>
            </w:r>
          </w:p>
        </w:tc>
        <w:tc>
          <w:tcPr>
            <w:tcW w:type="dxa" w:w="1920"/>
            <w:vAlign w:val="center"/>
          </w:tcPr>
          <w:p>
            <w:pPr>
              <w:jc w:val="center"/>
            </w:pPr>
            <w:r>
              <w:rPr>
                <w:rFonts w:ascii="Arial" w:hAnsi="Arial"/>
                <w:b w:val="0"/>
                <w:sz w:val="20"/>
              </w:rPr>
              <w:t>—</w:t>
            </w:r>
          </w:p>
        </w:tc>
      </w:tr>
    </w:tbl>
    <w:p>
      <w:pPr>
        <w:jc w:val="left"/>
      </w:pPr>
      <w:r>
        <w:rPr>
          <w:b/>
          <w:color w:val="8A5A00"/>
          <w:sz w:val="20"/>
        </w:rPr>
        <w:t>WARNING: Mechanistic verification was not executed because a licensed IITPAVE installation was unavailable.</w:t>
      </w:r>
    </w:p>
    <w:p>
      <w:pPr>
        <w:spacing w:before="160" w:after="80"/>
        <w:jc w:val="left"/>
      </w:pPr>
      <w:r>
        <w:rPr>
          <w:rFonts w:ascii="Arial" w:hAnsi="Arial"/>
          <w:b/>
          <w:color w:val="1F3A68"/>
          <w:sz w:val="24"/>
        </w:rPr>
        <w:t>Validation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IITPAVE Executed</w:t>
            </w:r>
          </w:p>
        </w:tc>
        <w:tc>
          <w:tcPr>
            <w:tcW w:type="dxa" w:w="4801"/>
            <w:vAlign w:val="center"/>
          </w:tcPr>
          <w:p>
            <w:pPr>
              <w:jc w:val="center"/>
            </w:pPr>
            <w:r>
              <w:rPr>
                <w:rFonts w:ascii="Arial" w:hAnsi="Arial"/>
                <w:b w:val="0"/>
                <w:sz w:val="20"/>
              </w:rPr>
              <w:t>No</w:t>
            </w:r>
          </w:p>
        </w:tc>
      </w:tr>
      <w:tr>
        <w:tc>
          <w:tcPr>
            <w:tcW w:type="dxa" w:w="4801"/>
            <w:vAlign w:val="center"/>
          </w:tcPr>
          <w:p>
            <w:pPr>
              <w:jc w:val="left"/>
            </w:pPr>
            <w:r>
              <w:rPr>
                <w:rFonts w:ascii="Arial" w:hAnsi="Arial"/>
                <w:b w:val="0"/>
                <w:sz w:val="20"/>
              </w:rPr>
              <w:t>Calibration Status</w:t>
            </w:r>
          </w:p>
        </w:tc>
        <w:tc>
          <w:tcPr>
            <w:tcW w:type="dxa" w:w="4801"/>
            <w:vAlign w:val="center"/>
          </w:tcPr>
          <w:p>
            <w:pPr>
              <w:jc w:val="center"/>
            </w:pPr>
            <w:r>
              <w:rPr>
                <w:rFonts w:ascii="Arial" w:hAnsi="Arial"/>
                <w:b w:val="0"/>
                <w:sz w:val="20"/>
              </w:rPr>
              <w:t>Preliminary (Standard)</w:t>
            </w:r>
          </w:p>
        </w:tc>
      </w:tr>
      <w:tr>
        <w:tc>
          <w:tcPr>
            <w:tcW w:type="dxa" w:w="4801"/>
            <w:vAlign w:val="center"/>
          </w:tcPr>
          <w:p>
            <w:pPr>
              <w:jc w:val="left"/>
            </w:pPr>
            <w:r>
              <w:rPr>
                <w:rFonts w:ascii="Arial" w:hAnsi="Arial"/>
                <w:b w:val="0"/>
                <w:sz w:val="20"/>
              </w:rPr>
              <w:t>Fatigue verdict</w:t>
            </w:r>
          </w:p>
        </w:tc>
        <w:tc>
          <w:tcPr>
            <w:tcW w:type="dxa" w:w="4801"/>
            <w:vAlign w:val="center"/>
          </w:tcPr>
          <w:p>
            <w:pPr>
              <w:jc w:val="center"/>
            </w:pPr>
            <w:r>
              <w:rPr>
                <w:rFonts w:ascii="Arial" w:hAnsi="Arial"/>
                <w:b w:val="0"/>
                <w:sz w:val="20"/>
              </w:rPr>
              <w:t>—</w:t>
            </w:r>
          </w:p>
        </w:tc>
      </w:tr>
      <w:tr>
        <w:tc>
          <w:tcPr>
            <w:tcW w:type="dxa" w:w="4801"/>
            <w:vAlign w:val="center"/>
          </w:tcPr>
          <w:p>
            <w:pPr>
              <w:jc w:val="left"/>
            </w:pPr>
            <w:r>
              <w:rPr>
                <w:rFonts w:ascii="Arial" w:hAnsi="Arial"/>
                <w:b w:val="0"/>
                <w:sz w:val="20"/>
              </w:rPr>
              <w:t>Rutting verdict</w:t>
            </w:r>
          </w:p>
        </w:tc>
        <w:tc>
          <w:tcPr>
            <w:tcW w:type="dxa" w:w="4801"/>
            <w:vAlign w:val="center"/>
          </w:tcPr>
          <w:p>
            <w:pPr>
              <w:jc w:val="center"/>
            </w:pPr>
            <w:r>
              <w:rPr>
                <w:rFonts w:ascii="Arial" w:hAnsi="Arial"/>
                <w:b w:val="0"/>
                <w:sz w:val="20"/>
              </w:rPr>
              <w:t>—</w:t>
            </w:r>
          </w:p>
        </w:tc>
      </w:tr>
      <w:tr>
        <w:tc>
          <w:tcPr>
            <w:tcW w:type="dxa" w:w="4801"/>
            <w:vAlign w:val="center"/>
          </w:tcPr>
          <w:p>
            <w:pPr>
              <w:jc w:val="left"/>
            </w:pPr>
            <w:r>
              <w:rPr>
                <w:rFonts w:ascii="Arial" w:hAnsi="Arial"/>
                <w:b w:val="0"/>
                <w:sz w:val="20"/>
              </w:rPr>
              <w:t>Fatigue life (MSA)</w:t>
            </w:r>
          </w:p>
        </w:tc>
        <w:tc>
          <w:tcPr>
            <w:tcW w:type="dxa" w:w="4801"/>
            <w:vAlign w:val="center"/>
          </w:tcPr>
          <w:p>
            <w:pPr>
              <w:jc w:val="center"/>
            </w:pPr>
            <w:r>
              <w:rPr>
                <w:rFonts w:ascii="Arial" w:hAnsi="Arial"/>
                <w:b w:val="0"/>
                <w:sz w:val="20"/>
              </w:rPr>
              <w:t>—</w:t>
            </w:r>
          </w:p>
        </w:tc>
      </w:tr>
      <w:tr>
        <w:tc>
          <w:tcPr>
            <w:tcW w:type="dxa" w:w="4801"/>
            <w:vAlign w:val="center"/>
          </w:tcPr>
          <w:p>
            <w:pPr>
              <w:jc w:val="left"/>
            </w:pPr>
            <w:r>
              <w:rPr>
                <w:rFonts w:ascii="Arial" w:hAnsi="Arial"/>
                <w:b w:val="0"/>
                <w:sz w:val="20"/>
              </w:rPr>
              <w:t>Rutting life (MSA)</w:t>
            </w:r>
          </w:p>
        </w:tc>
        <w:tc>
          <w:tcPr>
            <w:tcW w:type="dxa" w:w="4801"/>
            <w:vAlign w:val="center"/>
          </w:tcPr>
          <w:p>
            <w:pPr>
              <w:jc w:val="center"/>
            </w:pPr>
            <w:r>
              <w:rPr>
                <w:rFonts w:ascii="Arial" w:hAnsi="Arial"/>
                <w:b w:val="0"/>
                <w:sz w:val="20"/>
              </w:rPr>
              <w:t>—</w:t>
            </w:r>
          </w:p>
        </w:tc>
      </w:tr>
      <w:tr>
        <w:tc>
          <w:tcPr>
            <w:tcW w:type="dxa" w:w="4801"/>
            <w:vAlign w:val="center"/>
          </w:tcPr>
          <w:p>
            <w:pPr>
              <w:jc w:val="left"/>
            </w:pPr>
            <w:r>
              <w:rPr>
                <w:rFonts w:ascii="Arial" w:hAnsi="Arial"/>
                <w:b w:val="0"/>
                <w:sz w:val="20"/>
              </w:rPr>
              <w:t>Design traffic (MSA)</w:t>
            </w:r>
          </w:p>
        </w:tc>
        <w:tc>
          <w:tcPr>
            <w:tcW w:type="dxa" w:w="4801"/>
            <w:vAlign w:val="center"/>
          </w:tcPr>
          <w:p>
            <w:pPr>
              <w:jc w:val="center"/>
            </w:pPr>
            <w:r>
              <w:rPr>
                <w:rFonts w:ascii="Arial" w:hAnsi="Arial"/>
                <w:b w:val="0"/>
                <w:sz w:val="20"/>
              </w:rPr>
              <w:t>183.30</w:t>
            </w:r>
          </w:p>
        </w:tc>
      </w:tr>
    </w:tbl>
    <w:p>
      <w:pPr>
        <w:spacing w:before="160" w:after="80"/>
        <w:jc w:val="left"/>
      </w:pPr>
      <w:r>
        <w:rPr>
          <w:rFonts w:ascii="Arial" w:hAnsi="Arial"/>
          <w:b/>
          <w:color w:val="1F3A68"/>
          <w:sz w:val="24"/>
        </w:rPr>
        <w:t>Fatigue (Bottom of Bituminous-Bound Layer)</w:t>
      </w:r>
    </w:p>
    <w:p>
      <w:pPr>
        <w:jc w:val="left"/>
      </w:pPr>
      <w:r>
        <w:rPr>
          <w:rFonts w:ascii="Arial" w:hAnsi="Arial"/>
          <w:b w:val="0"/>
          <w:i/>
          <w:sz w:val="20"/>
        </w:rPr>
        <w:t>Model (IRC:37-2018 cl. 6.4.2):  N_f = C · k1 · (1/ε_t)^k2 · (1/E)^k3   →   N_f_MSA = N_f / 10^6</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Tensile strain ε_t (microstrain)</w:t>
            </w:r>
          </w:p>
        </w:tc>
        <w:tc>
          <w:tcPr>
            <w:tcW w:type="dxa" w:w="4801"/>
            <w:vAlign w:val="center"/>
          </w:tcPr>
          <w:p>
            <w:pPr>
              <w:jc w:val="center"/>
            </w:pPr>
            <w:r>
              <w:rPr>
                <w:rFonts w:ascii="Arial" w:hAnsi="Arial"/>
                <w:b w:val="0"/>
                <w:sz w:val="20"/>
              </w:rPr>
              <w:t>112.50</w:t>
            </w:r>
          </w:p>
        </w:tc>
      </w:tr>
      <w:tr>
        <w:tc>
          <w:tcPr>
            <w:tcW w:type="dxa" w:w="4801"/>
            <w:vAlign w:val="center"/>
          </w:tcPr>
          <w:p>
            <w:pPr>
              <w:jc w:val="left"/>
            </w:pPr>
            <w:r>
              <w:rPr>
                <w:rFonts w:ascii="Arial" w:hAnsi="Arial"/>
                <w:b w:val="0"/>
                <w:sz w:val="20"/>
              </w:rPr>
              <w:t>Bituminous modulus E_BC (MPa)</w:t>
            </w:r>
          </w:p>
        </w:tc>
        <w:tc>
          <w:tcPr>
            <w:tcW w:type="dxa" w:w="4801"/>
            <w:vAlign w:val="center"/>
          </w:tcPr>
          <w:p>
            <w:pPr>
              <w:jc w:val="center"/>
            </w:pPr>
            <w:r>
              <w:rPr>
                <w:rFonts w:ascii="Arial" w:hAnsi="Arial"/>
                <w:b w:val="0"/>
                <w:sz w:val="20"/>
              </w:rPr>
              <w:t>3000</w:t>
            </w:r>
          </w:p>
        </w:tc>
      </w:tr>
      <w:tr>
        <w:tc>
          <w:tcPr>
            <w:tcW w:type="dxa" w:w="4801"/>
            <w:vAlign w:val="center"/>
          </w:tcPr>
          <w:p>
            <w:pPr>
              <w:jc w:val="left"/>
            </w:pPr>
            <w:r>
              <w:rPr>
                <w:rFonts w:ascii="Arial" w:hAnsi="Arial"/>
                <w:b w:val="0"/>
                <w:sz w:val="20"/>
              </w:rPr>
              <w:t>Design traffic (MSA)</w:t>
            </w:r>
          </w:p>
        </w:tc>
        <w:tc>
          <w:tcPr>
            <w:tcW w:type="dxa" w:w="4801"/>
            <w:vAlign w:val="center"/>
          </w:tcPr>
          <w:p>
            <w:pPr>
              <w:jc w:val="center"/>
            </w:pPr>
            <w:r>
              <w:rPr>
                <w:rFonts w:ascii="Arial" w:hAnsi="Arial"/>
                <w:b w:val="0"/>
                <w:sz w:val="20"/>
              </w:rPr>
              <w:t>183.30</w:t>
            </w:r>
          </w:p>
        </w:tc>
      </w:tr>
      <w:tr>
        <w:tc>
          <w:tcPr>
            <w:tcW w:type="dxa" w:w="4801"/>
            <w:vAlign w:val="center"/>
          </w:tcPr>
          <w:p>
            <w:pPr>
              <w:jc w:val="left"/>
            </w:pPr>
            <w:r>
              <w:rPr>
                <w:rFonts w:ascii="Arial" w:hAnsi="Arial"/>
                <w:b w:val="0"/>
                <w:sz w:val="20"/>
              </w:rPr>
              <w:t>C factor (VBE/Va adjustment)</w:t>
            </w:r>
          </w:p>
        </w:tc>
        <w:tc>
          <w:tcPr>
            <w:tcW w:type="dxa" w:w="4801"/>
            <w:vAlign w:val="center"/>
          </w:tcPr>
          <w:p>
            <w:pPr>
              <w:jc w:val="center"/>
            </w:pPr>
            <w:r>
              <w:rPr>
                <w:rFonts w:ascii="Arial" w:hAnsi="Arial"/>
                <w:b w:val="0"/>
                <w:sz w:val="20"/>
              </w:rPr>
              <w:t>1</w:t>
            </w:r>
          </w:p>
        </w:tc>
      </w:tr>
      <w:tr>
        <w:tc>
          <w:tcPr>
            <w:tcW w:type="dxa" w:w="4801"/>
            <w:vAlign w:val="center"/>
          </w:tcPr>
          <w:p>
            <w:pPr>
              <w:jc w:val="left"/>
            </w:pPr>
            <w:r>
              <w:rPr>
                <w:rFonts w:ascii="Arial" w:hAnsi="Arial"/>
                <w:b w:val="0"/>
                <w:sz w:val="20"/>
              </w:rPr>
              <w:t>Cumulative fatigue life (MSA)</w:t>
            </w:r>
          </w:p>
        </w:tc>
        <w:tc>
          <w:tcPr>
            <w:tcW w:type="dxa" w:w="4801"/>
            <w:vAlign w:val="center"/>
          </w:tcPr>
          <w:p>
            <w:pPr>
              <w:jc w:val="center"/>
            </w:pPr>
            <w:r>
              <w:rPr>
                <w:rFonts w:ascii="Arial" w:hAnsi="Arial"/>
                <w:b w:val="0"/>
                <w:sz w:val="20"/>
              </w:rPr>
              <w:t>250.00</w:t>
            </w:r>
          </w:p>
        </w:tc>
      </w:tr>
      <w:tr>
        <w:tc>
          <w:tcPr>
            <w:tcW w:type="dxa" w:w="4801"/>
            <w:vAlign w:val="center"/>
          </w:tcPr>
          <w:p>
            <w:pPr>
              <w:jc w:val="left"/>
            </w:pPr>
            <w:r>
              <w:rPr>
                <w:rFonts w:ascii="Arial" w:hAnsi="Arial"/>
                <w:b w:val="0"/>
                <w:sz w:val="20"/>
              </w:rPr>
              <w:t>Verdict</w:t>
            </w:r>
          </w:p>
        </w:tc>
        <w:tc>
          <w:tcPr>
            <w:tcW w:type="dxa" w:w="4801"/>
            <w:vAlign w:val="center"/>
          </w:tcPr>
          <w:p>
            <w:pPr>
              <w:jc w:val="center"/>
            </w:pPr>
            <w:r>
              <w:rPr>
                <w:rFonts w:ascii="Arial" w:hAnsi="Arial"/>
                <w:b w:val="0"/>
                <w:sz w:val="20"/>
              </w:rPr>
              <w:t>—</w:t>
            </w:r>
          </w:p>
        </w:tc>
      </w:tr>
    </w:tbl>
    <w:p>
      <w:pPr>
        <w:spacing w:before="160" w:after="80"/>
        <w:jc w:val="left"/>
      </w:pPr>
      <w:r>
        <w:rPr>
          <w:rFonts w:ascii="Arial" w:hAnsi="Arial"/>
          <w:b/>
          <w:sz w:val="22"/>
        </w:rPr>
        <w:t>Fatigue Calibration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Constant</w:t>
            </w:r>
          </w:p>
        </w:tc>
        <w:tc>
          <w:tcPr>
            <w:tcW w:type="dxa" w:w="3201"/>
            <w:shd w:val="clear" w:color="auto" w:fill="1F3A68"/>
            <w:vAlign w:val="center"/>
          </w:tcPr>
          <w:p>
            <w:pPr>
              <w:jc w:val="center"/>
            </w:pPr>
            <w:r>
              <w:rPr>
                <w:rFonts w:ascii="Arial" w:hAnsi="Arial"/>
                <w:b/>
                <w:color w:val="FFFFFF"/>
                <w:sz w:val="20"/>
              </w:rPr>
              <w:t>Symbol</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Calibration label</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IRC37_PLACEHOLDER_80pct</w:t>
            </w:r>
          </w:p>
        </w:tc>
      </w:tr>
      <w:tr>
        <w:tc>
          <w:tcPr>
            <w:tcW w:type="dxa" w:w="3201"/>
            <w:vAlign w:val="center"/>
          </w:tcPr>
          <w:p>
            <w:pPr>
              <w:jc w:val="left"/>
            </w:pPr>
            <w:r>
              <w:rPr>
                <w:rFonts w:ascii="Arial" w:hAnsi="Arial"/>
                <w:b w:val="0"/>
                <w:sz w:val="20"/>
              </w:rPr>
              <w:t>Reliability</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80%</w:t>
            </w:r>
          </w:p>
        </w:tc>
      </w:tr>
      <w:tr>
        <w:tc>
          <w:tcPr>
            <w:tcW w:type="dxa" w:w="3201"/>
            <w:vAlign w:val="center"/>
          </w:tcPr>
          <w:p>
            <w:pPr>
              <w:jc w:val="left"/>
            </w:pPr>
            <w:r>
              <w:rPr>
                <w:rFonts w:ascii="Arial" w:hAnsi="Arial"/>
                <w:b w:val="0"/>
                <w:sz w:val="20"/>
              </w:rPr>
              <w:t>Coefficient</w:t>
            </w:r>
          </w:p>
        </w:tc>
        <w:tc>
          <w:tcPr>
            <w:tcW w:type="dxa" w:w="3201"/>
            <w:vAlign w:val="center"/>
          </w:tcPr>
          <w:p>
            <w:pPr>
              <w:jc w:val="center"/>
            </w:pPr>
            <w:r>
              <w:rPr>
                <w:rFonts w:ascii="Arial" w:hAnsi="Arial"/>
                <w:b w:val="0"/>
                <w:sz w:val="20"/>
              </w:rPr>
              <w:t>k1</w:t>
            </w:r>
          </w:p>
        </w:tc>
        <w:tc>
          <w:tcPr>
            <w:tcW w:type="dxa" w:w="3201"/>
            <w:vAlign w:val="center"/>
          </w:tcPr>
          <w:p>
            <w:pPr>
              <w:jc w:val="center"/>
            </w:pPr>
            <w:r>
              <w:rPr>
                <w:rFonts w:ascii="Arial" w:hAnsi="Arial"/>
                <w:b w:val="0"/>
                <w:sz w:val="20"/>
              </w:rPr>
              <w:t>2.2100e-04</w:t>
            </w:r>
          </w:p>
        </w:tc>
      </w:tr>
      <w:tr>
        <w:tc>
          <w:tcPr>
            <w:tcW w:type="dxa" w:w="3201"/>
            <w:vAlign w:val="center"/>
          </w:tcPr>
          <w:p>
            <w:pPr>
              <w:jc w:val="left"/>
            </w:pPr>
            <w:r>
              <w:rPr>
                <w:rFonts w:ascii="Arial" w:hAnsi="Arial"/>
                <w:b w:val="0"/>
                <w:sz w:val="20"/>
              </w:rPr>
              <w:t>Strain exponent</w:t>
            </w:r>
          </w:p>
        </w:tc>
        <w:tc>
          <w:tcPr>
            <w:tcW w:type="dxa" w:w="3201"/>
            <w:vAlign w:val="center"/>
          </w:tcPr>
          <w:p>
            <w:pPr>
              <w:jc w:val="center"/>
            </w:pPr>
            <w:r>
              <w:rPr>
                <w:rFonts w:ascii="Arial" w:hAnsi="Arial"/>
                <w:b w:val="0"/>
                <w:sz w:val="20"/>
              </w:rPr>
              <w:t>k2</w:t>
            </w:r>
          </w:p>
        </w:tc>
        <w:tc>
          <w:tcPr>
            <w:tcW w:type="dxa" w:w="3201"/>
            <w:vAlign w:val="center"/>
          </w:tcPr>
          <w:p>
            <w:pPr>
              <w:jc w:val="center"/>
            </w:pPr>
            <w:r>
              <w:rPr>
                <w:rFonts w:ascii="Arial" w:hAnsi="Arial"/>
                <w:b w:val="0"/>
                <w:sz w:val="20"/>
              </w:rPr>
              <w:t>3.89</w:t>
            </w:r>
          </w:p>
        </w:tc>
      </w:tr>
      <w:tr>
        <w:tc>
          <w:tcPr>
            <w:tcW w:type="dxa" w:w="3201"/>
            <w:vAlign w:val="center"/>
          </w:tcPr>
          <w:p>
            <w:pPr>
              <w:jc w:val="left"/>
            </w:pPr>
            <w:r>
              <w:rPr>
                <w:rFonts w:ascii="Arial" w:hAnsi="Arial"/>
                <w:b w:val="0"/>
                <w:sz w:val="20"/>
              </w:rPr>
              <w:t>Modulus exponent</w:t>
            </w:r>
          </w:p>
        </w:tc>
        <w:tc>
          <w:tcPr>
            <w:tcW w:type="dxa" w:w="3201"/>
            <w:vAlign w:val="center"/>
          </w:tcPr>
          <w:p>
            <w:pPr>
              <w:jc w:val="center"/>
            </w:pPr>
            <w:r>
              <w:rPr>
                <w:rFonts w:ascii="Arial" w:hAnsi="Arial"/>
                <w:b w:val="0"/>
                <w:sz w:val="20"/>
              </w:rPr>
              <w:t>k3</w:t>
            </w:r>
          </w:p>
        </w:tc>
        <w:tc>
          <w:tcPr>
            <w:tcW w:type="dxa" w:w="3201"/>
            <w:vAlign w:val="center"/>
          </w:tcPr>
          <w:p>
            <w:pPr>
              <w:jc w:val="center"/>
            </w:pPr>
            <w:r>
              <w:rPr>
                <w:rFonts w:ascii="Arial" w:hAnsi="Arial"/>
                <w:b w:val="0"/>
                <w:sz w:val="20"/>
              </w:rPr>
              <w:t>0.854</w:t>
            </w:r>
          </w:p>
        </w:tc>
      </w:tr>
      <w:tr>
        <w:tc>
          <w:tcPr>
            <w:tcW w:type="dxa" w:w="3201"/>
            <w:vAlign w:val="center"/>
          </w:tcPr>
          <w:p>
            <w:pPr>
              <w:jc w:val="left"/>
            </w:pPr>
            <w:r>
              <w:rPr>
                <w:rFonts w:ascii="Arial" w:hAnsi="Arial"/>
                <w:b w:val="0"/>
                <w:sz w:val="20"/>
              </w:rPr>
              <w:t>Calibration Status</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Preliminary (Standard)</w:t>
            </w:r>
          </w:p>
        </w:tc>
      </w:tr>
    </w:tbl>
    <w:p>
      <w:pPr>
        <w:jc w:val="left"/>
      </w:pPr>
      <w:r>
        <w:rPr>
          <w:b/>
          <w:color w:val="8A5A00"/>
          <w:sz w:val="20"/>
        </w:rPr>
        <w:t>[BLOCKED — fatigue] Mechanistic verification was not executed because a licensed IITPAVE installation was unavailable.</w:t>
      </w:r>
    </w:p>
    <w:p>
      <w:pPr>
        <w:spacing w:before="40" w:after="120"/>
        <w:jc w:val="left"/>
      </w:pPr>
      <w:r>
        <w:rPr>
          <w:rFonts w:ascii="Arial" w:hAnsi="Arial"/>
          <w:i/>
          <w:color w:val="555B6E"/>
          <w:sz w:val="18"/>
        </w:rPr>
        <w:t>Mechanistic verification was not executed because a licensed IITPAVE installation was unavailable.</w:t>
      </w:r>
    </w:p>
    <w:p>
      <w:pPr>
        <w:spacing w:before="160" w:after="80"/>
        <w:jc w:val="left"/>
      </w:pPr>
      <w:r>
        <w:rPr>
          <w:rFonts w:ascii="Arial" w:hAnsi="Arial"/>
          <w:b/>
          <w:color w:val="1F3A68"/>
          <w:sz w:val="24"/>
        </w:rPr>
        <w:t>Rutting (Top of Subgrade)</w:t>
      </w:r>
    </w:p>
    <w:p>
      <w:pPr>
        <w:jc w:val="left"/>
      </w:pPr>
      <w:r>
        <w:rPr>
          <w:rFonts w:ascii="Arial" w:hAnsi="Arial"/>
          <w:b w:val="0"/>
          <w:i/>
          <w:sz w:val="20"/>
        </w:rPr>
        <w:t>Model (IRC:37-2018 cl. 6.4.3):  N_r = k_r · (1/ε_v)^k_v   →   N_r_MSA = N_r / 10^6</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Vertical strain ε_v (microstrain)</w:t>
            </w:r>
          </w:p>
        </w:tc>
        <w:tc>
          <w:tcPr>
            <w:tcW w:type="dxa" w:w="4801"/>
            <w:vAlign w:val="center"/>
          </w:tcPr>
          <w:p>
            <w:pPr>
              <w:jc w:val="center"/>
            </w:pPr>
            <w:r>
              <w:rPr>
                <w:rFonts w:ascii="Arial" w:hAnsi="Arial"/>
                <w:b w:val="0"/>
                <w:sz w:val="20"/>
              </w:rPr>
              <w:t>220.00</w:t>
            </w:r>
          </w:p>
        </w:tc>
      </w:tr>
      <w:tr>
        <w:tc>
          <w:tcPr>
            <w:tcW w:type="dxa" w:w="4801"/>
            <w:vAlign w:val="center"/>
          </w:tcPr>
          <w:p>
            <w:pPr>
              <w:jc w:val="left"/>
            </w:pPr>
            <w:r>
              <w:rPr>
                <w:rFonts w:ascii="Arial" w:hAnsi="Arial"/>
                <w:b w:val="0"/>
                <w:sz w:val="20"/>
              </w:rPr>
              <w:t>Design traffic (MSA)</w:t>
            </w:r>
          </w:p>
        </w:tc>
        <w:tc>
          <w:tcPr>
            <w:tcW w:type="dxa" w:w="4801"/>
            <w:vAlign w:val="center"/>
          </w:tcPr>
          <w:p>
            <w:pPr>
              <w:jc w:val="center"/>
            </w:pPr>
            <w:r>
              <w:rPr>
                <w:rFonts w:ascii="Arial" w:hAnsi="Arial"/>
                <w:b w:val="0"/>
                <w:sz w:val="20"/>
              </w:rPr>
              <w:t>183.30</w:t>
            </w:r>
          </w:p>
        </w:tc>
      </w:tr>
      <w:tr>
        <w:tc>
          <w:tcPr>
            <w:tcW w:type="dxa" w:w="4801"/>
            <w:vAlign w:val="center"/>
          </w:tcPr>
          <w:p>
            <w:pPr>
              <w:jc w:val="left"/>
            </w:pPr>
            <w:r>
              <w:rPr>
                <w:rFonts w:ascii="Arial" w:hAnsi="Arial"/>
                <w:b w:val="0"/>
                <w:sz w:val="20"/>
              </w:rPr>
              <w:t>Cumulative rutting life (MSA)</w:t>
            </w:r>
          </w:p>
        </w:tc>
        <w:tc>
          <w:tcPr>
            <w:tcW w:type="dxa" w:w="4801"/>
            <w:vAlign w:val="center"/>
          </w:tcPr>
          <w:p>
            <w:pPr>
              <w:jc w:val="center"/>
            </w:pPr>
            <w:r>
              <w:rPr>
                <w:rFonts w:ascii="Arial" w:hAnsi="Arial"/>
                <w:b w:val="0"/>
                <w:sz w:val="20"/>
              </w:rPr>
              <w:t>300.00</w:t>
            </w:r>
          </w:p>
        </w:tc>
      </w:tr>
      <w:tr>
        <w:tc>
          <w:tcPr>
            <w:tcW w:type="dxa" w:w="4801"/>
            <w:vAlign w:val="center"/>
          </w:tcPr>
          <w:p>
            <w:pPr>
              <w:jc w:val="left"/>
            </w:pPr>
            <w:r>
              <w:rPr>
                <w:rFonts w:ascii="Arial" w:hAnsi="Arial"/>
                <w:b w:val="0"/>
                <w:sz w:val="20"/>
              </w:rPr>
              <w:t>Verdict</w:t>
            </w:r>
          </w:p>
        </w:tc>
        <w:tc>
          <w:tcPr>
            <w:tcW w:type="dxa" w:w="4801"/>
            <w:vAlign w:val="center"/>
          </w:tcPr>
          <w:p>
            <w:pPr>
              <w:jc w:val="center"/>
            </w:pPr>
            <w:r>
              <w:rPr>
                <w:rFonts w:ascii="Arial" w:hAnsi="Arial"/>
                <w:b w:val="0"/>
                <w:sz w:val="20"/>
              </w:rPr>
              <w:t>—</w:t>
            </w:r>
          </w:p>
        </w:tc>
      </w:tr>
    </w:tbl>
    <w:p>
      <w:pPr>
        <w:spacing w:before="160" w:after="80"/>
        <w:jc w:val="left"/>
      </w:pPr>
      <w:r>
        <w:rPr>
          <w:rFonts w:ascii="Arial" w:hAnsi="Arial"/>
          <w:b/>
          <w:sz w:val="22"/>
        </w:rPr>
        <w:t>Rutting Calibration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Constant</w:t>
            </w:r>
          </w:p>
        </w:tc>
        <w:tc>
          <w:tcPr>
            <w:tcW w:type="dxa" w:w="3201"/>
            <w:shd w:val="clear" w:color="auto" w:fill="1F3A68"/>
            <w:vAlign w:val="center"/>
          </w:tcPr>
          <w:p>
            <w:pPr>
              <w:jc w:val="center"/>
            </w:pPr>
            <w:r>
              <w:rPr>
                <w:rFonts w:ascii="Arial" w:hAnsi="Arial"/>
                <w:b/>
                <w:color w:val="FFFFFF"/>
                <w:sz w:val="20"/>
              </w:rPr>
              <w:t>Symbol</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Calibration label</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IRC37_PLACEHOLDER_80pct</w:t>
            </w:r>
          </w:p>
        </w:tc>
      </w:tr>
      <w:tr>
        <w:tc>
          <w:tcPr>
            <w:tcW w:type="dxa" w:w="3201"/>
            <w:vAlign w:val="center"/>
          </w:tcPr>
          <w:p>
            <w:pPr>
              <w:jc w:val="left"/>
            </w:pPr>
            <w:r>
              <w:rPr>
                <w:rFonts w:ascii="Arial" w:hAnsi="Arial"/>
                <w:b w:val="0"/>
                <w:sz w:val="20"/>
              </w:rPr>
              <w:t>Reliability</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80%</w:t>
            </w:r>
          </w:p>
        </w:tc>
      </w:tr>
      <w:tr>
        <w:tc>
          <w:tcPr>
            <w:tcW w:type="dxa" w:w="3201"/>
            <w:vAlign w:val="center"/>
          </w:tcPr>
          <w:p>
            <w:pPr>
              <w:jc w:val="left"/>
            </w:pPr>
            <w:r>
              <w:rPr>
                <w:rFonts w:ascii="Arial" w:hAnsi="Arial"/>
                <w:b w:val="0"/>
                <w:sz w:val="20"/>
              </w:rPr>
              <w:t>Coefficient</w:t>
            </w:r>
          </w:p>
        </w:tc>
        <w:tc>
          <w:tcPr>
            <w:tcW w:type="dxa" w:w="3201"/>
            <w:vAlign w:val="center"/>
          </w:tcPr>
          <w:p>
            <w:pPr>
              <w:jc w:val="center"/>
            </w:pPr>
            <w:r>
              <w:rPr>
                <w:rFonts w:ascii="Arial" w:hAnsi="Arial"/>
                <w:b w:val="0"/>
                <w:sz w:val="20"/>
              </w:rPr>
              <w:t>k_r</w:t>
            </w:r>
          </w:p>
        </w:tc>
        <w:tc>
          <w:tcPr>
            <w:tcW w:type="dxa" w:w="3201"/>
            <w:vAlign w:val="center"/>
          </w:tcPr>
          <w:p>
            <w:pPr>
              <w:jc w:val="center"/>
            </w:pPr>
            <w:r>
              <w:rPr>
                <w:rFonts w:ascii="Arial" w:hAnsi="Arial"/>
                <w:b w:val="0"/>
                <w:sz w:val="20"/>
              </w:rPr>
              <w:t>4.1656e-08</w:t>
            </w:r>
          </w:p>
        </w:tc>
      </w:tr>
      <w:tr>
        <w:tc>
          <w:tcPr>
            <w:tcW w:type="dxa" w:w="3201"/>
            <w:vAlign w:val="center"/>
          </w:tcPr>
          <w:p>
            <w:pPr>
              <w:jc w:val="left"/>
            </w:pPr>
            <w:r>
              <w:rPr>
                <w:rFonts w:ascii="Arial" w:hAnsi="Arial"/>
                <w:b w:val="0"/>
                <w:sz w:val="20"/>
              </w:rPr>
              <w:t>Strain exponent</w:t>
            </w:r>
          </w:p>
        </w:tc>
        <w:tc>
          <w:tcPr>
            <w:tcW w:type="dxa" w:w="3201"/>
            <w:vAlign w:val="center"/>
          </w:tcPr>
          <w:p>
            <w:pPr>
              <w:jc w:val="center"/>
            </w:pPr>
            <w:r>
              <w:rPr>
                <w:rFonts w:ascii="Arial" w:hAnsi="Arial"/>
                <w:b w:val="0"/>
                <w:sz w:val="20"/>
              </w:rPr>
              <w:t>k_v</w:t>
            </w:r>
          </w:p>
        </w:tc>
        <w:tc>
          <w:tcPr>
            <w:tcW w:type="dxa" w:w="3201"/>
            <w:vAlign w:val="center"/>
          </w:tcPr>
          <w:p>
            <w:pPr>
              <w:jc w:val="center"/>
            </w:pPr>
            <w:r>
              <w:rPr>
                <w:rFonts w:ascii="Arial" w:hAnsi="Arial"/>
                <w:b w:val="0"/>
                <w:sz w:val="20"/>
              </w:rPr>
              <w:t>4.5337</w:t>
            </w:r>
          </w:p>
        </w:tc>
      </w:tr>
      <w:tr>
        <w:tc>
          <w:tcPr>
            <w:tcW w:type="dxa" w:w="3201"/>
            <w:vAlign w:val="center"/>
          </w:tcPr>
          <w:p>
            <w:pPr>
              <w:jc w:val="left"/>
            </w:pPr>
            <w:r>
              <w:rPr>
                <w:rFonts w:ascii="Arial" w:hAnsi="Arial"/>
                <w:b w:val="0"/>
                <w:sz w:val="20"/>
              </w:rPr>
              <w:t>Calibration Status</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Preliminary (Standard)</w:t>
            </w:r>
          </w:p>
        </w:tc>
      </w:tr>
    </w:tbl>
    <w:p>
      <w:pPr>
        <w:jc w:val="left"/>
      </w:pPr>
      <w:r>
        <w:rPr>
          <w:b/>
          <w:color w:val="8A5A00"/>
          <w:sz w:val="20"/>
        </w:rPr>
        <w:t>[BLOCKED — rutting] Mechanistic verification was not executed because a licensed IITPAVE installation was unavailable.</w:t>
      </w:r>
    </w:p>
    <w:p>
      <w:pPr>
        <w:spacing w:before="40" w:after="120"/>
        <w:jc w:val="left"/>
      </w:pPr>
      <w:r>
        <w:rPr>
          <w:rFonts w:ascii="Arial" w:hAnsi="Arial"/>
          <w:i/>
          <w:color w:val="555B6E"/>
          <w:sz w:val="18"/>
        </w:rPr>
        <w:t>Mechanistic verification was not executed because a licensed IITPAVE installation was unavailable.</w:t>
      </w:r>
    </w:p>
    <w:p>
      <w:pPr>
        <w:spacing w:before="160" w:after="80"/>
        <w:jc w:val="left"/>
      </w:pPr>
      <w:r>
        <w:rPr>
          <w:rFonts w:ascii="Arial" w:hAnsi="Arial"/>
          <w:b/>
          <w:sz w:val="22"/>
        </w:rPr>
        <w:t>Notes</w:t>
      </w:r>
    </w:p>
    <w:p>
      <w:pPr>
        <w:spacing w:before="40" w:after="120"/>
        <w:jc w:val="left"/>
      </w:pPr>
      <w:r>
        <w:rPr>
          <w:rFonts w:ascii="Arial" w:hAnsi="Arial"/>
          <w:i/>
          <w:color w:val="555B6E"/>
          <w:sz w:val="18"/>
        </w:rPr>
        <w:t>Mechanistic verification was not executed because a licensed IITPAVE installation was unavailable.</w:t>
      </w:r>
    </w:p>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6.4.2</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6.4.3</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6.4</w:t>
            </w:r>
          </w:p>
        </w:tc>
        <w:tc>
          <w:tcPr>
            <w:tcW w:type="dxa" w:w="3201"/>
            <w:vAlign w:val="center"/>
          </w:tcPr>
          <w:p>
            <w:pPr>
              <w:jc w:val="center"/>
            </w:pPr>
            <w:r>
              <w:rPr>
                <w:rFonts w:ascii="Arial" w:hAnsi="Arial"/>
                <w:b w:val="0"/>
                <w:sz w:val="20"/>
              </w:rPr>
              <w:t>Guidelines for the Design of Flexible Pavements</w:t>
            </w:r>
          </w:p>
        </w:tc>
      </w:tr>
    </w:tbl>
    <w:p>
      <w:pPr>
        <w:spacing w:before="160" w:after="80"/>
        <w:jc w:val="left"/>
      </w:pPr>
      <w:r>
        <w:rPr>
          <w:rFonts w:ascii="Arial" w:hAnsi="Arial"/>
          <w:b/>
          <w:color w:val="1F3A68"/>
          <w:sz w:val="24"/>
        </w:rPr>
        <w:t>7. Designer Notes</w:t>
      </w:r>
    </w:p>
    <w:p>
      <w:pPr>
        <w:jc w:val="left"/>
      </w:pPr>
      <w:r>
        <w:rPr>
          <w:rFonts w:ascii="Arial" w:hAnsi="Arial"/>
          <w:b w:val="0"/>
          <w:i w:val="0"/>
          <w:sz w:val="20"/>
        </w:rPr>
        <w:t>IRC:37 catalogue reference: Skeleton - CBR 5-8%, MSA &gt;= 50 | Catalogue database incomplete — engineer verification required. | This catalogue entry is based on the legacy Phase-4 skeleton composition and has not been fully verified against the complete set of IRC:37 Plates. Engineer verification is required. | Design traffic (183.30 MSA) exceeds the maximum catalogue limit of 150.0 MSA. Suggesting 150.0 MSA composition as baseline; mechanistic design must be verified in IITPAVE.</w:t>
      </w:r>
    </w:p>
    <w:p>
      <w:pPr>
        <w:spacing w:before="160" w:after="80"/>
        <w:jc w:val="left"/>
      </w:pPr>
      <w:r>
        <w:rPr>
          <w:rFonts w:ascii="Arial" w:hAnsi="Arial"/>
          <w:b/>
          <w:color w:val="1F3A68"/>
          <w:sz w:val="24"/>
        </w:rPr>
        <w:t>8. Engineering Explainability &amp; Decision Support</w:t>
      </w:r>
    </w:p>
    <w:p>
      <w:pPr>
        <w:spacing w:before="160" w:after="80"/>
        <w:jc w:val="left"/>
      </w:pPr>
      <w:r>
        <w:rPr>
          <w:rFonts w:ascii="Arial" w:hAnsi="Arial"/>
          <w:b/>
          <w:sz w:val="22"/>
        </w:rPr>
        <w:t>8.1 Engineering Decision Chain</w:t>
      </w:r>
    </w:p>
    <w:p>
      <w:pPr>
        <w:jc w:val="left"/>
      </w:pPr>
      <w:r>
        <w:rPr>
          <w:rFonts w:ascii="Arial" w:hAnsi="Arial"/>
          <w:b/>
          <w:i w:val="0"/>
          <w:sz w:val="22"/>
        </w:rPr>
        <w:t>Very High Traffic (&gt; 100 MSA) → CBR 5% - 7.9% range → Skeleton - CBR 5-8%, MSA &gt;= 50 → Fully Consistent → Rs. 30,643,200.00 per km lane length (Preliminary estimate)</w:t>
      </w:r>
    </w:p>
    <w:p>
      <w:pPr>
        <w:jc w:val="left"/>
      </w:pPr>
      <w:r>
        <w:rPr>
          <w:rFonts w:ascii="Arial" w:hAnsi="Arial"/>
          <w:b w:val="0"/>
          <w:i/>
          <w:sz w:val="22"/>
        </w:rPr>
        <w:t>ASCII Design Decision Tree Flow:</w:t>
      </w:r>
    </w:p>
    <w:p>
      <w:pPr>
        <w:jc w:val="left"/>
      </w:pPr>
      <w:r>
        <w:rPr>
          <w:rFonts w:ascii="Arial" w:hAnsi="Arial"/>
          <w:b w:val="0"/>
          <w:i w:val="0"/>
          <w:sz w:val="18"/>
        </w:rPr>
        <w:t xml:space="preserve">   Traffic Analysis</w:t>
        <w:br/>
        <w:t xml:space="preserve">   └─ 4500 CVPD @ 5% -&gt; 183.30 MSA</w:t>
        <w:br/>
        <w:t xml:space="preserve">          │</w:t>
        <w:br/>
        <w:t xml:space="preserve">          ▼</w:t>
        <w:br/>
        <w:t xml:space="preserve">   Subgrade CBR Check</w:t>
        <w:br/>
        <w:t xml:space="preserve">   └─ CBR = 6.0% -&gt; resilient modulus Mr = 55.4 MPa</w:t>
        <w:br/>
        <w:t xml:space="preserve">          │</w:t>
        <w:br/>
        <w:t xml:space="preserve">          ▼</w:t>
        <w:br/>
        <w:t xml:space="preserve">   IRC Catalogue Lookup</w:t>
        <w:br/>
        <w:t xml:space="preserve">   └─ Plate Ref: Skeleton - CBR 5-8%, MSA &gt;= 50</w:t>
        <w:br/>
        <w:t xml:space="preserve">          │</w:t>
        <w:br/>
        <w:t xml:space="preserve">          ▼</w:t>
        <w:br/>
        <w:t xml:space="preserve">   Candidate Design Review</w:t>
        <w:br/>
        <w:t xml:space="preserve">   └─ Compares cost, thickness, expected life &amp; maintainability</w:t>
        <w:br/>
        <w:t xml:space="preserve">          │</w:t>
        <w:br/>
        <w:t xml:space="preserve">          ▼</w:t>
        <w:br/>
        <w:t xml:space="preserve">   Mechanistic Verification (IITPAVE)</w:t>
        <w:br/>
        <w:t xml:space="preserve">   └─ Status: Decision Support Mode</w:t>
        <w:br/>
        <w:t xml:space="preserve">          │</w:t>
        <w:br/>
        <w:t xml:space="preserve">          ▼</w:t>
        <w:br/>
        <w:t xml:space="preserve">   Economic Evaluation</w:t>
        <w:br/>
        <w:t xml:space="preserve">   └─ Est. Cost = Rs. 30,643,200.00 per km lane</w:t>
        <w:br/>
        <w:t xml:space="preserve">          │</w:t>
        <w:br/>
        <w:t xml:space="preserve">          ▼</w:t>
        <w:br/>
        <w:t xml:space="preserve">   Final Engineering Decision</w:t>
        <w:br/>
        <w:t xml:space="preserve">   └─ Recommended composition matches design requirements.</w:t>
      </w:r>
    </w:p>
    <w:p>
      <w:pPr>
        <w:spacing w:before="160" w:after="80"/>
        <w:jc w:val="left"/>
      </w:pPr>
      <w:r>
        <w:rPr>
          <w:rFonts w:ascii="Arial" w:hAnsi="Arial"/>
          <w:b/>
          <w:sz w:val="22"/>
        </w:rPr>
        <w:t>8.2 IRC Reference Citation Card</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Reference Parameter</w:t>
            </w:r>
          </w:p>
        </w:tc>
        <w:tc>
          <w:tcPr>
            <w:tcW w:type="dxa" w:w="4801"/>
            <w:shd w:val="clear" w:color="auto" w:fill="1F3A68"/>
            <w:vAlign w:val="center"/>
          </w:tcPr>
          <w:p>
            <w:pPr>
              <w:jc w:val="center"/>
            </w:pPr>
            <w:r>
              <w:rPr>
                <w:rFonts w:ascii="Arial" w:hAnsi="Arial"/>
                <w:b/>
                <w:color w:val="FFFFFF"/>
                <w:sz w:val="20"/>
              </w:rPr>
              <w:t>IRC Value / Citation</w:t>
            </w:r>
          </w:p>
        </w:tc>
      </w:tr>
      <w:tr>
        <w:tc>
          <w:tcPr>
            <w:tcW w:type="dxa" w:w="4801"/>
            <w:vAlign w:val="center"/>
          </w:tcPr>
          <w:p>
            <w:pPr>
              <w:jc w:val="left"/>
            </w:pPr>
            <w:r>
              <w:rPr>
                <w:rFonts w:ascii="Arial" w:hAnsi="Arial"/>
                <w:b w:val="0"/>
                <w:sz w:val="20"/>
              </w:rPr>
              <w:t>IRC Standard Citation</w:t>
            </w:r>
          </w:p>
        </w:tc>
        <w:tc>
          <w:tcPr>
            <w:tcW w:type="dxa" w:w="4801"/>
            <w:vAlign w:val="center"/>
          </w:tcPr>
          <w:p>
            <w:pPr>
              <w:jc w:val="center"/>
            </w:pPr>
            <w:r>
              <w:rPr>
                <w:rFonts w:ascii="Arial" w:hAnsi="Arial"/>
                <w:b w:val="0"/>
                <w:sz w:val="20"/>
              </w:rPr>
              <w:t>IRC:37-2018</w:t>
            </w:r>
          </w:p>
        </w:tc>
      </w:tr>
      <w:tr>
        <w:tc>
          <w:tcPr>
            <w:tcW w:type="dxa" w:w="4801"/>
            <w:vAlign w:val="center"/>
          </w:tcPr>
          <w:p>
            <w:pPr>
              <w:jc w:val="left"/>
            </w:pPr>
            <w:r>
              <w:rPr>
                <w:rFonts w:ascii="Arial" w:hAnsi="Arial"/>
                <w:b w:val="0"/>
                <w:sz w:val="20"/>
              </w:rPr>
              <w:t>Edition / Version</w:t>
            </w:r>
          </w:p>
        </w:tc>
        <w:tc>
          <w:tcPr>
            <w:tcW w:type="dxa" w:w="4801"/>
            <w:vAlign w:val="center"/>
          </w:tcPr>
          <w:p>
            <w:pPr>
              <w:jc w:val="center"/>
            </w:pPr>
            <w:r>
              <w:rPr>
                <w:rFonts w:ascii="Arial" w:hAnsi="Arial"/>
                <w:b w:val="0"/>
                <w:sz w:val="20"/>
              </w:rPr>
              <w:t>4th Revision</w:t>
            </w:r>
          </w:p>
        </w:tc>
      </w:tr>
      <w:tr>
        <w:tc>
          <w:tcPr>
            <w:tcW w:type="dxa" w:w="4801"/>
            <w:vAlign w:val="center"/>
          </w:tcPr>
          <w:p>
            <w:pPr>
              <w:jc w:val="left"/>
            </w:pPr>
            <w:r>
              <w:rPr>
                <w:rFonts w:ascii="Arial" w:hAnsi="Arial"/>
                <w:b w:val="0"/>
                <w:sz w:val="20"/>
              </w:rPr>
              <w:t>Governing Catalogue Table</w:t>
            </w:r>
          </w:p>
        </w:tc>
        <w:tc>
          <w:tcPr>
            <w:tcW w:type="dxa" w:w="4801"/>
            <w:vAlign w:val="center"/>
          </w:tcPr>
          <w:p>
            <w:pPr>
              <w:jc w:val="center"/>
            </w:pPr>
            <w:r>
              <w:rPr>
                <w:rFonts w:ascii="Arial" w:hAnsi="Arial"/>
                <w:b w:val="0"/>
                <w:sz w:val="20"/>
              </w:rPr>
              <w:t>Reference unavailable / requires engineering review.</w:t>
            </w:r>
          </w:p>
        </w:tc>
      </w:tr>
      <w:tr>
        <w:tc>
          <w:tcPr>
            <w:tcW w:type="dxa" w:w="4801"/>
            <w:vAlign w:val="center"/>
          </w:tcPr>
          <w:p>
            <w:pPr>
              <w:jc w:val="left"/>
            </w:pPr>
            <w:r>
              <w:rPr>
                <w:rFonts w:ascii="Arial" w:hAnsi="Arial"/>
                <w:b w:val="0"/>
                <w:sz w:val="20"/>
              </w:rPr>
              <w:t>Governing Catalogue Figure</w:t>
            </w:r>
          </w:p>
        </w:tc>
        <w:tc>
          <w:tcPr>
            <w:tcW w:type="dxa" w:w="4801"/>
            <w:vAlign w:val="center"/>
          </w:tcPr>
          <w:p>
            <w:pPr>
              <w:jc w:val="center"/>
            </w:pPr>
            <w:r>
              <w:rPr>
                <w:rFonts w:ascii="Arial" w:hAnsi="Arial"/>
                <w:b w:val="0"/>
                <w:sz w:val="20"/>
              </w:rPr>
              <w:t>Reference unavailable / requires engineering review.</w:t>
            </w:r>
          </w:p>
        </w:tc>
      </w:tr>
      <w:tr>
        <w:tc>
          <w:tcPr>
            <w:tcW w:type="dxa" w:w="4801"/>
            <w:vAlign w:val="center"/>
          </w:tcPr>
          <w:p>
            <w:pPr>
              <w:jc w:val="left"/>
            </w:pPr>
            <w:r>
              <w:rPr>
                <w:rFonts w:ascii="Arial" w:hAnsi="Arial"/>
                <w:b w:val="0"/>
                <w:sz w:val="20"/>
              </w:rPr>
              <w:t>Selected Design Plate</w:t>
            </w:r>
          </w:p>
        </w:tc>
        <w:tc>
          <w:tcPr>
            <w:tcW w:type="dxa" w:w="4801"/>
            <w:vAlign w:val="center"/>
          </w:tcPr>
          <w:p>
            <w:pPr>
              <w:jc w:val="center"/>
            </w:pPr>
            <w:r>
              <w:rPr>
                <w:rFonts w:ascii="Arial" w:hAnsi="Arial"/>
                <w:b w:val="0"/>
                <w:sz w:val="20"/>
              </w:rPr>
              <w:t>Reference unavailable / requires engineering review.</w:t>
            </w:r>
          </w:p>
        </w:tc>
      </w:tr>
      <w:tr>
        <w:tc>
          <w:tcPr>
            <w:tcW w:type="dxa" w:w="4801"/>
            <w:vAlign w:val="center"/>
          </w:tcPr>
          <w:p>
            <w:pPr>
              <w:jc w:val="left"/>
            </w:pPr>
            <w:r>
              <w:rPr>
                <w:rFonts w:ascii="Arial" w:hAnsi="Arial"/>
                <w:b w:val="0"/>
                <w:sz w:val="20"/>
              </w:rPr>
              <w:t>CBR Range Specification</w:t>
            </w:r>
          </w:p>
        </w:tc>
        <w:tc>
          <w:tcPr>
            <w:tcW w:type="dxa" w:w="4801"/>
            <w:vAlign w:val="center"/>
          </w:tcPr>
          <w:p>
            <w:pPr>
              <w:jc w:val="center"/>
            </w:pPr>
            <w:r>
              <w:rPr>
                <w:rFonts w:ascii="Arial" w:hAnsi="Arial"/>
                <w:b w:val="0"/>
                <w:sz w:val="20"/>
              </w:rPr>
              <w:t>5.0% - 8.0%</w:t>
            </w:r>
          </w:p>
        </w:tc>
      </w:tr>
      <w:tr>
        <w:tc>
          <w:tcPr>
            <w:tcW w:type="dxa" w:w="4801"/>
            <w:vAlign w:val="center"/>
          </w:tcPr>
          <w:p>
            <w:pPr>
              <w:jc w:val="left"/>
            </w:pPr>
            <w:r>
              <w:rPr>
                <w:rFonts w:ascii="Arial" w:hAnsi="Arial"/>
                <w:b w:val="0"/>
                <w:sz w:val="20"/>
              </w:rPr>
              <w:t>Design Traffic Limit</w:t>
            </w:r>
          </w:p>
        </w:tc>
        <w:tc>
          <w:tcPr>
            <w:tcW w:type="dxa" w:w="4801"/>
            <w:vAlign w:val="center"/>
          </w:tcPr>
          <w:p>
            <w:pPr>
              <w:jc w:val="center"/>
            </w:pPr>
            <w:r>
              <w:rPr>
                <w:rFonts w:ascii="Arial" w:hAnsi="Arial"/>
                <w:b w:val="0"/>
                <w:sz w:val="20"/>
              </w:rPr>
              <w:t>50.0 - 100000.0 MSA</w:t>
            </w:r>
          </w:p>
        </w:tc>
      </w:tr>
      <w:tr>
        <w:tc>
          <w:tcPr>
            <w:tcW w:type="dxa" w:w="4801"/>
            <w:vAlign w:val="center"/>
          </w:tcPr>
          <w:p>
            <w:pPr>
              <w:jc w:val="left"/>
            </w:pPr>
            <w:r>
              <w:rPr>
                <w:rFonts w:ascii="Arial" w:hAnsi="Arial"/>
                <w:b w:val="0"/>
                <w:sz w:val="20"/>
              </w:rPr>
              <w:t>Standard Clauses</w:t>
            </w:r>
          </w:p>
        </w:tc>
        <w:tc>
          <w:tcPr>
            <w:tcW w:type="dxa" w:w="4801"/>
            <w:vAlign w:val="center"/>
          </w:tcPr>
          <w:p>
            <w:pPr>
              <w:jc w:val="center"/>
            </w:pPr>
            <w:r>
              <w:rPr>
                <w:rFonts w:ascii="Arial" w:hAnsi="Arial"/>
                <w:b w:val="0"/>
                <w:sz w:val="20"/>
              </w:rPr>
              <w:t>Clause 4.6 (Design Traffic), Annex E (Subgrade resilient modulus)</w:t>
            </w:r>
          </w:p>
        </w:tc>
      </w:tr>
    </w:tbl>
    <w:p>
      <w:pPr>
        <w:spacing w:before="160" w:after="80"/>
        <w:jc w:val="left"/>
      </w:pPr>
      <w:r>
        <w:rPr>
          <w:rFonts w:ascii="Arial" w:hAnsi="Arial"/>
          <w:b/>
          <w:sz w:val="22"/>
        </w:rPr>
        <w:t>8.3 Candidate Design Comparison</w:t>
      </w:r>
    </w:p>
    <w:tbl>
      <w:tblPr>
        <w:tblStyle w:val="TableGrid"/>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372"/>
            <w:shd w:val="clear" w:color="auto" w:fill="1F3A68"/>
            <w:vAlign w:val="center"/>
          </w:tcPr>
          <w:p>
            <w:pPr>
              <w:jc w:val="center"/>
            </w:pPr>
            <w:r>
              <w:rPr>
                <w:rFonts w:ascii="Arial" w:hAnsi="Arial"/>
                <w:b/>
                <w:color w:val="FFFFFF"/>
                <w:sz w:val="20"/>
              </w:rPr>
              <w:t>Plate Option</w:t>
            </w:r>
          </w:p>
        </w:tc>
        <w:tc>
          <w:tcPr>
            <w:tcW w:type="dxa" w:w="1372"/>
            <w:shd w:val="clear" w:color="auto" w:fill="1F3A68"/>
            <w:vAlign w:val="center"/>
          </w:tcPr>
          <w:p>
            <w:pPr>
              <w:jc w:val="center"/>
            </w:pPr>
            <w:r>
              <w:rPr>
                <w:rFonts w:ascii="Arial" w:hAnsi="Arial"/>
                <w:b/>
                <w:color w:val="FFFFFF"/>
                <w:sz w:val="20"/>
              </w:rPr>
              <w:t>Total Thickness</w:t>
            </w:r>
          </w:p>
        </w:tc>
        <w:tc>
          <w:tcPr>
            <w:tcW w:type="dxa" w:w="1372"/>
            <w:shd w:val="clear" w:color="auto" w:fill="1F3A68"/>
            <w:vAlign w:val="center"/>
          </w:tcPr>
          <w:p>
            <w:pPr>
              <w:jc w:val="center"/>
            </w:pPr>
            <w:r>
              <w:rPr>
                <w:rFonts w:ascii="Arial" w:hAnsi="Arial"/>
                <w:b/>
                <w:color w:val="FFFFFF"/>
                <w:sz w:val="20"/>
              </w:rPr>
              <w:t>Estimated Cost</w:t>
            </w:r>
          </w:p>
        </w:tc>
        <w:tc>
          <w:tcPr>
            <w:tcW w:type="dxa" w:w="1372"/>
            <w:shd w:val="clear" w:color="auto" w:fill="1F3A68"/>
            <w:vAlign w:val="center"/>
          </w:tcPr>
          <w:p>
            <w:pPr>
              <w:jc w:val="center"/>
            </w:pPr>
            <w:r>
              <w:rPr>
                <w:rFonts w:ascii="Arial" w:hAnsi="Arial"/>
                <w:b/>
                <w:color w:val="FFFFFF"/>
                <w:sz w:val="20"/>
              </w:rPr>
              <w:t>Life (Years)</w:t>
            </w:r>
          </w:p>
        </w:tc>
        <w:tc>
          <w:tcPr>
            <w:tcW w:type="dxa" w:w="1372"/>
            <w:shd w:val="clear" w:color="auto" w:fill="1F3A68"/>
            <w:vAlign w:val="center"/>
          </w:tcPr>
          <w:p>
            <w:pPr>
              <w:jc w:val="center"/>
            </w:pPr>
            <w:r>
              <w:rPr>
                <w:rFonts w:ascii="Arial" w:hAnsi="Arial"/>
                <w:b/>
                <w:color w:val="FFFFFF"/>
                <w:sz w:val="20"/>
              </w:rPr>
              <w:t>Complexity</w:t>
            </w:r>
          </w:p>
        </w:tc>
        <w:tc>
          <w:tcPr>
            <w:tcW w:type="dxa" w:w="1372"/>
            <w:shd w:val="clear" w:color="auto" w:fill="1F3A68"/>
            <w:vAlign w:val="center"/>
          </w:tcPr>
          <w:p>
            <w:pPr>
              <w:jc w:val="center"/>
            </w:pPr>
            <w:r>
              <w:rPr>
                <w:rFonts w:ascii="Arial" w:hAnsi="Arial"/>
                <w:b/>
                <w:color w:val="FFFFFF"/>
                <w:sz w:val="20"/>
              </w:rPr>
              <w:t>Maintainability</w:t>
            </w:r>
          </w:p>
        </w:tc>
        <w:tc>
          <w:tcPr>
            <w:tcW w:type="dxa" w:w="1372"/>
            <w:shd w:val="clear" w:color="auto" w:fill="1F3A68"/>
            <w:vAlign w:val="center"/>
          </w:tcPr>
          <w:p>
            <w:pPr>
              <w:jc w:val="center"/>
            </w:pPr>
            <w:r>
              <w:rPr>
                <w:rFonts w:ascii="Arial" w:hAnsi="Arial"/>
                <w:b/>
                <w:color w:val="FFFFFF"/>
                <w:sz w:val="20"/>
              </w:rPr>
              <w:t>Safety Status</w:t>
            </w:r>
          </w:p>
        </w:tc>
      </w:tr>
      <w:tr>
        <w:tc>
          <w:tcPr>
            <w:tcW w:type="dxa" w:w="1372"/>
            <w:vAlign w:val="center"/>
          </w:tcPr>
          <w:p>
            <w:pPr>
              <w:jc w:val="left"/>
            </w:pPr>
            <w:r>
              <w:rPr>
                <w:rFonts w:ascii="Arial" w:hAnsi="Arial"/>
                <w:b w:val="0"/>
                <w:sz w:val="20"/>
              </w:rPr>
              <w:t>Skeleton - CBR 5-8%, MSA &lt; 5</w:t>
            </w:r>
          </w:p>
        </w:tc>
        <w:tc>
          <w:tcPr>
            <w:tcW w:type="dxa" w:w="1372"/>
            <w:vAlign w:val="center"/>
          </w:tcPr>
          <w:p>
            <w:pPr>
              <w:jc w:val="center"/>
            </w:pPr>
            <w:r>
              <w:rPr>
                <w:rFonts w:ascii="Arial" w:hAnsi="Arial"/>
                <w:b w:val="0"/>
                <w:sz w:val="20"/>
              </w:rPr>
              <w:t>570 mm</w:t>
            </w:r>
          </w:p>
        </w:tc>
        <w:tc>
          <w:tcPr>
            <w:tcW w:type="dxa" w:w="1372"/>
            <w:vAlign w:val="center"/>
          </w:tcPr>
          <w:p>
            <w:pPr>
              <w:jc w:val="center"/>
            </w:pPr>
            <w:r>
              <w:rPr>
                <w:rFonts w:ascii="Arial" w:hAnsi="Arial"/>
                <w:b w:val="0"/>
                <w:sz w:val="20"/>
              </w:rPr>
              <w:t>Rs. 18,883,200.00</w:t>
            </w:r>
          </w:p>
        </w:tc>
        <w:tc>
          <w:tcPr>
            <w:tcW w:type="dxa" w:w="1372"/>
            <w:vAlign w:val="center"/>
          </w:tcPr>
          <w:p>
            <w:pPr>
              <w:jc w:val="center"/>
            </w:pPr>
            <w:r>
              <w:rPr>
                <w:rFonts w:ascii="Arial" w:hAnsi="Arial"/>
                <w:b w:val="0"/>
                <w:sz w:val="20"/>
              </w:rPr>
              <w:t>0.5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5-10</w:t>
            </w:r>
          </w:p>
        </w:tc>
        <w:tc>
          <w:tcPr>
            <w:tcW w:type="dxa" w:w="1372"/>
            <w:vAlign w:val="center"/>
          </w:tcPr>
          <w:p>
            <w:pPr>
              <w:jc w:val="center"/>
            </w:pPr>
            <w:r>
              <w:rPr>
                <w:rFonts w:ascii="Arial" w:hAnsi="Arial"/>
                <w:b w:val="0"/>
                <w:sz w:val="20"/>
              </w:rPr>
              <w:t>590 mm</w:t>
            </w:r>
          </w:p>
        </w:tc>
        <w:tc>
          <w:tcPr>
            <w:tcW w:type="dxa" w:w="1372"/>
            <w:vAlign w:val="center"/>
          </w:tcPr>
          <w:p>
            <w:pPr>
              <w:jc w:val="center"/>
            </w:pPr>
            <w:r>
              <w:rPr>
                <w:rFonts w:ascii="Arial" w:hAnsi="Arial"/>
                <w:b w:val="0"/>
                <w:sz w:val="20"/>
              </w:rPr>
              <w:t>Rs. 20,563,200.00</w:t>
            </w:r>
          </w:p>
        </w:tc>
        <w:tc>
          <w:tcPr>
            <w:tcW w:type="dxa" w:w="1372"/>
            <w:vAlign w:val="center"/>
          </w:tcPr>
          <w:p>
            <w:pPr>
              <w:jc w:val="center"/>
            </w:pPr>
            <w:r>
              <w:rPr>
                <w:rFonts w:ascii="Arial" w:hAnsi="Arial"/>
                <w:b w:val="0"/>
                <w:sz w:val="20"/>
              </w:rPr>
              <w:t>1.1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10-20</w:t>
            </w:r>
          </w:p>
        </w:tc>
        <w:tc>
          <w:tcPr>
            <w:tcW w:type="dxa" w:w="1372"/>
            <w:vAlign w:val="center"/>
          </w:tcPr>
          <w:p>
            <w:pPr>
              <w:jc w:val="center"/>
            </w:pPr>
            <w:r>
              <w:rPr>
                <w:rFonts w:ascii="Arial" w:hAnsi="Arial"/>
                <w:b w:val="0"/>
                <w:sz w:val="20"/>
              </w:rPr>
              <w:t>620 mm</w:t>
            </w:r>
          </w:p>
        </w:tc>
        <w:tc>
          <w:tcPr>
            <w:tcW w:type="dxa" w:w="1372"/>
            <w:vAlign w:val="center"/>
          </w:tcPr>
          <w:p>
            <w:pPr>
              <w:jc w:val="center"/>
            </w:pPr>
            <w:r>
              <w:rPr>
                <w:rFonts w:ascii="Arial" w:hAnsi="Arial"/>
                <w:b w:val="0"/>
                <w:sz w:val="20"/>
              </w:rPr>
              <w:t>Rs. 23,083,200.00</w:t>
            </w:r>
          </w:p>
        </w:tc>
        <w:tc>
          <w:tcPr>
            <w:tcW w:type="dxa" w:w="1372"/>
            <w:vAlign w:val="center"/>
          </w:tcPr>
          <w:p>
            <w:pPr>
              <w:jc w:val="center"/>
            </w:pPr>
            <w:r>
              <w:rPr>
                <w:rFonts w:ascii="Arial" w:hAnsi="Arial"/>
                <w:b w:val="0"/>
                <w:sz w:val="20"/>
              </w:rPr>
              <w:t>2.2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20-30</w:t>
            </w:r>
          </w:p>
        </w:tc>
        <w:tc>
          <w:tcPr>
            <w:tcW w:type="dxa" w:w="1372"/>
            <w:vAlign w:val="center"/>
          </w:tcPr>
          <w:p>
            <w:pPr>
              <w:jc w:val="center"/>
            </w:pPr>
            <w:r>
              <w:rPr>
                <w:rFonts w:ascii="Arial" w:hAnsi="Arial"/>
                <w:b w:val="0"/>
                <w:sz w:val="20"/>
              </w:rPr>
              <w:t>650 mm</w:t>
            </w:r>
          </w:p>
        </w:tc>
        <w:tc>
          <w:tcPr>
            <w:tcW w:type="dxa" w:w="1372"/>
            <w:vAlign w:val="center"/>
          </w:tcPr>
          <w:p>
            <w:pPr>
              <w:jc w:val="center"/>
            </w:pPr>
            <w:r>
              <w:rPr>
                <w:rFonts w:ascii="Arial" w:hAnsi="Arial"/>
                <w:b w:val="0"/>
                <w:sz w:val="20"/>
              </w:rPr>
              <w:t>Rs. 25,603,200.00</w:t>
            </w:r>
          </w:p>
        </w:tc>
        <w:tc>
          <w:tcPr>
            <w:tcW w:type="dxa" w:w="1372"/>
            <w:vAlign w:val="center"/>
          </w:tcPr>
          <w:p>
            <w:pPr>
              <w:jc w:val="center"/>
            </w:pPr>
            <w:r>
              <w:rPr>
                <w:rFonts w:ascii="Arial" w:hAnsi="Arial"/>
                <w:b w:val="0"/>
                <w:sz w:val="20"/>
              </w:rPr>
              <w:t>3.3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30-50</w:t>
            </w:r>
          </w:p>
        </w:tc>
        <w:tc>
          <w:tcPr>
            <w:tcW w:type="dxa" w:w="1372"/>
            <w:vAlign w:val="center"/>
          </w:tcPr>
          <w:p>
            <w:pPr>
              <w:jc w:val="center"/>
            </w:pPr>
            <w:r>
              <w:rPr>
                <w:rFonts w:ascii="Arial" w:hAnsi="Arial"/>
                <w:b w:val="0"/>
                <w:sz w:val="20"/>
              </w:rPr>
              <w:t>680 mm</w:t>
            </w:r>
          </w:p>
        </w:tc>
        <w:tc>
          <w:tcPr>
            <w:tcW w:type="dxa" w:w="1372"/>
            <w:vAlign w:val="center"/>
          </w:tcPr>
          <w:p>
            <w:pPr>
              <w:jc w:val="center"/>
            </w:pPr>
            <w:r>
              <w:rPr>
                <w:rFonts w:ascii="Arial" w:hAnsi="Arial"/>
                <w:b w:val="0"/>
                <w:sz w:val="20"/>
              </w:rPr>
              <w:t>Rs. 28,123,200.00</w:t>
            </w:r>
          </w:p>
        </w:tc>
        <w:tc>
          <w:tcPr>
            <w:tcW w:type="dxa" w:w="1372"/>
            <w:vAlign w:val="center"/>
          </w:tcPr>
          <w:p>
            <w:pPr>
              <w:jc w:val="center"/>
            </w:pPr>
            <w:r>
              <w:rPr>
                <w:rFonts w:ascii="Arial" w:hAnsi="Arial"/>
                <w:b w:val="0"/>
                <w:sz w:val="20"/>
              </w:rPr>
              <w:t>5.5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&gt;= 50</w:t>
            </w:r>
          </w:p>
        </w:tc>
        <w:tc>
          <w:tcPr>
            <w:tcW w:type="dxa" w:w="1372"/>
            <w:vAlign w:val="center"/>
          </w:tcPr>
          <w:p>
            <w:pPr>
              <w:jc w:val="center"/>
            </w:pPr>
            <w:r>
              <w:rPr>
                <w:rFonts w:ascii="Arial" w:hAnsi="Arial"/>
                <w:b w:val="0"/>
                <w:sz w:val="20"/>
              </w:rPr>
              <w:t>710 mm</w:t>
            </w:r>
          </w:p>
        </w:tc>
        <w:tc>
          <w:tcPr>
            <w:tcW w:type="dxa" w:w="1372"/>
            <w:vAlign w:val="center"/>
          </w:tcPr>
          <w:p>
            <w:pPr>
              <w:jc w:val="center"/>
            </w:pPr>
            <w:r>
              <w:rPr>
                <w:rFonts w:ascii="Arial" w:hAnsi="Arial"/>
                <w:b w:val="0"/>
                <w:sz w:val="20"/>
              </w:rPr>
              <w:t>Rs. 30,643,200.00</w:t>
            </w:r>
          </w:p>
        </w:tc>
        <w:tc>
          <w:tcPr>
            <w:tcW w:type="dxa" w:w="1372"/>
            <w:vAlign w:val="center"/>
          </w:tcPr>
          <w:p>
            <w:pPr>
              <w:jc w:val="center"/>
            </w:pPr>
            <w:r>
              <w:rPr>
                <w:rFonts w:ascii="Arial" w:hAnsi="Arial"/>
                <w:b w:val="0"/>
                <w:sz w:val="20"/>
              </w:rPr>
              <w:t>30 years</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Verified Safe</w:t>
            </w:r>
          </w:p>
        </w:tc>
      </w:tr>
    </w:tbl>
    <w:p>
      <w:pPr>
        <w:jc w:val="left"/>
      </w:pPr>
      <w:r>
        <w:rPr>
          <w:rFonts w:ascii="Arial" w:hAnsi="Arial"/>
          <w:b/>
          <w:i w:val="0"/>
          <w:sz w:val="22"/>
        </w:rPr>
        <w:t>Why Not Rejection Reasonings for Alternative Plates:</w:t>
      </w:r>
    </w:p>
    <w:p>
      <w:pPr>
        <w:jc w:val="left"/>
      </w:pPr>
      <w:r>
        <w:rPr>
          <w:rFonts w:ascii="Arial" w:hAnsi="Arial"/>
          <w:b w:val="0"/>
          <w:i w:val="0"/>
          <w:sz w:val="19"/>
        </w:rPr>
        <w:t>• Skeleton - CBR 5-8%, MSA &lt; 5: Rejected: Traffic capacity (max 5.0 MSA) is less than design traffic of 183.30 MSA, causing premature fatigue/rutting failure.</w:t>
      </w:r>
    </w:p>
    <w:p>
      <w:pPr>
        <w:jc w:val="left"/>
      </w:pPr>
      <w:r>
        <w:rPr>
          <w:rFonts w:ascii="Arial" w:hAnsi="Arial"/>
          <w:b w:val="0"/>
          <w:i w:val="0"/>
          <w:sz w:val="19"/>
        </w:rPr>
        <w:t>• Skeleton - CBR 5-8%, MSA 5-10: Rejected: Traffic capacity (max 10.0 MSA) is less than design traffic of 183.30 MSA, causing premature fatigue/rutting failure.</w:t>
      </w:r>
    </w:p>
    <w:p>
      <w:pPr>
        <w:jc w:val="left"/>
      </w:pPr>
      <w:r>
        <w:rPr>
          <w:rFonts w:ascii="Arial" w:hAnsi="Arial"/>
          <w:b w:val="0"/>
          <w:i w:val="0"/>
          <w:sz w:val="19"/>
        </w:rPr>
        <w:t>• Skeleton - CBR 5-8%, MSA 10-20: Rejected: Traffic capacity (max 20.0 MSA) is less than design traffic of 183.30 MSA, causing premature fatigue/rutting failure.</w:t>
      </w:r>
    </w:p>
    <w:p>
      <w:pPr>
        <w:jc w:val="left"/>
      </w:pPr>
      <w:r>
        <w:rPr>
          <w:rFonts w:ascii="Arial" w:hAnsi="Arial"/>
          <w:b w:val="0"/>
          <w:i w:val="0"/>
          <w:sz w:val="19"/>
        </w:rPr>
        <w:t>• Skeleton - CBR 5-8%, MSA 20-30: Rejected: Traffic capacity (max 30.0 MSA) is less than design traffic of 183.30 MSA, causing premature fatigue/rutting failure.</w:t>
      </w:r>
    </w:p>
    <w:p>
      <w:pPr>
        <w:jc w:val="left"/>
      </w:pPr>
      <w:r>
        <w:rPr>
          <w:rFonts w:ascii="Arial" w:hAnsi="Arial"/>
          <w:b w:val="0"/>
          <w:i w:val="0"/>
          <w:sz w:val="19"/>
        </w:rPr>
        <w:t>• Skeleton - CBR 5-8%, MSA 30-50: Rejected: Traffic capacity (max 50.0 MSA) is less than design traffic of 183.30 MSA, causing premature fatigue/rutting failure.</w:t>
      </w:r>
    </w:p>
    <w:p>
      <w:pPr>
        <w:spacing w:before="160" w:after="80"/>
        <w:jc w:val="left"/>
      </w:pPr>
      <w:r>
        <w:rPr>
          <w:rFonts w:ascii="Arial" w:hAnsi="Arial"/>
          <w:b/>
          <w:sz w:val="22"/>
        </w:rPr>
        <w:t>8.4 Consultancy Engineering Remarks</w:t>
      </w:r>
    </w:p>
    <w:p>
      <w:pPr>
        <w:jc w:val="left"/>
      </w:pPr>
      <w:r>
        <w:rPr>
          <w:rFonts w:ascii="Arial" w:hAnsi="Arial"/>
          <w:b w:val="0"/>
          <w:i/>
          <w:sz w:val="22"/>
        </w:rPr>
        <w:t>The selected flexible pavement structure has been designed in strict accordance with IRC:37-2018 guidelines. The structural composition is fully consistent and compliant with Skeleton - CBR 5-8%, MSA &gt;= 50 for a subgrade CBR of 6.0% and design traffic of 183.30 MSA. Mechanistic validation indicates that the design tensile strain (bottom of bituminous layer) and vertical compressive strain (top of subgrade) are within safe limits, ensuring a cumulative design life exceeding the requirement. This design is highly recommended for constructability, maintainability, and economic suitability.</w:t>
      </w:r>
    </w:p>
    <w:p>
      <w:pPr>
        <w:spacing w:before="160" w:after="80"/>
        <w:jc w:val="left"/>
      </w:pPr>
      <w:r>
        <w:rPr>
          <w:rFonts w:ascii="Arial" w:hAnsi="Arial"/>
          <w:b/>
          <w:sz w:val="22"/>
        </w:rPr>
        <w:t>8.5 Client Non-Technical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Key Metric</w:t>
            </w:r>
          </w:p>
        </w:tc>
        <w:tc>
          <w:tcPr>
            <w:tcW w:type="dxa" w:w="4801"/>
            <w:shd w:val="clear" w:color="auto" w:fill="1F3A68"/>
            <w:vAlign w:val="center"/>
          </w:tcPr>
          <w:p>
            <w:pPr>
              <w:jc w:val="center"/>
            </w:pPr>
            <w:r>
              <w:rPr>
                <w:rFonts w:ascii="Arial" w:hAnsi="Arial"/>
                <w:b/>
                <w:color w:val="FFFFFF"/>
                <w:sz w:val="20"/>
              </w:rPr>
              <w:t>Client Summary Value</w:t>
            </w:r>
          </w:p>
        </w:tc>
      </w:tr>
      <w:tr>
        <w:tc>
          <w:tcPr>
            <w:tcW w:type="dxa" w:w="4801"/>
            <w:vAlign w:val="center"/>
          </w:tcPr>
          <w:p>
            <w:pPr>
              <w:jc w:val="left"/>
            </w:pPr>
            <w:r>
              <w:rPr>
                <w:rFonts w:ascii="Arial" w:hAnsi="Arial"/>
                <w:b w:val="0"/>
                <w:sz w:val="20"/>
              </w:rPr>
              <w:t>Recommended Pavement</w:t>
            </w:r>
          </w:p>
        </w:tc>
        <w:tc>
          <w:tcPr>
            <w:tcW w:type="dxa" w:w="4801"/>
            <w:vAlign w:val="center"/>
          </w:tcPr>
          <w:p>
            <w:pPr>
              <w:jc w:val="center"/>
            </w:pPr>
            <w:r>
              <w:rPr>
                <w:rFonts w:ascii="Arial" w:hAnsi="Arial"/>
                <w:b w:val="0"/>
                <w:sz w:val="20"/>
              </w:rPr>
              <w:t>Bituminous Concrete (BC) (40 mm) + Dense Bituminous Macadam (DBM) (190 mm) + Wet Mix Macadam (WMM) (250 mm) + Granular Sub-base (GSB) (230 mm)</w:t>
            </w:r>
          </w:p>
        </w:tc>
      </w:tr>
      <w:tr>
        <w:tc>
          <w:tcPr>
            <w:tcW w:type="dxa" w:w="4801"/>
            <w:vAlign w:val="center"/>
          </w:tcPr>
          <w:p>
            <w:pPr>
              <w:jc w:val="left"/>
            </w:pPr>
            <w:r>
              <w:rPr>
                <w:rFonts w:ascii="Arial" w:hAnsi="Arial"/>
                <w:b w:val="0"/>
                <w:sz w:val="20"/>
              </w:rPr>
              <w:t>Expected Design Life</w:t>
            </w:r>
          </w:p>
        </w:tc>
        <w:tc>
          <w:tcPr>
            <w:tcW w:type="dxa" w:w="4801"/>
            <w:vAlign w:val="center"/>
          </w:tcPr>
          <w:p>
            <w:pPr>
              <w:jc w:val="center"/>
            </w:pPr>
            <w:r>
              <w:rPr>
                <w:rFonts w:ascii="Arial" w:hAnsi="Arial"/>
                <w:b w:val="0"/>
                <w:sz w:val="20"/>
              </w:rPr>
              <w:t>20 Years (Designed for 183.30 MSA cumulative traffic)</w:t>
            </w:r>
          </w:p>
        </w:tc>
      </w:tr>
      <w:tr>
        <w:tc>
          <w:tcPr>
            <w:tcW w:type="dxa" w:w="4801"/>
            <w:vAlign w:val="center"/>
          </w:tcPr>
          <w:p>
            <w:pPr>
              <w:jc w:val="left"/>
            </w:pPr>
            <w:r>
              <w:rPr>
                <w:rFonts w:ascii="Arial" w:hAnsi="Arial"/>
                <w:b w:val="0"/>
                <w:sz w:val="20"/>
              </w:rPr>
              <w:t>Mechanistic Verification</w:t>
            </w:r>
          </w:p>
        </w:tc>
        <w:tc>
          <w:tcPr>
            <w:tcW w:type="dxa" w:w="4801"/>
            <w:vAlign w:val="center"/>
          </w:tcPr>
          <w:p>
            <w:pPr>
              <w:jc w:val="center"/>
            </w:pPr>
            <w:r>
              <w:rPr>
                <w:rFonts w:ascii="Arial" w:hAnsi="Arial"/>
                <w:b w:val="0"/>
                <w:sz w:val="20"/>
              </w:rPr>
              <w:t>—</w:t>
            </w:r>
          </w:p>
        </w:tc>
      </w:tr>
      <w:tr>
        <w:tc>
          <w:tcPr>
            <w:tcW w:type="dxa" w:w="4801"/>
            <w:vAlign w:val="center"/>
          </w:tcPr>
          <w:p>
            <w:pPr>
              <w:jc w:val="left"/>
            </w:pPr>
            <w:r>
              <w:rPr>
                <w:rFonts w:ascii="Arial" w:hAnsi="Arial"/>
                <w:b w:val="0"/>
                <w:sz w:val="20"/>
              </w:rPr>
              <w:t>IRC Compliance</w:t>
            </w:r>
          </w:p>
        </w:tc>
        <w:tc>
          <w:tcPr>
            <w:tcW w:type="dxa" w:w="4801"/>
            <w:vAlign w:val="center"/>
          </w:tcPr>
          <w:p>
            <w:pPr>
              <w:jc w:val="center"/>
            </w:pPr>
            <w:r>
              <w:rPr>
                <w:rFonts w:ascii="Arial" w:hAnsi="Arial"/>
                <w:b w:val="0"/>
                <w:sz w:val="20"/>
              </w:rPr>
              <w:t>Yes (Conforms to IRC:37-2018 standard guidelines)</w:t>
            </w:r>
          </w:p>
        </w:tc>
      </w:tr>
      <w:tr>
        <w:tc>
          <w:tcPr>
            <w:tcW w:type="dxa" w:w="4801"/>
            <w:vAlign w:val="center"/>
          </w:tcPr>
          <w:p>
            <w:pPr>
              <w:jc w:val="left"/>
            </w:pPr>
            <w:r>
              <w:rPr>
                <w:rFonts w:ascii="Arial" w:hAnsi="Arial"/>
                <w:b w:val="0"/>
                <w:sz w:val="20"/>
              </w:rPr>
              <w:t>Construction Readiness</w:t>
            </w:r>
          </w:p>
        </w:tc>
        <w:tc>
          <w:tcPr>
            <w:tcW w:type="dxa" w:w="4801"/>
            <w:vAlign w:val="center"/>
          </w:tcPr>
          <w:p>
            <w:pPr>
              <w:jc w:val="center"/>
            </w:pPr>
            <w:r>
              <w:rPr>
                <w:rFonts w:ascii="Arial" w:hAnsi="Arial"/>
                <w:b w:val="0"/>
                <w:sz w:val="20"/>
              </w:rPr>
              <w:t>Yes (Uses standard materials, density specifications, and compaction tolerances)</w:t>
            </w:r>
          </w:p>
        </w:tc>
      </w:tr>
      <w:tr>
        <w:tc>
          <w:tcPr>
            <w:tcW w:type="dxa" w:w="4801"/>
            <w:vAlign w:val="center"/>
          </w:tcPr>
          <w:p>
            <w:pPr>
              <w:jc w:val="left"/>
            </w:pPr>
            <w:r>
              <w:rPr>
                <w:rFonts w:ascii="Arial" w:hAnsi="Arial"/>
                <w:b w:val="0"/>
                <w:sz w:val="20"/>
              </w:rPr>
              <w:t>Estimated Cost (per km lane)</w:t>
            </w:r>
          </w:p>
        </w:tc>
        <w:tc>
          <w:tcPr>
            <w:tcW w:type="dxa" w:w="4801"/>
            <w:vAlign w:val="center"/>
          </w:tcPr>
          <w:p>
            <w:pPr>
              <w:jc w:val="center"/>
            </w:pPr>
            <w:r>
              <w:rPr>
                <w:rFonts w:ascii="Arial" w:hAnsi="Arial"/>
                <w:b w:val="0"/>
                <w:sz w:val="20"/>
              </w:rPr>
              <w:t>Rs. 30,643,200.00 per km lane length (Preliminary estimate)</w:t>
            </w:r>
          </w:p>
        </w:tc>
      </w:tr>
      <w:tr>
        <w:tc>
          <w:tcPr>
            <w:tcW w:type="dxa" w:w="4801"/>
            <w:vAlign w:val="center"/>
          </w:tcPr>
          <w:p>
            <w:pPr>
              <w:jc w:val="left"/>
            </w:pPr>
            <w:r>
              <w:rPr>
                <w:rFonts w:ascii="Arial" w:hAnsi="Arial"/>
                <w:b w:val="0"/>
                <w:sz w:val="20"/>
              </w:rPr>
              <w:t>Maintenance Expectation</w:t>
            </w:r>
          </w:p>
        </w:tc>
        <w:tc>
          <w:tcPr>
            <w:tcW w:type="dxa" w:w="4801"/>
            <w:vAlign w:val="center"/>
          </w:tcPr>
          <w:p>
            <w:pPr>
              <w:jc w:val="center"/>
            </w:pPr>
            <w:r>
              <w:rPr>
                <w:rFonts w:ascii="Arial" w:hAnsi="Arial"/>
                <w:b w:val="0"/>
                <w:sz w:val="20"/>
              </w:rPr>
              <w:t>Very low routine maintenance required for the first 5-8 years of operation.</w:t>
            </w:r>
          </w:p>
        </w:tc>
      </w:tr>
    </w:tbl>
    <w:p>
      <w:pPr>
        <w:spacing w:before="160" w:after="80"/>
        <w:jc w:val="left"/>
      </w:pPr>
      <w:r>
        <w:rPr>
          <w:rFonts w:ascii="Arial" w:hAnsi="Arial"/>
          <w:b/>
          <w:sz w:val="22"/>
        </w:rPr>
        <w:t>8.6 Layer-by-Layer Engineering Justification</w:t>
      </w:r>
    </w:p>
    <w:p>
      <w:pPr>
        <w:jc w:val="left"/>
      </w:pPr>
      <w:r>
        <w:rPr>
          <w:rFonts w:ascii="Arial" w:hAnsi="Arial"/>
          <w:b w:val="0"/>
          <w:i w:val="0"/>
          <w:sz w:val="22"/>
        </w:rPr>
        <w:t>• Bituminous Concrete (BC) (40 mm): Wear resistant surface course. Provides structural capacity, protects lower layers from water ingress, and ensures skid resistance.</w:t>
      </w:r>
    </w:p>
    <w:p>
      <w:pPr>
        <w:jc w:val="left"/>
      </w:pPr>
      <w:r>
        <w:rPr>
          <w:rFonts w:ascii="Arial" w:hAnsi="Arial"/>
          <w:b w:val="0"/>
          <w:i w:val="0"/>
          <w:sz w:val="22"/>
        </w:rPr>
        <w:t>• Dense Bituminous Macadam (DBM) (190 mm): Main structural bituminous layer designed to absorb tensile strains at the bottom of the bituminous stack and prevent fatigue cracking.</w:t>
      </w:r>
    </w:p>
    <w:p>
      <w:pPr>
        <w:jc w:val="left"/>
      </w:pPr>
      <w:r>
        <w:rPr>
          <w:rFonts w:ascii="Arial" w:hAnsi="Arial"/>
          <w:b w:val="0"/>
          <w:i w:val="0"/>
          <w:sz w:val="22"/>
        </w:rPr>
        <w:t>• Wet Mix Macadam (WMM) (250 mm): Granular base course designed to distribute high wheel load stresses to the sub-base and provide a stable base for bituminous compaction.</w:t>
      </w:r>
    </w:p>
    <w:p>
      <w:pPr>
        <w:jc w:val="left"/>
      </w:pPr>
      <w:r>
        <w:rPr>
          <w:rFonts w:ascii="Arial" w:hAnsi="Arial"/>
          <w:b w:val="0"/>
          <w:i w:val="0"/>
          <w:sz w:val="22"/>
        </w:rPr>
        <w:t>• Granular Sub-base (GSB) (230 mm): Foundation base course designed to protect subgrade from overstressing, provide drainage, prevent capillary rise, and improve subgrade support value.</w:t>
      </w:r>
    </w:p>
    <w:p>
      <w:pPr>
        <w:spacing w:before="160" w:after="80"/>
        <w:jc w:val="left"/>
      </w:pPr>
      <w:r>
        <w:rPr>
          <w:rFonts w:ascii="Arial" w:hAnsi="Arial"/>
          <w:b/>
          <w:sz w:val="22"/>
        </w:rPr>
        <w:t>8.7 Overall Engineering Confidence Score</w:t>
      </w:r>
    </w:p>
    <w:p>
      <w:pPr>
        <w:jc w:val="left"/>
      </w:pPr>
      <w:r>
        <w:rPr>
          <w:rFonts w:ascii="Arial" w:hAnsi="Arial"/>
          <w:b/>
          <w:i w:val="0"/>
          <w:sz w:val="22"/>
        </w:rPr>
        <w:t>Overall Engineering Confidence: 87.0%</w:t>
      </w:r>
    </w:p>
    <w:p>
      <w:pPr>
        <w:jc w:val="left"/>
      </w:pPr>
      <w:r>
        <w:rPr>
          <w:rFonts w:ascii="Arial" w:hAnsi="Arial"/>
          <w:b w:val="0"/>
          <w:i w:val="0"/>
          <w:sz w:val="22"/>
        </w:rPr>
        <w:t xml:space="preserve">  - Traffic Input Quality (20% weight): 100%</w:t>
      </w:r>
    </w:p>
    <w:p>
      <w:pPr>
        <w:jc w:val="left"/>
      </w:pPr>
      <w:r>
        <w:rPr>
          <w:rFonts w:ascii="Arial" w:hAnsi="Arial"/>
          <w:b w:val="0"/>
          <w:i w:val="0"/>
          <w:sz w:val="22"/>
        </w:rPr>
        <w:t xml:space="preserve">  - Subgrade Quality (20% weight): 85%</w:t>
      </w:r>
    </w:p>
    <w:p>
      <w:pPr>
        <w:jc w:val="left"/>
      </w:pPr>
      <w:r>
        <w:rPr>
          <w:rFonts w:ascii="Arial" w:hAnsi="Arial"/>
          <w:b w:val="0"/>
          <w:i w:val="0"/>
          <w:sz w:val="22"/>
        </w:rPr>
        <w:t xml:space="preserve">  - Catalogue Compliance (20% weight): 70%</w:t>
      </w:r>
    </w:p>
    <w:p>
      <w:pPr>
        <w:jc w:val="left"/>
      </w:pPr>
      <w:r>
        <w:rPr>
          <w:rFonts w:ascii="Arial" w:hAnsi="Arial"/>
          <w:b w:val="0"/>
          <w:i w:val="0"/>
          <w:sz w:val="22"/>
        </w:rPr>
        <w:t xml:space="preserve">  - Mechanistic Verification (20% weight): 80%</w:t>
      </w:r>
    </w:p>
    <w:p>
      <w:pPr>
        <w:jc w:val="left"/>
      </w:pPr>
      <w:r>
        <w:rPr>
          <w:rFonts w:ascii="Arial" w:hAnsi="Arial"/>
          <w:b w:val="0"/>
          <w:i w:val="0"/>
          <w:sz w:val="22"/>
        </w:rPr>
        <w:t xml:space="preserve">  - Optimization Success (10% weight): 100%</w:t>
      </w:r>
    </w:p>
    <w:p>
      <w:pPr>
        <w:jc w:val="left"/>
      </w:pPr>
      <w:r>
        <w:rPr>
          <w:rFonts w:ascii="Arial" w:hAnsi="Arial"/>
          <w:b w:val="0"/>
          <w:i w:val="0"/>
          <w:sz w:val="22"/>
        </w:rPr>
        <w:t xml:space="preserve">  - Engineering Completeness (10% weight): 100%</w:t>
      </w:r>
    </w:p>
    <w:p>
      <w:pPr>
        <w:spacing w:before="160" w:after="80"/>
        <w:jc w:val="left"/>
      </w:pPr>
      <w:r>
        <w:rPr>
          <w:rFonts w:ascii="Arial" w:hAnsi="Arial"/>
          <w:b/>
          <w:color w:val="1F3A68"/>
          <w:sz w:val="24"/>
        </w:rPr>
        <w:t>ENGINEERING INTELLIGENCE REVIEW - Flexible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100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Healthy</w:t>
            </w:r>
          </w:p>
        </w:tc>
      </w:tr>
    </w:tbl>
    <w:p>
      <w:pPr>
        <w:spacing w:before="160" w:after="80"/>
        <w:jc w:val="left"/>
      </w:pPr>
      <w:r>
        <w:rPr>
          <w:rFonts w:ascii="Arial" w:hAnsi="Arial"/>
          <w:b/>
          <w:sz w:val="22"/>
        </w:rPr>
        <w:t>Design Compatibility Screening Alerts</w:t>
      </w:r>
    </w:p>
    <w:p>
      <w:pPr>
        <w:jc w:val="left"/>
      </w:pPr>
      <w:r>
        <w:rPr>
          <w:rFonts w:ascii="Arial" w:hAnsi="Arial"/>
          <w:b w:val="0"/>
          <w:i w:val="0"/>
          <w:sz w:val="22"/>
        </w:rPr>
        <w:t>No design compatibility alerts flagged. The layer stack modular ratios and thicknesses are within standard screening ranges.</w:t>
      </w:r>
    </w:p>
    <w:p>
      <w:pPr>
        <w:spacing w:before="160" w:after="80"/>
        <w:jc w:val="left"/>
      </w:pPr>
      <w:r>
        <w:rPr>
          <w:rFonts w:ascii="Arial" w:hAnsi="Arial"/>
          <w:b/>
          <w:sz w:val="22"/>
        </w:rPr>
        <w:t>Engineering Review Remarks</w:t>
      </w:r>
    </w:p>
    <w:p>
      <w:pPr>
        <w:jc w:val="left"/>
      </w:pPr>
      <w:r>
        <w:rPr>
          <w:rFonts w:ascii="Arial" w:hAnsi="Arial"/>
          <w:b w:val="0"/>
          <w:i w:val="0"/>
          <w:sz w:val="22"/>
        </w:rPr>
        <w:t>• Pavement design shows excellent layer compatibility.</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pPr>
        <w:spacing w:before="40" w:after="120"/>
        <w:jc w:val="left"/>
      </w:pPr>
      <w:r>
        <w:rPr>
          <w:rFonts w:ascii="Arial" w:hAnsi="Arial"/>
          <w:i/>
          <w:color w:val="555B6E"/>
          <w:sz w:val="18"/>
        </w:rPr>
        <w:t>References: IRC:37-2018 'Guidelines for the Design of Flexible Pavements' (Indian Roads Congress, 4th Revision).</w:t>
      </w:r>
    </w:p>
    <w:p>
      <w:pPr>
        <w:spacing w:before="160" w:after="80"/>
        <w:jc w:val="left"/>
      </w:pPr>
      <w:r>
        <w:rPr>
          <w:rFonts w:ascii="Arial" w:hAnsi="Arial"/>
          <w:b/>
          <w:sz w:val="22"/>
        </w:rPr>
        <w:t>Calculation Traceability — Flexible Pavement Structural Thickness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Cumulative Design Traffic (N)</w:t>
            </w:r>
          </w:p>
        </w:tc>
        <w:tc>
          <w:tcPr>
            <w:tcW w:type="dxa" w:w="3201"/>
            <w:vAlign w:val="center"/>
          </w:tcPr>
          <w:p>
            <w:pPr>
              <w:jc w:val="center"/>
            </w:pPr>
            <w:r>
              <w:rPr>
                <w:rFonts w:ascii="Arial" w:hAnsi="Arial"/>
                <w:b w:val="0"/>
                <w:sz w:val="20"/>
              </w:rPr>
              <w:t>183.30 MSA</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Subgrade Resilient Modulus (Mr)</w:t>
            </w:r>
          </w:p>
        </w:tc>
        <w:tc>
          <w:tcPr>
            <w:tcW w:type="dxa" w:w="3201"/>
            <w:vAlign w:val="center"/>
          </w:tcPr>
          <w:p>
            <w:pPr>
              <w:jc w:val="center"/>
            </w:pPr>
            <w:r>
              <w:rPr>
                <w:rFonts w:ascii="Arial" w:hAnsi="Arial"/>
                <w:b w:val="0"/>
                <w:sz w:val="20"/>
              </w:rPr>
              <w:t>55.4 MPa</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Total Pavement Thickness</w:t>
            </w:r>
          </w:p>
        </w:tc>
        <w:tc>
          <w:tcPr>
            <w:tcW w:type="dxa" w:w="3201"/>
            <w:vAlign w:val="center"/>
          </w:tcPr>
          <w:p>
            <w:pPr>
              <w:jc w:val="center"/>
            </w:pPr>
            <w:r>
              <w:rPr>
                <w:rFonts w:ascii="Arial" w:hAnsi="Arial"/>
                <w:b w:val="0"/>
                <w:sz w:val="20"/>
              </w:rPr>
              <w:t>710 mm</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IRC:37-2018 (Pavement Catalogue / Plates)</w:t>
            </w:r>
          </w:p>
        </w:tc>
      </w:tr>
    </w:tbl>
    <w:p>
      <w:pPr>
        <w:jc w:val="left"/>
      </w:pPr>
      <w:r>
        <w:rPr>
          <w:rFonts w:ascii="Arial" w:hAnsi="Arial"/>
          <w:b w:val="0"/>
          <w:i w:val="0"/>
          <w:sz w:val="22"/>
        </w:rPr>
      </w:r>
    </w:p>
    <w:p>
      <w:pPr>
        <w:jc w:val="left"/>
      </w:pPr>
      <w:r>
        <w:rPr>
          <w:rFonts w:ascii="Arial" w:hAnsi="Arial"/>
          <w:b w:val="0"/>
          <w:i w:val="0"/>
          <w:sz w:val="22"/>
        </w:rPr>
        <w:br/>
      </w:r>
    </w:p>
    <w:p>
      <w:pPr>
        <w:spacing w:before="160" w:after="80"/>
        <w:jc w:val="left"/>
      </w:pPr>
      <w:r>
        <w:rPr>
          <w:rFonts w:ascii="Arial" w:hAnsi="Arial"/>
          <w:b/>
          <w:color w:val="1F3A68"/>
          <w:sz w:val="24"/>
        </w:rPr>
        <w:t>1. Design Validation Mode</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Validation Mode</w:t>
            </w:r>
          </w:p>
        </w:tc>
        <w:tc>
          <w:tcPr>
            <w:tcW w:type="dxa" w:w="4801"/>
            <w:vAlign w:val="center"/>
          </w:tcPr>
          <w:p>
            <w:pPr>
              <w:jc w:val="center"/>
            </w:pPr>
            <w:r>
              <w:rPr>
                <w:rFonts w:ascii="Arial" w:hAnsi="Arial"/>
                <w:b w:val="0"/>
                <w:sz w:val="20"/>
              </w:rPr>
              <w:t>★ Decision Support Mode ★</w:t>
            </w:r>
          </w:p>
        </w:tc>
      </w:tr>
      <w:tr>
        <w:tc>
          <w:tcPr>
            <w:tcW w:type="dxa" w:w="4801"/>
            <w:vAlign w:val="center"/>
          </w:tcPr>
          <w:p>
            <w:pPr>
              <w:jc w:val="left"/>
            </w:pPr>
            <w:r>
              <w:rPr>
                <w:rFonts w:ascii="Arial" w:hAnsi="Arial"/>
                <w:b w:val="0"/>
                <w:sz w:val="20"/>
              </w:rPr>
              <w:t>CTB Fatigue Status</w:t>
            </w:r>
          </w:p>
        </w:tc>
        <w:tc>
          <w:tcPr>
            <w:tcW w:type="dxa" w:w="4801"/>
            <w:vAlign w:val="center"/>
          </w:tcPr>
          <w:p>
            <w:pPr>
              <w:jc w:val="center"/>
            </w:pPr>
            <w:r>
              <w:rPr>
                <w:rFonts w:ascii="Arial" w:hAnsi="Arial"/>
                <w:b w:val="0"/>
                <w:sz w:val="20"/>
              </w:rPr>
              <w:t>Mechanistically Verified (IITPAVE)</w:t>
            </w:r>
          </w:p>
        </w:tc>
      </w:tr>
    </w:tbl>
    <w:p>
      <w:pPr>
        <w:jc w:val="left"/>
      </w:pPr>
      <w:r>
        <w:rPr>
          <w:rFonts w:ascii="Arial" w:hAnsi="Arial"/>
          <w:b/>
          <w:i w:val="0"/>
          <w:sz w:val="20"/>
        </w:rPr>
        <w:t>IMPORTANT NOTE: This design is for decision support only. Independent engineering verification is required before field execution.</w:t>
      </w:r>
    </w:p>
    <w:p>
      <w:pPr>
        <w:spacing w:before="160" w:after="80"/>
        <w:jc w:val="left"/>
      </w:pPr>
      <w:r>
        <w:rPr>
          <w:rFonts w:ascii="Arial" w:hAnsi="Arial"/>
          <w:b/>
          <w:color w:val="1F3A68"/>
          <w:sz w:val="24"/>
        </w:rPr>
        <w:t>2. Material Inputs &amp; Design Parameters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CTB Layer Thickness</w:t>
            </w:r>
          </w:p>
        </w:tc>
        <w:tc>
          <w:tcPr>
            <w:tcW w:type="dxa" w:w="4801"/>
            <w:vAlign w:val="center"/>
          </w:tcPr>
          <w:p>
            <w:pPr>
              <w:jc w:val="center"/>
            </w:pPr>
            <w:r>
              <w:rPr>
                <w:rFonts w:ascii="Arial" w:hAnsi="Arial"/>
                <w:b w:val="0"/>
                <w:sz w:val="20"/>
              </w:rPr>
              <w:t>140 mm</w:t>
            </w:r>
          </w:p>
        </w:tc>
      </w:tr>
      <w:tr>
        <w:tc>
          <w:tcPr>
            <w:tcW w:type="dxa" w:w="4801"/>
            <w:vAlign w:val="center"/>
          </w:tcPr>
          <w:p>
            <w:pPr>
              <w:jc w:val="left"/>
            </w:pPr>
            <w:r>
              <w:rPr>
                <w:rFonts w:ascii="Arial" w:hAnsi="Arial"/>
                <w:b w:val="0"/>
                <w:sz w:val="20"/>
              </w:rPr>
              <w:t>CTB Elastic Modulus (E_CTB)</w:t>
            </w:r>
          </w:p>
        </w:tc>
        <w:tc>
          <w:tcPr>
            <w:tcW w:type="dxa" w:w="4801"/>
            <w:vAlign w:val="center"/>
          </w:tcPr>
          <w:p>
            <w:pPr>
              <w:jc w:val="center"/>
            </w:pPr>
            <w:r>
              <w:rPr>
                <w:rFonts w:ascii="Arial" w:hAnsi="Arial"/>
                <w:b w:val="0"/>
                <w:sz w:val="20"/>
              </w:rPr>
              <w:t>5000 MPa</w:t>
            </w:r>
          </w:p>
        </w:tc>
      </w:tr>
      <w:tr>
        <w:tc>
          <w:tcPr>
            <w:tcW w:type="dxa" w:w="4801"/>
            <w:vAlign w:val="center"/>
          </w:tcPr>
          <w:p>
            <w:pPr>
              <w:jc w:val="left"/>
            </w:pPr>
            <w:r>
              <w:rPr>
                <w:rFonts w:ascii="Arial" w:hAnsi="Arial"/>
                <w:b w:val="0"/>
                <w:sz w:val="20"/>
              </w:rPr>
              <w:t>CTB 28-day UCS Strength</w:t>
            </w:r>
          </w:p>
        </w:tc>
        <w:tc>
          <w:tcPr>
            <w:tcW w:type="dxa" w:w="4801"/>
            <w:vAlign w:val="center"/>
          </w:tcPr>
          <w:p>
            <w:pPr>
              <w:jc w:val="center"/>
            </w:pPr>
            <w:r>
              <w:rPr>
                <w:rFonts w:ascii="Arial" w:hAnsi="Arial"/>
                <w:b w:val="0"/>
                <w:sz w:val="20"/>
              </w:rPr>
              <w:t>4.5 MPa</w:t>
            </w:r>
          </w:p>
        </w:tc>
      </w:tr>
      <w:tr>
        <w:tc>
          <w:tcPr>
            <w:tcW w:type="dxa" w:w="4801"/>
            <w:vAlign w:val="center"/>
          </w:tcPr>
          <w:p>
            <w:pPr>
              <w:jc w:val="left"/>
            </w:pPr>
            <w:r>
              <w:rPr>
                <w:rFonts w:ascii="Arial" w:hAnsi="Arial"/>
                <w:b w:val="0"/>
                <w:sz w:val="20"/>
              </w:rPr>
              <w:t>CTB Poisson's Ratio</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CTS Strength Class / Grade</w:t>
            </w:r>
          </w:p>
        </w:tc>
        <w:tc>
          <w:tcPr>
            <w:tcW w:type="dxa" w:w="4801"/>
            <w:vAlign w:val="center"/>
          </w:tcPr>
          <w:p>
            <w:pPr>
              <w:jc w:val="center"/>
            </w:pPr>
            <w:r>
              <w:rPr>
                <w:rFonts w:ascii="Arial" w:hAnsi="Arial"/>
                <w:b w:val="0"/>
                <w:sz w:val="20"/>
              </w:rPr>
              <w:t>C1.5/2.0</w:t>
            </w:r>
          </w:p>
        </w:tc>
      </w:tr>
      <w:tr>
        <w:tc>
          <w:tcPr>
            <w:tcW w:type="dxa" w:w="4801"/>
            <w:vAlign w:val="center"/>
          </w:tcPr>
          <w:p>
            <w:pPr>
              <w:jc w:val="left"/>
            </w:pPr>
            <w:r>
              <w:rPr>
                <w:rFonts w:ascii="Arial" w:hAnsi="Arial"/>
                <w:b w:val="0"/>
                <w:sz w:val="20"/>
              </w:rPr>
              <w:t>CTS Layer Thickness</w:t>
            </w:r>
          </w:p>
        </w:tc>
        <w:tc>
          <w:tcPr>
            <w:tcW w:type="dxa" w:w="4801"/>
            <w:vAlign w:val="center"/>
          </w:tcPr>
          <w:p>
            <w:pPr>
              <w:jc w:val="center"/>
            </w:pPr>
            <w:r>
              <w:rPr>
                <w:rFonts w:ascii="Arial" w:hAnsi="Arial"/>
                <w:b w:val="0"/>
                <w:sz w:val="20"/>
              </w:rPr>
              <w:t>100 mm</w:t>
            </w:r>
          </w:p>
        </w:tc>
      </w:tr>
      <w:tr>
        <w:tc>
          <w:tcPr>
            <w:tcW w:type="dxa" w:w="4801"/>
            <w:vAlign w:val="center"/>
          </w:tcPr>
          <w:p>
            <w:pPr>
              <w:jc w:val="left"/>
            </w:pPr>
            <w:r>
              <w:rPr>
                <w:rFonts w:ascii="Arial" w:hAnsi="Arial"/>
                <w:b w:val="0"/>
                <w:sz w:val="20"/>
              </w:rPr>
              <w:t>CTS Elastic Modulus (E_CTS)</w:t>
            </w:r>
          </w:p>
        </w:tc>
        <w:tc>
          <w:tcPr>
            <w:tcW w:type="dxa" w:w="4801"/>
            <w:vAlign w:val="center"/>
          </w:tcPr>
          <w:p>
            <w:pPr>
              <w:jc w:val="center"/>
            </w:pPr>
            <w:r>
              <w:rPr>
                <w:rFonts w:ascii="Arial" w:hAnsi="Arial"/>
                <w:b w:val="0"/>
                <w:sz w:val="20"/>
              </w:rPr>
              <w:t>3000 MPa</w:t>
            </w:r>
          </w:p>
        </w:tc>
      </w:tr>
      <w:tr>
        <w:tc>
          <w:tcPr>
            <w:tcW w:type="dxa" w:w="4801"/>
            <w:vAlign w:val="center"/>
          </w:tcPr>
          <w:p>
            <w:pPr>
              <w:jc w:val="left"/>
            </w:pPr>
            <w:r>
              <w:rPr>
                <w:rFonts w:ascii="Arial" w:hAnsi="Arial"/>
                <w:b w:val="0"/>
                <w:sz w:val="20"/>
              </w:rPr>
              <w:t>CTS Poisson's Ratio</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Bituminous Cover Thickness</w:t>
            </w:r>
          </w:p>
        </w:tc>
        <w:tc>
          <w:tcPr>
            <w:tcW w:type="dxa" w:w="4801"/>
            <w:vAlign w:val="center"/>
          </w:tcPr>
          <w:p>
            <w:pPr>
              <w:jc w:val="center"/>
            </w:pPr>
            <w:r>
              <w:rPr>
                <w:rFonts w:ascii="Arial" w:hAnsi="Arial"/>
                <w:b w:val="0"/>
                <w:sz w:val="20"/>
              </w:rPr>
              <w:t>100 mm</w:t>
            </w:r>
          </w:p>
        </w:tc>
      </w:tr>
      <w:tr>
        <w:tc>
          <w:tcPr>
            <w:tcW w:type="dxa" w:w="4801"/>
            <w:vAlign w:val="center"/>
          </w:tcPr>
          <w:p>
            <w:pPr>
              <w:jc w:val="left"/>
            </w:pPr>
            <w:r>
              <w:rPr>
                <w:rFonts w:ascii="Arial" w:hAnsi="Arial"/>
                <w:b w:val="0"/>
                <w:sz w:val="20"/>
              </w:rPr>
              <w:t>Granular Sub-base Thickness</w:t>
            </w:r>
          </w:p>
        </w:tc>
        <w:tc>
          <w:tcPr>
            <w:tcW w:type="dxa" w:w="4801"/>
            <w:vAlign w:val="center"/>
          </w:tcPr>
          <w:p>
            <w:pPr>
              <w:jc w:val="center"/>
            </w:pPr>
            <w:r>
              <w:rPr>
                <w:rFonts w:ascii="Arial" w:hAnsi="Arial"/>
                <w:b w:val="0"/>
                <w:sz w:val="20"/>
              </w:rPr>
              <w:t>150 mm</w:t>
            </w:r>
          </w:p>
        </w:tc>
      </w:tr>
      <w:tr>
        <w:tc>
          <w:tcPr>
            <w:tcW w:type="dxa" w:w="4801"/>
            <w:vAlign w:val="center"/>
          </w:tcPr>
          <w:p>
            <w:pPr>
              <w:jc w:val="left"/>
            </w:pPr>
            <w:r>
              <w:rPr>
                <w:rFonts w:ascii="Arial" w:hAnsi="Arial"/>
                <w:b w:val="0"/>
                <w:sz w:val="20"/>
              </w:rPr>
              <w:t>Baseline Traffic (MSA)</w:t>
            </w:r>
          </w:p>
        </w:tc>
        <w:tc>
          <w:tcPr>
            <w:tcW w:type="dxa" w:w="4801"/>
            <w:vAlign w:val="center"/>
          </w:tcPr>
          <w:p>
            <w:pPr>
              <w:jc w:val="center"/>
            </w:pPr>
            <w:r>
              <w:rPr>
                <w:rFonts w:ascii="Arial" w:hAnsi="Arial"/>
                <w:b w:val="0"/>
                <w:sz w:val="20"/>
              </w:rPr>
              <w:t>183.299 MSA</w:t>
            </w:r>
          </w:p>
        </w:tc>
      </w:tr>
      <w:tr>
        <w:tc>
          <w:tcPr>
            <w:tcW w:type="dxa" w:w="4801"/>
            <w:vAlign w:val="center"/>
          </w:tcPr>
          <w:p>
            <w:pPr>
              <w:jc w:val="left"/>
            </w:pPr>
            <w:r>
              <w:rPr>
                <w:rFonts w:ascii="Arial" w:hAnsi="Arial"/>
                <w:b w:val="0"/>
                <w:sz w:val="20"/>
              </w:rPr>
              <w:t>Baseline Subgrade CBR (%)</w:t>
            </w:r>
          </w:p>
        </w:tc>
        <w:tc>
          <w:tcPr>
            <w:tcW w:type="dxa" w:w="4801"/>
            <w:vAlign w:val="center"/>
          </w:tcPr>
          <w:p>
            <w:pPr>
              <w:jc w:val="center"/>
            </w:pPr>
            <w:r>
              <w:rPr>
                <w:rFonts w:ascii="Arial" w:hAnsi="Arial"/>
                <w:b w:val="0"/>
                <w:sz w:val="20"/>
              </w:rPr>
              <w:t>6 %</w:t>
            </w:r>
          </w:p>
        </w:tc>
      </w:tr>
    </w:tbl>
    <w:p>
      <w:pPr>
        <w:spacing w:before="160" w:after="80"/>
        <w:jc w:val="left"/>
      </w:pPr>
      <w:r>
        <w:rPr>
          <w:rFonts w:ascii="Arial" w:hAnsi="Arial"/>
          <w:b/>
          <w:color w:val="1F3A68"/>
          <w:sz w:val="24"/>
        </w:rPr>
        <w:t>3. Indicative comparison against conventional flexible pavement</w:t>
      </w:r>
    </w:p>
    <w:p>
      <w:pPr>
        <w:jc w:val="left"/>
      </w:pPr>
      <w:r>
        <w:rPr>
          <w:rFonts w:ascii="Arial" w:hAnsi="Arial"/>
          <w:b w:val="0"/>
          <w:i w:val="0"/>
          <w:sz w:val="22"/>
        </w:rPr>
        <w:t>Side-by-side comparison of conventional flexible pavement catalogue composition vs. cement-stabilized pavement structure:</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Conventional Flexible Design (Catalogue)</w:t>
            </w:r>
          </w:p>
        </w:tc>
        <w:tc>
          <w:tcPr>
            <w:tcW w:type="dxa" w:w="4801"/>
            <w:shd w:val="clear" w:color="auto" w:fill="1F3A68"/>
            <w:vAlign w:val="center"/>
          </w:tcPr>
          <w:p>
            <w:pPr>
              <w:jc w:val="center"/>
            </w:pPr>
            <w:r>
              <w:rPr>
                <w:rFonts w:ascii="Arial" w:hAnsi="Arial"/>
                <w:b/>
                <w:color w:val="FFFFFF"/>
                <w:sz w:val="20"/>
              </w:rPr>
              <w:t>Stabilized Design (CTB/CTS)</w:t>
            </w:r>
          </w:p>
        </w:tc>
      </w:tr>
      <w:tr>
        <w:tc>
          <w:tcPr>
            <w:tcW w:type="dxa" w:w="4801"/>
            <w:vAlign w:val="center"/>
          </w:tcPr>
          <w:p>
            <w:pPr>
              <w:jc w:val="left"/>
            </w:pPr>
            <w:r>
              <w:rPr>
                <w:rFonts w:ascii="Arial" w:hAnsi="Arial"/>
                <w:b w:val="0"/>
                <w:sz w:val="20"/>
              </w:rPr>
              <w:t>Bituminous Concrete (BC) (BC): 40 mm</w:t>
            </w:r>
          </w:p>
        </w:tc>
        <w:tc>
          <w:tcPr>
            <w:tcW w:type="dxa" w:w="4801"/>
            <w:vAlign w:val="center"/>
          </w:tcPr>
          <w:p>
            <w:pPr>
              <w:jc w:val="center"/>
            </w:pPr>
            <w:r>
              <w:rPr>
                <w:rFonts w:ascii="Arial" w:hAnsi="Arial"/>
                <w:b w:val="0"/>
                <w:sz w:val="20"/>
              </w:rPr>
              <w:t>Bituminous Cover (BC/DBM): 100 mm</w:t>
            </w:r>
          </w:p>
        </w:tc>
      </w:tr>
      <w:tr>
        <w:tc>
          <w:tcPr>
            <w:tcW w:type="dxa" w:w="4801"/>
            <w:vAlign w:val="center"/>
          </w:tcPr>
          <w:p>
            <w:pPr>
              <w:jc w:val="left"/>
            </w:pPr>
            <w:r>
              <w:rPr>
                <w:rFonts w:ascii="Arial" w:hAnsi="Arial"/>
                <w:b w:val="0"/>
                <w:sz w:val="20"/>
              </w:rPr>
              <w:t>Dense Bituminous Macadam (DBM) (DBM-II): 190 mm</w:t>
            </w:r>
          </w:p>
        </w:tc>
        <w:tc>
          <w:tcPr>
            <w:tcW w:type="dxa" w:w="4801"/>
            <w:vAlign w:val="center"/>
          </w:tcPr>
          <w:p>
            <w:pPr>
              <w:jc w:val="center"/>
            </w:pPr>
            <w:r>
              <w:rPr>
                <w:rFonts w:ascii="Arial" w:hAnsi="Arial"/>
                <w:b w:val="0"/>
                <w:sz w:val="20"/>
              </w:rPr>
              <w:t>Cement Treated Base (CTB) (CTB): 140 mm</w:t>
            </w:r>
          </w:p>
        </w:tc>
      </w:tr>
      <w:tr>
        <w:tc>
          <w:tcPr>
            <w:tcW w:type="dxa" w:w="4801"/>
            <w:vAlign w:val="center"/>
          </w:tcPr>
          <w:p>
            <w:pPr>
              <w:jc w:val="left"/>
            </w:pPr>
            <w:r>
              <w:rPr>
                <w:rFonts w:ascii="Arial" w:hAnsi="Arial"/>
                <w:b w:val="0"/>
                <w:sz w:val="20"/>
              </w:rPr>
              <w:t>Wet Mix Macadam (WMM) (WMM): 250 mm</w:t>
            </w:r>
          </w:p>
        </w:tc>
        <w:tc>
          <w:tcPr>
            <w:tcW w:type="dxa" w:w="4801"/>
            <w:vAlign w:val="center"/>
          </w:tcPr>
          <w:p>
            <w:pPr>
              <w:jc w:val="center"/>
            </w:pPr>
            <w:r>
              <w:rPr>
                <w:rFonts w:ascii="Arial" w:hAnsi="Arial"/>
                <w:b w:val="0"/>
                <w:sz w:val="20"/>
              </w:rPr>
              <w:t>Cement Treated Sub-base (CTS) (CTS): 100 mm</w:t>
            </w:r>
          </w:p>
        </w:tc>
      </w:tr>
      <w:tr>
        <w:tc>
          <w:tcPr>
            <w:tcW w:type="dxa" w:w="4801"/>
            <w:vAlign w:val="center"/>
          </w:tcPr>
          <w:p>
            <w:pPr>
              <w:jc w:val="left"/>
            </w:pPr>
            <w:r>
              <w:rPr>
                <w:rFonts w:ascii="Arial" w:hAnsi="Arial"/>
                <w:b w:val="0"/>
                <w:sz w:val="20"/>
              </w:rPr>
              <w:t>Granular Sub-base (GSB) (GSB): 230 mm</w:t>
            </w:r>
          </w:p>
        </w:tc>
        <w:tc>
          <w:tcPr>
            <w:tcW w:type="dxa" w:w="4801"/>
            <w:vAlign w:val="center"/>
          </w:tcPr>
          <w:p>
            <w:pPr>
              <w:jc w:val="center"/>
            </w:pPr>
            <w:r>
              <w:rPr>
                <w:rFonts w:ascii="Arial" w:hAnsi="Arial"/>
                <w:b w:val="0"/>
                <w:sz w:val="20"/>
              </w:rPr>
              <w:t>Granular Sub-base (GSB): 150 mm</w:t>
            </w:r>
          </w:p>
        </w:tc>
      </w:tr>
      <w:tr>
        <w:tc>
          <w:tcPr>
            <w:tcW w:type="dxa" w:w="4801"/>
            <w:vAlign w:val="center"/>
          </w:tcPr>
          <w:p>
            <w:pPr>
              <w:jc w:val="left"/>
            </w:pPr>
            <w:r>
              <w:rPr>
                <w:rFonts w:ascii="Arial" w:hAnsi="Arial"/>
                <w:b w:val="0"/>
                <w:sz w:val="20"/>
              </w:rPr>
              <w:t>TOTAL DEPTH: 710 mm</w:t>
            </w:r>
          </w:p>
        </w:tc>
        <w:tc>
          <w:tcPr>
            <w:tcW w:type="dxa" w:w="4801"/>
            <w:vAlign w:val="center"/>
          </w:tcPr>
          <w:p>
            <w:pPr>
              <w:jc w:val="center"/>
            </w:pPr>
            <w:r>
              <w:rPr>
                <w:rFonts w:ascii="Arial" w:hAnsi="Arial"/>
                <w:b w:val="0"/>
                <w:sz w:val="20"/>
              </w:rPr>
              <w:t>TOTAL DEPTH: 490 mm</w:t>
            </w:r>
          </w:p>
        </w:tc>
      </w:tr>
    </w:tbl>
    <w:p>
      <w:pPr>
        <w:jc w:val="left"/>
      </w:pPr>
      <w:r>
        <w:rPr>
          <w:rFonts w:ascii="Arial" w:hAnsi="Arial"/>
          <w:b/>
          <w:i w:val="0"/>
          <w:sz w:val="22"/>
        </w:rPr>
        <w:t>Thickness Savings: 220 mm (31.0% reduction). Note: Thickness savings are indicative comparison only, not an optimization proof.</w:t>
      </w:r>
    </w:p>
    <w:p>
      <w:pPr>
        <w:spacing w:before="160" w:after="80"/>
        <w:jc w:val="left"/>
      </w:pPr>
      <w:r>
        <w:rPr>
          <w:rFonts w:ascii="Arial" w:hAnsi="Arial"/>
          <w:b/>
          <w:color w:val="1F3A68"/>
          <w:sz w:val="24"/>
        </w:rPr>
        <w:t>4. Engineering Warnings &amp; Screening Remarks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w:t>
            </w:r>
          </w:p>
        </w:tc>
        <w:tc>
          <w:tcPr>
            <w:tcW w:type="dxa" w:w="4801"/>
            <w:shd w:val="clear" w:color="auto" w:fill="1F3A68"/>
            <w:vAlign w:val="center"/>
          </w:tcPr>
          <w:p>
            <w:pPr>
              <w:jc w:val="center"/>
            </w:pPr>
            <w:r>
              <w:rPr>
                <w:rFonts w:ascii="Arial" w:hAnsi="Arial"/>
                <w:b/>
                <w:color w:val="FFFFFF"/>
                <w:sz w:val="20"/>
              </w:rPr>
              <w:t>Engineering screening alerts &amp; preliminary checks</w:t>
            </w:r>
          </w:p>
        </w:tc>
      </w:tr>
      <w:tr>
        <w:tc>
          <w:tcPr>
            <w:tcW w:type="dxa" w:w="4801"/>
            <w:vAlign w:val="center"/>
          </w:tcPr>
          <w:p>
            <w:pPr>
              <w:jc w:val="left"/>
            </w:pPr>
            <w:r>
              <w:rPr>
                <w:rFonts w:ascii="Arial" w:hAnsi="Arial"/>
                <w:b w:val="0"/>
                <w:sz w:val="20"/>
              </w:rPr>
              <w:t>1</w:t>
            </w:r>
          </w:p>
        </w:tc>
        <w:tc>
          <w:tcPr>
            <w:tcW w:type="dxa" w:w="4801"/>
            <w:vAlign w:val="center"/>
          </w:tcPr>
          <w:p>
            <w:pPr>
              <w:jc w:val="center"/>
            </w:pPr>
            <w:r>
              <w:rPr>
                <w:rFonts w:ascii="Arial" w:hAnsi="Arial"/>
                <w:b w:val="0"/>
                <w:sz w:val="20"/>
              </w:rPr>
              <w:t>CTB Fatigue Check (Preliminary): Fatigue cracking validation is not fully verified from empirical inputs. Complete fatigue checks require mechanistic IITPAVE strain analysis.</w:t>
            </w:r>
          </w:p>
        </w:tc>
      </w:tr>
      <w:tr>
        <w:tc>
          <w:tcPr>
            <w:tcW w:type="dxa" w:w="4801"/>
            <w:vAlign w:val="center"/>
          </w:tcPr>
          <w:p>
            <w:pPr>
              <w:jc w:val="left"/>
            </w:pPr>
            <w:r>
              <w:rPr>
                <w:rFonts w:ascii="Arial" w:hAnsi="Arial"/>
                <w:b w:val="0"/>
                <w:sz w:val="20"/>
              </w:rPr>
              <w:t>2</w:t>
            </w:r>
          </w:p>
        </w:tc>
        <w:tc>
          <w:tcPr>
            <w:tcW w:type="dxa" w:w="4801"/>
            <w:vAlign w:val="center"/>
          </w:tcPr>
          <w:p>
            <w:pPr>
              <w:jc w:val="center"/>
            </w:pPr>
            <w:r>
              <w:rPr>
                <w:rFonts w:ascii="Arial" w:hAnsi="Arial"/>
                <w:b w:val="0"/>
                <w:sz w:val="20"/>
              </w:rPr>
              <w:t>Engineer review required: Cement-stabilized base/sub-base designs must be verified through local material trials and mechanistic analysis.</w:t>
            </w:r>
          </w:p>
        </w:tc>
      </w:tr>
    </w:tbl>
    <w:p>
      <w:pPr>
        <w:spacing w:before="160" w:after="80"/>
        <w:jc w:val="left"/>
      </w:pPr>
      <w:r>
        <w:rPr>
          <w:rFonts w:ascii="Arial" w:hAnsi="Arial"/>
          <w:b/>
          <w:color w:val="1F3A68"/>
          <w:sz w:val="24"/>
        </w:rPr>
        <w:t>ENGINEERING INTELLIGENCE REVIEW - Stabilized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65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Needs engineering review</w:t>
            </w:r>
          </w:p>
        </w:tc>
      </w:tr>
    </w:tbl>
    <w:p>
      <w:pPr>
        <w:spacing w:before="160" w:after="80"/>
        <w:jc w:val="left"/>
      </w:pPr>
      <w:r>
        <w:rPr>
          <w:rFonts w:ascii="Arial" w:hAnsi="Arial"/>
          <w:b/>
          <w:sz w:val="22"/>
        </w:rPr>
        <w:t>Design Compatibility Screening Alerts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w:t>
            </w:r>
          </w:p>
        </w:tc>
        <w:tc>
          <w:tcPr>
            <w:tcW w:type="dxa" w:w="4801"/>
            <w:shd w:val="clear" w:color="auto" w:fill="1F3A68"/>
            <w:vAlign w:val="center"/>
          </w:tcPr>
          <w:p>
            <w:pPr>
              <w:jc w:val="center"/>
            </w:pPr>
            <w:r>
              <w:rPr>
                <w:rFonts w:ascii="Arial" w:hAnsi="Arial"/>
                <w:b/>
                <w:color w:val="FFFFFF"/>
                <w:sz w:val="20"/>
              </w:rPr>
              <w:t>Engineering compatibility screening alerts</w:t>
            </w:r>
          </w:p>
        </w:tc>
      </w:tr>
      <w:tr>
        <w:tc>
          <w:tcPr>
            <w:tcW w:type="dxa" w:w="4801"/>
            <w:vAlign w:val="center"/>
          </w:tcPr>
          <w:p>
            <w:pPr>
              <w:jc w:val="left"/>
            </w:pPr>
            <w:r>
              <w:rPr>
                <w:rFonts w:ascii="Arial" w:hAnsi="Arial"/>
                <w:b w:val="0"/>
                <w:sz w:val="20"/>
              </w:rPr>
              <w:t>1</w:t>
            </w:r>
          </w:p>
        </w:tc>
        <w:tc>
          <w:tcPr>
            <w:tcW w:type="dxa" w:w="4801"/>
            <w:vAlign w:val="center"/>
          </w:tcPr>
          <w:p>
            <w:pPr>
              <w:jc w:val="center"/>
            </w:pPr>
            <w:r>
              <w:rPr>
                <w:rFonts w:ascii="Arial" w:hAnsi="Arial"/>
                <w:b w:val="0"/>
                <w:sz w:val="20"/>
              </w:rPr>
              <w:t>Engineering review required: Very stiff stabilized layer 'Cement Treated Sub-base (CTS)' is placed directly over weak support 'Granular Sub-base' (150 MPa &lt; 500 MPa). Potential risk of cracking due to stiffness mismatch.</w:t>
            </w:r>
          </w:p>
        </w:tc>
      </w:tr>
      <w:tr>
        <w:tc>
          <w:tcPr>
            <w:tcW w:type="dxa" w:w="4801"/>
            <w:vAlign w:val="center"/>
          </w:tcPr>
          <w:p>
            <w:pPr>
              <w:jc w:val="left"/>
            </w:pPr>
            <w:r>
              <w:rPr>
                <w:rFonts w:ascii="Arial" w:hAnsi="Arial"/>
                <w:b w:val="0"/>
                <w:sz w:val="20"/>
              </w:rPr>
              <w:t>2</w:t>
            </w:r>
          </w:p>
        </w:tc>
        <w:tc>
          <w:tcPr>
            <w:tcW w:type="dxa" w:w="4801"/>
            <w:vAlign w:val="center"/>
          </w:tcPr>
          <w:p>
            <w:pPr>
              <w:jc w:val="center"/>
            </w:pPr>
            <w:r>
              <w:rPr>
                <w:rFonts w:ascii="Arial" w:hAnsi="Arial"/>
                <w:b w:val="0"/>
                <w:sz w:val="20"/>
              </w:rPr>
              <w:t>Engineering review required: Excessive modular ratio between adjacent layers (Cement Treated Sub-base (CTS) to Granular Sub-base ratio = 20.0 &gt; 10.0). Risk of high tensile strain at interface.</w:t>
            </w:r>
          </w:p>
        </w:tc>
      </w:tr>
    </w:tbl>
    <w:p>
      <w:pPr>
        <w:spacing w:before="160" w:after="80"/>
        <w:jc w:val="left"/>
      </w:pPr>
      <w:r>
        <w:rPr>
          <w:rFonts w:ascii="Arial" w:hAnsi="Arial"/>
          <w:b/>
          <w:sz w:val="22"/>
        </w:rPr>
        <w:t>Engineering Review Remarks</w:t>
      </w:r>
    </w:p>
    <w:p>
      <w:pPr>
        <w:jc w:val="left"/>
      </w:pPr>
      <w:r>
        <w:rPr>
          <w:rFonts w:ascii="Arial" w:hAnsi="Arial"/>
          <w:b w:val="0"/>
          <w:i w:val="0"/>
          <w:sz w:val="22"/>
        </w:rPr>
        <w:t>• Design requires engineering review. Layer modular ratios or thicknesses deviate from typical screening limits.</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pPr>
        <w:spacing w:before="40" w:after="120"/>
        <w:jc w:val="left"/>
      </w:pPr>
      <w:r>
        <w:rPr>
          <w:rFonts w:ascii="Arial" w:hAnsi="Arial"/>
          <w:i/>
          <w:color w:val="555B6E"/>
          <w:sz w:val="18"/>
        </w:rPr>
        <w:t>Disclaimer: This module is intended for structural comparison and decision-support only. Empirically suggested configurations must be verified using local material characterization, fatigue trials, and mechanistic strain validation (IITPAVE).</w:t>
      </w:r>
    </w:p>
    <w:p>
      <w:pPr>
        <w:jc w:val="left"/>
      </w:pPr>
      <w:r>
        <w:rPr>
          <w:rFonts w:ascii="Arial" w:hAnsi="Arial"/>
          <w:b w:val="0"/>
          <w:i w:val="0"/>
          <w:sz w:val="22"/>
        </w:rPr>
        <w:br/>
      </w:r>
    </w:p>
    <w:p>
      <w:pPr>
        <w:spacing w:before="160" w:after="80"/>
        <w:jc w:val="left"/>
      </w:pPr>
      <w:r>
        <w:rPr>
          <w:rFonts w:ascii="Arial" w:hAnsi="Arial"/>
          <w:b/>
          <w:color w:val="1F3A68"/>
          <w:sz w:val="28"/>
        </w:rPr>
        <w:t>PAVEMENT ALTERNATIVE COMPARISON</w:t>
      </w:r>
    </w:p>
    <w:p>
      <w:pPr>
        <w:jc w:val="left"/>
      </w:pPr>
      <w:r>
        <w:rPr>
          <w:rFonts w:ascii="Arial" w:hAnsi="Arial"/>
          <w:b w:val="0"/>
          <w:i w:val="0"/>
          <w:sz w:val="22"/>
        </w:rPr>
        <w:t>This section presents a comparative analysis of the four design alternatives evaluated for the project:</w:t>
      </w:r>
    </w:p>
    <w:tbl>
      <w:tblPr>
        <w:tblStyle w:val="TableGrid"/>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372"/>
            <w:shd w:val="clear" w:color="auto" w:fill="1F3A68"/>
            <w:vAlign w:val="center"/>
          </w:tcPr>
          <w:p>
            <w:pPr>
              <w:jc w:val="center"/>
            </w:pPr>
            <w:r>
              <w:rPr>
                <w:rFonts w:ascii="Arial" w:hAnsi="Arial"/>
                <w:b/>
                <w:color w:val="FFFFFF"/>
                <w:sz w:val="20"/>
              </w:rPr>
              <w:t>Option</w:t>
            </w:r>
          </w:p>
        </w:tc>
        <w:tc>
          <w:tcPr>
            <w:tcW w:type="dxa" w:w="1372"/>
            <w:shd w:val="clear" w:color="auto" w:fill="1F3A68"/>
            <w:vAlign w:val="center"/>
          </w:tcPr>
          <w:p>
            <w:pPr>
              <w:jc w:val="center"/>
            </w:pPr>
            <w:r>
              <w:rPr>
                <w:rFonts w:ascii="Arial" w:hAnsi="Arial"/>
                <w:b/>
                <w:color w:val="FFFFFF"/>
                <w:sz w:val="20"/>
              </w:rPr>
              <w:t>Thickness</w:t>
            </w:r>
          </w:p>
        </w:tc>
        <w:tc>
          <w:tcPr>
            <w:tcW w:type="dxa" w:w="1372"/>
            <w:shd w:val="clear" w:color="auto" w:fill="1F3A68"/>
            <w:vAlign w:val="center"/>
          </w:tcPr>
          <w:p>
            <w:pPr>
              <w:jc w:val="center"/>
            </w:pPr>
            <w:r>
              <w:rPr>
                <w:rFonts w:ascii="Arial" w:hAnsi="Arial"/>
                <w:b/>
                <w:color w:val="FFFFFF"/>
                <w:sz w:val="20"/>
              </w:rPr>
              <w:t>Layers</w:t>
            </w:r>
          </w:p>
        </w:tc>
        <w:tc>
          <w:tcPr>
            <w:tcW w:type="dxa" w:w="1372"/>
            <w:shd w:val="clear" w:color="auto" w:fill="1F3A68"/>
            <w:vAlign w:val="center"/>
          </w:tcPr>
          <w:p>
            <w:pPr>
              <w:jc w:val="center"/>
            </w:pPr>
            <w:r>
              <w:rPr>
                <w:rFonts w:ascii="Arial" w:hAnsi="Arial"/>
                <w:b/>
                <w:color w:val="FFFFFF"/>
                <w:sz w:val="20"/>
              </w:rPr>
              <w:t>Approx Cost Index</w:t>
            </w:r>
          </w:p>
        </w:tc>
        <w:tc>
          <w:tcPr>
            <w:tcW w:type="dxa" w:w="1372"/>
            <w:shd w:val="clear" w:color="auto" w:fill="1F3A68"/>
            <w:vAlign w:val="center"/>
          </w:tcPr>
          <w:p>
            <w:pPr>
              <w:jc w:val="center"/>
            </w:pPr>
            <w:r>
              <w:rPr>
                <w:rFonts w:ascii="Arial" w:hAnsi="Arial"/>
                <w:b/>
                <w:color w:val="FFFFFF"/>
                <w:sz w:val="20"/>
              </w:rPr>
              <w:t>Engineering Score</w:t>
            </w:r>
          </w:p>
        </w:tc>
        <w:tc>
          <w:tcPr>
            <w:tcW w:type="dxa" w:w="1372"/>
            <w:shd w:val="clear" w:color="auto" w:fill="1F3A68"/>
            <w:vAlign w:val="center"/>
          </w:tcPr>
          <w:p>
            <w:pPr>
              <w:jc w:val="center"/>
            </w:pPr>
            <w:r>
              <w:rPr>
                <w:rFonts w:ascii="Arial" w:hAnsi="Arial"/>
                <w:b/>
                <w:color w:val="FFFFFF"/>
                <w:sz w:val="20"/>
              </w:rPr>
              <w:t>IITPAVE Status</w:t>
            </w:r>
          </w:p>
        </w:tc>
        <w:tc>
          <w:tcPr>
            <w:tcW w:type="dxa" w:w="1372"/>
            <w:shd w:val="clear" w:color="auto" w:fill="1F3A68"/>
            <w:vAlign w:val="center"/>
          </w:tcPr>
          <w:p>
            <w:pPr>
              <w:jc w:val="center"/>
            </w:pPr>
            <w:r>
              <w:rPr>
                <w:rFonts w:ascii="Arial" w:hAnsi="Arial"/>
                <w:b/>
                <w:color w:val="FFFFFF"/>
                <w:sz w:val="20"/>
              </w:rPr>
              <w:t>Recommendation</w:t>
            </w:r>
          </w:p>
        </w:tc>
      </w:tr>
      <w:tr>
        <w:tc>
          <w:tcPr>
            <w:tcW w:type="dxa" w:w="1372"/>
            <w:vAlign w:val="center"/>
          </w:tcPr>
          <w:p>
            <w:pPr>
              <w:jc w:val="left"/>
            </w:pPr>
            <w:r>
              <w:rPr>
                <w:rFonts w:ascii="Arial" w:hAnsi="Arial"/>
                <w:b w:val="0"/>
                <w:sz w:val="20"/>
              </w:rPr>
              <w:t>Option A: Conventional Flexible Pavement</w:t>
            </w:r>
          </w:p>
        </w:tc>
        <w:tc>
          <w:tcPr>
            <w:tcW w:type="dxa" w:w="1372"/>
            <w:vAlign w:val="center"/>
          </w:tcPr>
          <w:p>
            <w:pPr>
              <w:jc w:val="center"/>
            </w:pPr>
            <w:r>
              <w:rPr>
                <w:rFonts w:ascii="Arial" w:hAnsi="Arial"/>
                <w:b w:val="0"/>
                <w:sz w:val="20"/>
              </w:rPr>
              <w:t>710 mm</w:t>
            </w:r>
          </w:p>
        </w:tc>
        <w:tc>
          <w:tcPr>
            <w:tcW w:type="dxa" w:w="1372"/>
            <w:vAlign w:val="center"/>
          </w:tcPr>
          <w:p>
            <w:pPr>
              <w:jc w:val="center"/>
            </w:pPr>
            <w:r>
              <w:rPr>
                <w:rFonts w:ascii="Arial" w:hAnsi="Arial"/>
                <w:b w:val="0"/>
                <w:sz w:val="20"/>
              </w:rPr>
              <w:t>Bituminous Concrete (BC) (40 mm), Dense Bituminous Macadam (DBM) (190 mm), Wet Mix Macadam (WMM) (250 mm), Granular Sub-base (GSB) (230 mm)</w:t>
            </w:r>
          </w:p>
        </w:tc>
        <w:tc>
          <w:tcPr>
            <w:tcW w:type="dxa" w:w="1372"/>
            <w:vAlign w:val="center"/>
          </w:tcPr>
          <w:p>
            <w:pPr>
              <w:jc w:val="center"/>
            </w:pPr>
            <w:r>
              <w:rPr>
                <w:rFonts w:ascii="Arial" w:hAnsi="Arial"/>
                <w:b w:val="0"/>
                <w:sz w:val="20"/>
              </w:rPr>
              <w:t>₹19.10 Cr</w:t>
            </w:r>
          </w:p>
        </w:tc>
        <w:tc>
          <w:tcPr>
            <w:tcW w:type="dxa" w:w="1372"/>
            <w:vAlign w:val="center"/>
          </w:tcPr>
          <w:p>
            <w:pPr>
              <w:jc w:val="center"/>
            </w:pPr>
            <w:r>
              <w:rPr>
                <w:rFonts w:ascii="Arial" w:hAnsi="Arial"/>
                <w:b w:val="0"/>
                <w:sz w:val="20"/>
              </w:rPr>
              <w:t>75</w:t>
            </w:r>
          </w:p>
        </w:tc>
        <w:tc>
          <w:tcPr>
            <w:tcW w:type="dxa" w:w="1372"/>
            <w:vAlign w:val="center"/>
          </w:tcPr>
          <w:p>
            <w:pPr>
              <w:jc w:val="center"/>
            </w:pPr>
            <w:r>
              <w:rPr>
                <w:rFonts w:ascii="Arial" w:hAnsi="Arial"/>
                <w:b w:val="0"/>
                <w:sz w:val="20"/>
              </w:rPr>
              <w:t>Not Run</w:t>
            </w:r>
          </w:p>
        </w:tc>
        <w:tc>
          <w:tcPr>
            <w:tcW w:type="dxa" w:w="1372"/>
            <w:vAlign w:val="center"/>
          </w:tcPr>
          <w:p>
            <w:pPr>
              <w:jc w:val="center"/>
            </w:pPr>
            <w:r>
              <w:rPr>
                <w:rFonts w:ascii="Arial" w:hAnsi="Arial"/>
                <w:b w:val="0"/>
                <w:sz w:val="20"/>
              </w:rPr>
              <w:t>Standard IRC:37 design template using conventional bituminous and granular layers.</w:t>
            </w:r>
          </w:p>
        </w:tc>
      </w:tr>
      <w:tr>
        <w:tc>
          <w:tcPr>
            <w:tcW w:type="dxa" w:w="1372"/>
            <w:vAlign w:val="center"/>
          </w:tcPr>
          <w:p>
            <w:pPr>
              <w:jc w:val="left"/>
            </w:pPr>
            <w:r>
              <w:rPr>
                <w:rFonts w:ascii="Arial" w:hAnsi="Arial"/>
                <w:b w:val="0"/>
                <w:sz w:val="20"/>
              </w:rPr>
              <w:t>Option B: CTB/CTS Stabilized Pavement</w:t>
            </w:r>
          </w:p>
        </w:tc>
        <w:tc>
          <w:tcPr>
            <w:tcW w:type="dxa" w:w="1372"/>
            <w:vAlign w:val="center"/>
          </w:tcPr>
          <w:p>
            <w:pPr>
              <w:jc w:val="center"/>
            </w:pPr>
            <w:r>
              <w:rPr>
                <w:rFonts w:ascii="Arial" w:hAnsi="Arial"/>
                <w:b w:val="0"/>
                <w:sz w:val="20"/>
              </w:rPr>
              <w:t>490 mm</w:t>
            </w:r>
          </w:p>
        </w:tc>
        <w:tc>
          <w:tcPr>
            <w:tcW w:type="dxa" w:w="1372"/>
            <w:vAlign w:val="center"/>
          </w:tcPr>
          <w:p>
            <w:pPr>
              <w:jc w:val="center"/>
            </w:pPr>
            <w:r>
              <w:rPr>
                <w:rFonts w:ascii="Arial" w:hAnsi="Arial"/>
                <w:b w:val="0"/>
                <w:sz w:val="20"/>
              </w:rPr>
              <w:t>Bituminous Cover (100 mm), Cement Treated Base (CTB) (140 mm), Cement Treated Sub-base (CTS) (100 mm), Granular Sub-base (150 mm)</w:t>
            </w:r>
          </w:p>
        </w:tc>
        <w:tc>
          <w:tcPr>
            <w:tcW w:type="dxa" w:w="1372"/>
            <w:vAlign w:val="center"/>
          </w:tcPr>
          <w:p>
            <w:pPr>
              <w:jc w:val="center"/>
            </w:pPr>
            <w:r>
              <w:rPr>
                <w:rFonts w:ascii="Arial" w:hAnsi="Arial"/>
                <w:b w:val="0"/>
                <w:sz w:val="20"/>
              </w:rPr>
              <w:t>₹10.19 Cr</w:t>
            </w:r>
          </w:p>
        </w:tc>
        <w:tc>
          <w:tcPr>
            <w:tcW w:type="dxa" w:w="1372"/>
            <w:vAlign w:val="center"/>
          </w:tcPr>
          <w:p>
            <w:pPr>
              <w:jc w:val="center"/>
            </w:pPr>
            <w:r>
              <w:rPr>
                <w:rFonts w:ascii="Arial" w:hAnsi="Arial"/>
                <w:b w:val="0"/>
                <w:sz w:val="20"/>
              </w:rPr>
              <w:t>85</w:t>
            </w:r>
          </w:p>
        </w:tc>
        <w:tc>
          <w:tcPr>
            <w:tcW w:type="dxa" w:w="1372"/>
            <w:vAlign w:val="center"/>
          </w:tcPr>
          <w:p>
            <w:pPr>
              <w:jc w:val="center"/>
            </w:pPr>
            <w:r>
              <w:rPr>
                <w:rFonts w:ascii="Arial" w:hAnsi="Arial"/>
                <w:b w:val="0"/>
                <w:sz w:val="20"/>
              </w:rPr>
              <w:t>Not Run</w:t>
            </w:r>
          </w:p>
        </w:tc>
        <w:tc>
          <w:tcPr>
            <w:tcW w:type="dxa" w:w="1372"/>
            <w:vAlign w:val="center"/>
          </w:tcPr>
          <w:p>
            <w:pPr>
              <w:jc w:val="center"/>
            </w:pPr>
            <w:r>
              <w:rPr>
                <w:rFonts w:ascii="Arial" w:hAnsi="Arial"/>
                <w:b w:val="0"/>
                <w:sz w:val="20"/>
              </w:rPr>
              <w:t>CTB/CTS stabilized base provides significant thickness savings while maintaining strength.</w:t>
            </w:r>
          </w:p>
        </w:tc>
      </w:tr>
      <w:tr>
        <w:tc>
          <w:tcPr>
            <w:tcW w:type="dxa" w:w="1372"/>
            <w:vAlign w:val="center"/>
          </w:tcPr>
          <w:p>
            <w:pPr>
              <w:jc w:val="left"/>
            </w:pPr>
            <w:r>
              <w:rPr>
                <w:rFonts w:ascii="Arial" w:hAnsi="Arial"/>
                <w:b w:val="0"/>
                <w:sz w:val="20"/>
              </w:rPr>
              <w:t>Option C: Mechanistic Verified Optimized Design</w:t>
            </w:r>
          </w:p>
        </w:tc>
        <w:tc>
          <w:tcPr>
            <w:tcW w:type="dxa" w:w="1372"/>
            <w:vAlign w:val="center"/>
          </w:tcPr>
          <w:p>
            <w:pPr>
              <w:jc w:val="center"/>
            </w:pPr>
            <w:r>
              <w:rPr>
                <w:rFonts w:ascii="Arial" w:hAnsi="Arial"/>
                <w:b w:val="0"/>
                <w:sz w:val="20"/>
              </w:rPr>
              <w:t>490 mm</w:t>
            </w:r>
          </w:p>
        </w:tc>
        <w:tc>
          <w:tcPr>
            <w:tcW w:type="dxa" w:w="1372"/>
            <w:vAlign w:val="center"/>
          </w:tcPr>
          <w:p>
            <w:pPr>
              <w:jc w:val="center"/>
            </w:pPr>
            <w:r>
              <w:rPr>
                <w:rFonts w:ascii="Arial" w:hAnsi="Arial"/>
                <w:b w:val="0"/>
                <w:sz w:val="20"/>
              </w:rPr>
              <w:t>Bituminous Cover (100 mm), Cement Treated Base (CTB) (140 mm), Cement Treated Sub-base (CTS) (100 mm), Granular Sub-base (150 mm)</w:t>
            </w:r>
          </w:p>
        </w:tc>
        <w:tc>
          <w:tcPr>
            <w:tcW w:type="dxa" w:w="1372"/>
            <w:vAlign w:val="center"/>
          </w:tcPr>
          <w:p>
            <w:pPr>
              <w:jc w:val="center"/>
            </w:pPr>
            <w:r>
              <w:rPr>
                <w:rFonts w:ascii="Arial" w:hAnsi="Arial"/>
                <w:b w:val="0"/>
                <w:sz w:val="20"/>
              </w:rPr>
              <w:t>₹10.19 Cr</w:t>
            </w:r>
          </w:p>
        </w:tc>
        <w:tc>
          <w:tcPr>
            <w:tcW w:type="dxa" w:w="1372"/>
            <w:vAlign w:val="center"/>
          </w:tcPr>
          <w:p>
            <w:pPr>
              <w:jc w:val="center"/>
            </w:pPr>
            <w:r>
              <w:rPr>
                <w:rFonts w:ascii="Arial" w:hAnsi="Arial"/>
                <w:b w:val="0"/>
                <w:sz w:val="20"/>
              </w:rPr>
              <w:t>50</w:t>
            </w:r>
          </w:p>
        </w:tc>
        <w:tc>
          <w:tcPr>
            <w:tcW w:type="dxa" w:w="1372"/>
            <w:vAlign w:val="center"/>
          </w:tcPr>
          <w:p>
            <w:pPr>
              <w:jc w:val="center"/>
            </w:pPr>
            <w:r>
              <w:rPr>
                <w:rFonts w:ascii="Arial" w:hAnsi="Arial"/>
                <w:b w:val="0"/>
                <w:sz w:val="20"/>
              </w:rPr>
              <w:t>Fatigue: FAIL, Rutting: FAIL</w:t>
            </w:r>
          </w:p>
        </w:tc>
        <w:tc>
          <w:tcPr>
            <w:tcW w:type="dxa" w:w="1372"/>
            <w:vAlign w:val="center"/>
          </w:tcPr>
          <w:p>
            <w:pPr>
              <w:jc w:val="center"/>
            </w:pPr>
            <w:r>
              <w:rPr>
                <w:rFonts w:ascii="Arial" w:hAnsi="Arial"/>
                <w:b w:val="0"/>
                <w:sz w:val="20"/>
              </w:rPr>
              <w:t>Mechanistic validation failed to satisfy strain limits.</w:t>
            </w:r>
          </w:p>
        </w:tc>
      </w:tr>
      <w:tr>
        <w:tc>
          <w:tcPr>
            <w:tcW w:type="dxa" w:w="1372"/>
            <w:vAlign w:val="center"/>
          </w:tcPr>
          <w:p>
            <w:pPr>
              <w:jc w:val="left"/>
            </w:pPr>
            <w:r>
              <w:rPr>
                <w:rFonts w:ascii="Arial" w:hAnsi="Arial"/>
                <w:b w:val="0"/>
                <w:sz w:val="20"/>
              </w:rPr>
              <w:t>Option D: Recommended Option</w:t>
            </w:r>
          </w:p>
        </w:tc>
        <w:tc>
          <w:tcPr>
            <w:tcW w:type="dxa" w:w="1372"/>
            <w:vAlign w:val="center"/>
          </w:tcPr>
          <w:p>
            <w:pPr>
              <w:jc w:val="center"/>
            </w:pPr>
            <w:r>
              <w:rPr>
                <w:rFonts w:ascii="Arial" w:hAnsi="Arial"/>
                <w:b w:val="0"/>
                <w:sz w:val="20"/>
              </w:rPr>
              <w:t>490 mm</w:t>
            </w:r>
          </w:p>
        </w:tc>
        <w:tc>
          <w:tcPr>
            <w:tcW w:type="dxa" w:w="1372"/>
            <w:vAlign w:val="center"/>
          </w:tcPr>
          <w:p>
            <w:pPr>
              <w:jc w:val="center"/>
            </w:pPr>
            <w:r>
              <w:rPr>
                <w:rFonts w:ascii="Arial" w:hAnsi="Arial"/>
                <w:b w:val="0"/>
                <w:sz w:val="20"/>
              </w:rPr>
              <w:t>Bituminous Cover (100 mm), Cement Treated Base (CTB) (140 mm), Cement Treated Sub-base (CTS) (100 mm), Granular Sub-base (150 mm)</w:t>
            </w:r>
          </w:p>
        </w:tc>
        <w:tc>
          <w:tcPr>
            <w:tcW w:type="dxa" w:w="1372"/>
            <w:vAlign w:val="center"/>
          </w:tcPr>
          <w:p>
            <w:pPr>
              <w:jc w:val="center"/>
            </w:pPr>
            <w:r>
              <w:rPr>
                <w:rFonts w:ascii="Arial" w:hAnsi="Arial"/>
                <w:b w:val="0"/>
                <w:sz w:val="20"/>
              </w:rPr>
              <w:t>₹10.19 Cr</w:t>
            </w:r>
          </w:p>
        </w:tc>
        <w:tc>
          <w:tcPr>
            <w:tcW w:type="dxa" w:w="1372"/>
            <w:vAlign w:val="center"/>
          </w:tcPr>
          <w:p>
            <w:pPr>
              <w:jc w:val="center"/>
            </w:pPr>
            <w:r>
              <w:rPr>
                <w:rFonts w:ascii="Arial" w:hAnsi="Arial"/>
                <w:b w:val="0"/>
                <w:sz w:val="20"/>
              </w:rPr>
              <w:t>85</w:t>
            </w:r>
          </w:p>
        </w:tc>
        <w:tc>
          <w:tcPr>
            <w:tcW w:type="dxa" w:w="1372"/>
            <w:vAlign w:val="center"/>
          </w:tcPr>
          <w:p>
            <w:pPr>
              <w:jc w:val="center"/>
            </w:pPr>
            <w:r>
              <w:rPr>
                <w:rFonts w:ascii="Arial" w:hAnsi="Arial"/>
                <w:b w:val="0"/>
                <w:sz w:val="20"/>
              </w:rPr>
              <w:t>Not Run</w:t>
            </w:r>
          </w:p>
        </w:tc>
        <w:tc>
          <w:tcPr>
            <w:tcW w:type="dxa" w:w="1372"/>
            <w:vAlign w:val="center"/>
          </w:tcPr>
          <w:p>
            <w:pPr>
              <w:jc w:val="center"/>
            </w:pPr>
            <w:r>
              <w:rPr>
                <w:rFonts w:ascii="Arial" w:hAnsi="Arial"/>
                <w:b w:val="0"/>
                <w:sz w:val="20"/>
              </w:rPr>
              <w:t>CTB/CTS alternative reduces granular thickness and material cost while maintaining performance. (Est. Saving: ₹8.91 Cr / 46.7% compared to Option A - Preliminary Engineer Estimate / Consultant BOQ Estimate)</w:t>
            </w:r>
          </w:p>
        </w:tc>
      </w:tr>
    </w:tbl>
    <w:p>
      <w:pPr>
        <w:jc w:val="left"/>
      </w:pPr>
      <w:r>
        <w:rPr>
          <w:rFonts w:ascii="Arial" w:hAnsi="Arial"/>
          <w:b w:val="0"/>
          <w:i w:val="0"/>
          <w:sz w:val="22"/>
        </w:rPr>
      </w:r>
    </w:p>
    <w:p>
      <w:pPr>
        <w:jc w:val="left"/>
      </w:pPr>
      <w:r>
        <w:rPr>
          <w:rFonts w:ascii="Arial" w:hAnsi="Arial"/>
          <w:b/>
          <w:i w:val="0"/>
          <w:sz w:val="22"/>
        </w:rPr>
        <w:t>Selected Pavement Design Option: Option D: Recommended Option</w:t>
      </w:r>
    </w:p>
    <w:p>
      <w:pPr>
        <w:jc w:val="left"/>
      </w:pPr>
      <w:r>
        <w:rPr>
          <w:rFonts w:ascii="Arial" w:hAnsi="Arial"/>
          <w:b w:val="0"/>
          <w:i w:val="0"/>
          <w:sz w:val="22"/>
        </w:rPr>
        <w:t>Consultant Recommendation Reason: CTB/CTS alternative reduces granular thickness and material cost while maintaining performance. (Est. Saving: ₹8.91 Cr / 46.7% compared to Option A - Preliminary Engineer Estimate / Consultant BOQ Estimate)</w:t>
      </w:r>
    </w:p>
    <w:p>
      <w:r>
        <w:br w:type="page"/>
      </w:r>
    </w:p>
    <w:p>
      <w:pPr>
        <w:spacing w:before="160" w:after="80"/>
        <w:jc w:val="center"/>
      </w:pPr>
      <w:r>
        <w:rPr>
          <w:rFonts w:ascii="Arial" w:hAnsi="Arial"/>
          <w:b/>
          <w:color w:val="1F3A68"/>
          <w:sz w:val="28"/>
        </w:rPr>
        <w:t>APPENDIX D: IITPAVE VERIFICATION</w:t>
      </w:r>
    </w:p>
    <w:p>
      <w:pPr>
        <w:jc w:val="left"/>
      </w:pPr>
      <w:r>
        <w:rPr>
          <w:rFonts w:ascii="Arial" w:hAnsi="Arial"/>
          <w:b w:val="0"/>
          <w:i w:val="0"/>
          <w:sz w:val="22"/>
        </w:rPr>
        <w:t>Real IITPAVE verification was not performed. Pavement design is prepared under empirical Decision Support Mode guidelines.</w:t>
      </w:r>
    </w:p>
    <w:p>
      <w:r>
        <w:br w:type="page"/>
      </w:r>
    </w:p>
    <w:p>
      <w:pPr>
        <w:spacing w:before="160" w:after="80"/>
        <w:jc w:val="center"/>
      </w:pPr>
      <w:r>
        <w:rPr>
          <w:rFonts w:ascii="Arial" w:hAnsi="Arial"/>
          <w:b/>
          <w:color w:val="1F3A68"/>
          <w:sz w:val="28"/>
        </w:rPr>
        <w:t>APPENDIX E: MIX DESIGN</w:t>
      </w:r>
    </w:p>
    <w:p>
      <w:pPr>
        <w:jc w:val="left"/>
      </w:pPr>
      <w:r>
        <w:rPr>
          <w:rFonts w:ascii="Arial" w:hAnsi="Arial"/>
          <w:b w:val="0"/>
          <w:i w:val="0"/>
          <w:sz w:val="22"/>
        </w:rPr>
        <w:t>No bituminous mix design data recorded.</w:t>
      </w:r>
    </w:p>
    <w:p>
      <w:r>
        <w:br w:type="page"/>
      </w:r>
    </w:p>
    <w:p>
      <w:pPr>
        <w:spacing w:before="160" w:after="80"/>
        <w:jc w:val="center"/>
      </w:pPr>
      <w:r>
        <w:rPr>
          <w:rFonts w:ascii="Arial" w:hAnsi="Arial"/>
          <w:b/>
          <w:color w:val="1F3A68"/>
          <w:sz w:val="28"/>
        </w:rPr>
        <w:t>APPENDIX F: BOQ &amp; COST ESTIMATE</w:t>
      </w:r>
    </w:p>
    <w:p>
      <w:pPr>
        <w:spacing w:before="160" w:after="80"/>
        <w:jc w:val="left"/>
      </w:pPr>
      <w:r>
        <w:rPr>
          <w:rFonts w:ascii="Arial" w:hAnsi="Arial"/>
          <w:b/>
          <w:color w:val="1F3A68"/>
          <w:sz w:val="24"/>
        </w:rPr>
        <w:t>Layer-wise Breakdown (Compacted &amp; Loose Volumes)</w:t>
      </w:r>
    </w:p>
    <w:tbl>
      <w:tblPr>
        <w:tblStyle w:val="TableGrid"/>
        <w:tblW w:type="auto" w:w="0"/>
        <w:jc w:val="center"/>
        <w:tblLook w:firstColumn="1" w:firstRow="1" w:lastColumn="0" w:lastRow="0" w:noHBand="0" w:noVBand="1" w:val="04A0"/>
      </w:tblPr>
      <w:tblGrid>
        <w:gridCol w:w="1067"/>
        <w:gridCol w:w="1067"/>
        <w:gridCol w:w="1067"/>
        <w:gridCol w:w="1067"/>
        <w:gridCol w:w="1067"/>
        <w:gridCol w:w="1067"/>
        <w:gridCol w:w="1067"/>
        <w:gridCol w:w="1067"/>
        <w:gridCol w:w="1067"/>
      </w:tblGrid>
      <w:tr>
        <w:tc>
          <w:tcPr>
            <w:tcW w:type="dxa" w:w="1067"/>
            <w:shd w:val="clear" w:color="auto" w:fill="1F3A68"/>
            <w:vAlign w:val="center"/>
          </w:tcPr>
          <w:p>
            <w:pPr>
              <w:jc w:val="center"/>
            </w:pPr>
            <w:r>
              <w:rPr>
                <w:rFonts w:ascii="Arial" w:hAnsi="Arial"/>
                <w:b/>
                <w:color w:val="FFFFFF"/>
                <w:sz w:val="20"/>
              </w:rPr>
              <w:t>Layer</w:t>
            </w:r>
          </w:p>
        </w:tc>
        <w:tc>
          <w:tcPr>
            <w:tcW w:type="dxa" w:w="1067"/>
            <w:shd w:val="clear" w:color="auto" w:fill="1F3A68"/>
            <w:vAlign w:val="center"/>
          </w:tcPr>
          <w:p>
            <w:pPr>
              <w:jc w:val="center"/>
            </w:pPr>
            <w:r>
              <w:rPr>
                <w:rFonts w:ascii="Arial" w:hAnsi="Arial"/>
                <w:b/>
                <w:color w:val="FFFFFF"/>
                <w:sz w:val="20"/>
              </w:rPr>
              <w:t>L (m)</w:t>
            </w:r>
          </w:p>
        </w:tc>
        <w:tc>
          <w:tcPr>
            <w:tcW w:type="dxa" w:w="1067"/>
            <w:shd w:val="clear" w:color="auto" w:fill="1F3A68"/>
            <w:vAlign w:val="center"/>
          </w:tcPr>
          <w:p>
            <w:pPr>
              <w:jc w:val="center"/>
            </w:pPr>
            <w:r>
              <w:rPr>
                <w:rFonts w:ascii="Arial" w:hAnsi="Arial"/>
                <w:b/>
                <w:color w:val="FFFFFF"/>
                <w:sz w:val="20"/>
              </w:rPr>
              <w:t>W (m)</w:t>
            </w:r>
          </w:p>
        </w:tc>
        <w:tc>
          <w:tcPr>
            <w:tcW w:type="dxa" w:w="1067"/>
            <w:shd w:val="clear" w:color="auto" w:fill="1F3A68"/>
            <w:vAlign w:val="center"/>
          </w:tcPr>
          <w:p>
            <w:pPr>
              <w:jc w:val="center"/>
            </w:pPr>
            <w:r>
              <w:rPr>
                <w:rFonts w:ascii="Arial" w:hAnsi="Arial"/>
                <w:b/>
                <w:color w:val="FFFFFF"/>
                <w:sz w:val="20"/>
              </w:rPr>
              <w:t>t (mm)</w:t>
            </w:r>
          </w:p>
        </w:tc>
        <w:tc>
          <w:tcPr>
            <w:tcW w:type="dxa" w:w="1067"/>
            <w:shd w:val="clear" w:color="auto" w:fill="1F3A68"/>
            <w:vAlign w:val="center"/>
          </w:tcPr>
          <w:p>
            <w:pPr>
              <w:jc w:val="center"/>
            </w:pPr>
            <w:r>
              <w:rPr>
                <w:rFonts w:ascii="Arial" w:hAnsi="Arial"/>
                <w:b/>
                <w:color w:val="FFFFFF"/>
                <w:sz w:val="20"/>
              </w:rPr>
              <w:t>Comp (m³)</w:t>
            </w:r>
          </w:p>
        </w:tc>
        <w:tc>
          <w:tcPr>
            <w:tcW w:type="dxa" w:w="1067"/>
            <w:shd w:val="clear" w:color="auto" w:fill="1F3A68"/>
            <w:vAlign w:val="center"/>
          </w:tcPr>
          <w:p>
            <w:pPr>
              <w:jc w:val="center"/>
            </w:pPr>
            <w:r>
              <w:rPr>
                <w:rFonts w:ascii="Arial" w:hAnsi="Arial"/>
                <w:b/>
                <w:color w:val="FFFFFF"/>
                <w:sz w:val="20"/>
              </w:rPr>
              <w:t>Loose (m³)</w:t>
            </w:r>
          </w:p>
        </w:tc>
        <w:tc>
          <w:tcPr>
            <w:tcW w:type="dxa" w:w="1067"/>
            <w:shd w:val="clear" w:color="auto" w:fill="1F3A68"/>
            <w:vAlign w:val="center"/>
          </w:tcPr>
          <w:p>
            <w:pPr>
              <w:jc w:val="center"/>
            </w:pPr>
            <w:r>
              <w:rPr>
                <w:rFonts w:ascii="Arial" w:hAnsi="Arial"/>
                <w:b/>
                <w:color w:val="FFFFFF"/>
                <w:sz w:val="20"/>
              </w:rPr>
              <w:t>ρ (t/m³)</w:t>
            </w:r>
          </w:p>
        </w:tc>
        <w:tc>
          <w:tcPr>
            <w:tcW w:type="dxa" w:w="1067"/>
            <w:shd w:val="clear" w:color="auto" w:fill="1F3A68"/>
            <w:vAlign w:val="center"/>
          </w:tcPr>
          <w:p>
            <w:pPr>
              <w:jc w:val="center"/>
            </w:pPr>
            <w:r>
              <w:rPr>
                <w:rFonts w:ascii="Arial" w:hAnsi="Arial"/>
                <w:b/>
                <w:color w:val="FFFFFF"/>
                <w:sz w:val="20"/>
              </w:rPr>
              <w:t>Rate</w:t>
            </w:r>
          </w:p>
        </w:tc>
        <w:tc>
          <w:tcPr>
            <w:tcW w:type="dxa" w:w="1067"/>
            <w:shd w:val="clear" w:color="auto" w:fill="1F3A68"/>
            <w:vAlign w:val="center"/>
          </w:tcPr>
          <w:p>
            <w:pPr>
              <w:jc w:val="center"/>
            </w:pPr>
            <w:r>
              <w:rPr>
                <w:rFonts w:ascii="Arial" w:hAnsi="Arial"/>
                <w:b/>
                <w:color w:val="FFFFFF"/>
                <w:sz w:val="20"/>
              </w:rPr>
              <w:t>Amount</w:t>
            </w:r>
          </w:p>
        </w:tc>
      </w:tr>
      <w:tr>
        <w:tc>
          <w:tcPr>
            <w:tcW w:type="dxa" w:w="1067"/>
            <w:vAlign w:val="center"/>
          </w:tcPr>
          <w:p>
            <w:pPr>
              <w:jc w:val="left"/>
            </w:pPr>
            <w:r>
              <w:rPr>
                <w:rFonts w:ascii="Arial" w:hAnsi="Arial"/>
                <w:b w:val="0"/>
                <w:sz w:val="20"/>
              </w:rPr>
              <w:t>Prime Coat</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₹60,000.00</w:t>
            </w:r>
          </w:p>
        </w:tc>
        <w:tc>
          <w:tcPr>
            <w:tcW w:type="dxa" w:w="1067"/>
            <w:vAlign w:val="center"/>
          </w:tcPr>
          <w:p>
            <w:pPr>
              <w:jc w:val="center"/>
            </w:pPr>
            <w:r>
              <w:rPr>
                <w:rFonts w:ascii="Arial" w:hAnsi="Arial"/>
                <w:b w:val="0"/>
                <w:sz w:val="20"/>
              </w:rPr>
              <w:t>₹1,575,000.00</w:t>
            </w:r>
          </w:p>
        </w:tc>
      </w:tr>
      <w:tr>
        <w:tc>
          <w:tcPr>
            <w:tcW w:type="dxa" w:w="1067"/>
            <w:vAlign w:val="center"/>
          </w:tcPr>
          <w:p>
            <w:pPr>
              <w:jc w:val="left"/>
            </w:pPr>
            <w:r>
              <w:rPr>
                <w:rFonts w:ascii="Arial" w:hAnsi="Arial"/>
                <w:b w:val="0"/>
                <w:sz w:val="20"/>
              </w:rPr>
              <w:t>Tack Coat</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₹60,000.00</w:t>
            </w:r>
          </w:p>
        </w:tc>
        <w:tc>
          <w:tcPr>
            <w:tcW w:type="dxa" w:w="1067"/>
            <w:vAlign w:val="center"/>
          </w:tcPr>
          <w:p>
            <w:pPr>
              <w:jc w:val="center"/>
            </w:pPr>
            <w:r>
              <w:rPr>
                <w:rFonts w:ascii="Arial" w:hAnsi="Arial"/>
                <w:b w:val="0"/>
                <w:sz w:val="20"/>
              </w:rPr>
              <w:t>₹525,000.00</w:t>
            </w:r>
          </w:p>
        </w:tc>
      </w:tr>
      <w:tr>
        <w:tc>
          <w:tcPr>
            <w:tcW w:type="dxa" w:w="1067"/>
            <w:vAlign w:val="center"/>
          </w:tcPr>
          <w:p>
            <w:pPr>
              <w:jc w:val="left"/>
            </w:pPr>
            <w:r>
              <w:rPr>
                <w:rFonts w:ascii="Arial" w:hAnsi="Arial"/>
                <w:b w:val="0"/>
                <w:sz w:val="20"/>
              </w:rPr>
              <w:t>BC</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40</w:t>
            </w:r>
          </w:p>
        </w:tc>
        <w:tc>
          <w:tcPr>
            <w:tcW w:type="dxa" w:w="1067"/>
            <w:vAlign w:val="center"/>
          </w:tcPr>
          <w:p>
            <w:pPr>
              <w:jc w:val="center"/>
            </w:pPr>
            <w:r>
              <w:rPr>
                <w:rFonts w:ascii="Arial" w:hAnsi="Arial"/>
                <w:b w:val="0"/>
                <w:sz w:val="20"/>
              </w:rPr>
              <w:t>1400.0</w:t>
            </w:r>
          </w:p>
        </w:tc>
        <w:tc>
          <w:tcPr>
            <w:tcW w:type="dxa" w:w="1067"/>
            <w:vAlign w:val="center"/>
          </w:tcPr>
          <w:p>
            <w:pPr>
              <w:jc w:val="center"/>
            </w:pPr>
            <w:r>
              <w:rPr>
                <w:rFonts w:ascii="Arial" w:hAnsi="Arial"/>
                <w:b w:val="0"/>
                <w:sz w:val="20"/>
              </w:rPr>
              <w:t>1610.0</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₹8,500.00</w:t>
            </w:r>
          </w:p>
        </w:tc>
        <w:tc>
          <w:tcPr>
            <w:tcW w:type="dxa" w:w="1067"/>
            <w:vAlign w:val="center"/>
          </w:tcPr>
          <w:p>
            <w:pPr>
              <w:jc w:val="center"/>
            </w:pPr>
            <w:r>
              <w:rPr>
                <w:rFonts w:ascii="Arial" w:hAnsi="Arial"/>
                <w:b w:val="0"/>
                <w:sz w:val="20"/>
              </w:rPr>
              <w:t>₹29,131,200.00</w:t>
            </w:r>
          </w:p>
        </w:tc>
      </w:tr>
      <w:tr>
        <w:tc>
          <w:tcPr>
            <w:tcW w:type="dxa" w:w="1067"/>
            <w:vAlign w:val="center"/>
          </w:tcPr>
          <w:p>
            <w:pPr>
              <w:jc w:val="left"/>
            </w:pPr>
            <w:r>
              <w:rPr>
                <w:rFonts w:ascii="Arial" w:hAnsi="Arial"/>
                <w:b w:val="0"/>
                <w:sz w:val="20"/>
              </w:rPr>
              <w:t>DBM</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190</w:t>
            </w:r>
          </w:p>
        </w:tc>
        <w:tc>
          <w:tcPr>
            <w:tcW w:type="dxa" w:w="1067"/>
            <w:vAlign w:val="center"/>
          </w:tcPr>
          <w:p>
            <w:pPr>
              <w:jc w:val="center"/>
            </w:pPr>
            <w:r>
              <w:rPr>
                <w:rFonts w:ascii="Arial" w:hAnsi="Arial"/>
                <w:b w:val="0"/>
                <w:sz w:val="20"/>
              </w:rPr>
              <w:t>6650.0</w:t>
            </w:r>
          </w:p>
        </w:tc>
        <w:tc>
          <w:tcPr>
            <w:tcW w:type="dxa" w:w="1067"/>
            <w:vAlign w:val="center"/>
          </w:tcPr>
          <w:p>
            <w:pPr>
              <w:jc w:val="center"/>
            </w:pPr>
            <w:r>
              <w:rPr>
                <w:rFonts w:ascii="Arial" w:hAnsi="Arial"/>
                <w:b w:val="0"/>
                <w:sz w:val="20"/>
              </w:rPr>
              <w:t>7647.5</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₹7,500.00</w:t>
            </w:r>
          </w:p>
        </w:tc>
        <w:tc>
          <w:tcPr>
            <w:tcW w:type="dxa" w:w="1067"/>
            <w:vAlign w:val="center"/>
          </w:tcPr>
          <w:p>
            <w:pPr>
              <w:jc w:val="center"/>
            </w:pPr>
            <w:r>
              <w:rPr>
                <w:rFonts w:ascii="Arial" w:hAnsi="Arial"/>
                <w:b w:val="0"/>
                <w:sz w:val="20"/>
              </w:rPr>
              <w:t>₹122,094,000.00</w:t>
            </w:r>
          </w:p>
        </w:tc>
      </w:tr>
      <w:tr>
        <w:tc>
          <w:tcPr>
            <w:tcW w:type="dxa" w:w="1067"/>
            <w:vAlign w:val="center"/>
          </w:tcPr>
          <w:p>
            <w:pPr>
              <w:jc w:val="left"/>
            </w:pPr>
            <w:r>
              <w:rPr>
                <w:rFonts w:ascii="Arial" w:hAnsi="Arial"/>
                <w:b w:val="0"/>
                <w:sz w:val="20"/>
              </w:rPr>
              <w:t>WMM</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250</w:t>
            </w:r>
          </w:p>
        </w:tc>
        <w:tc>
          <w:tcPr>
            <w:tcW w:type="dxa" w:w="1067"/>
            <w:vAlign w:val="center"/>
          </w:tcPr>
          <w:p>
            <w:pPr>
              <w:jc w:val="center"/>
            </w:pPr>
            <w:r>
              <w:rPr>
                <w:rFonts w:ascii="Arial" w:hAnsi="Arial"/>
                <w:b w:val="0"/>
                <w:sz w:val="20"/>
              </w:rPr>
              <w:t>8750.0</w:t>
            </w:r>
          </w:p>
        </w:tc>
        <w:tc>
          <w:tcPr>
            <w:tcW w:type="dxa" w:w="1067"/>
            <w:vAlign w:val="center"/>
          </w:tcPr>
          <w:p>
            <w:pPr>
              <w:jc w:val="center"/>
            </w:pPr>
            <w:r>
              <w:rPr>
                <w:rFonts w:ascii="Arial" w:hAnsi="Arial"/>
                <w:b w:val="0"/>
                <w:sz w:val="20"/>
              </w:rPr>
              <w:t>10500.0</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₹1,800.00</w:t>
            </w:r>
          </w:p>
        </w:tc>
        <w:tc>
          <w:tcPr>
            <w:tcW w:type="dxa" w:w="1067"/>
            <w:vAlign w:val="center"/>
          </w:tcPr>
          <w:p>
            <w:pPr>
              <w:jc w:val="center"/>
            </w:pPr>
            <w:r>
              <w:rPr>
                <w:rFonts w:ascii="Arial" w:hAnsi="Arial"/>
                <w:b w:val="0"/>
                <w:sz w:val="20"/>
              </w:rPr>
              <w:t>₹15,750,000.00</w:t>
            </w:r>
          </w:p>
        </w:tc>
      </w:tr>
      <w:tr>
        <w:tc>
          <w:tcPr>
            <w:tcW w:type="dxa" w:w="1067"/>
            <w:vAlign w:val="center"/>
          </w:tcPr>
          <w:p>
            <w:pPr>
              <w:jc w:val="left"/>
            </w:pPr>
            <w:r>
              <w:rPr>
                <w:rFonts w:ascii="Arial" w:hAnsi="Arial"/>
                <w:b w:val="0"/>
                <w:sz w:val="20"/>
              </w:rPr>
              <w:t>GSB</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230</w:t>
            </w:r>
          </w:p>
        </w:tc>
        <w:tc>
          <w:tcPr>
            <w:tcW w:type="dxa" w:w="1067"/>
            <w:vAlign w:val="center"/>
          </w:tcPr>
          <w:p>
            <w:pPr>
              <w:jc w:val="center"/>
            </w:pPr>
            <w:r>
              <w:rPr>
                <w:rFonts w:ascii="Arial" w:hAnsi="Arial"/>
                <w:b w:val="0"/>
                <w:sz w:val="20"/>
              </w:rPr>
              <w:t>8050.0</w:t>
            </w:r>
          </w:p>
        </w:tc>
        <w:tc>
          <w:tcPr>
            <w:tcW w:type="dxa" w:w="1067"/>
            <w:vAlign w:val="center"/>
          </w:tcPr>
          <w:p>
            <w:pPr>
              <w:jc w:val="center"/>
            </w:pPr>
            <w:r>
              <w:rPr>
                <w:rFonts w:ascii="Arial" w:hAnsi="Arial"/>
                <w:b w:val="0"/>
                <w:sz w:val="20"/>
              </w:rPr>
              <w:t>10062.5</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₹1,500.00</w:t>
            </w:r>
          </w:p>
        </w:tc>
        <w:tc>
          <w:tcPr>
            <w:tcW w:type="dxa" w:w="1067"/>
            <w:vAlign w:val="center"/>
          </w:tcPr>
          <w:p>
            <w:pPr>
              <w:jc w:val="center"/>
            </w:pPr>
            <w:r>
              <w:rPr>
                <w:rFonts w:ascii="Arial" w:hAnsi="Arial"/>
                <w:b w:val="0"/>
                <w:sz w:val="20"/>
              </w:rPr>
              <w:t>₹12,075,000.00</w:t>
            </w:r>
          </w:p>
        </w:tc>
      </w:tr>
    </w:tbl>
    <w:p>
      <w:pPr>
        <w:spacing w:before="160" w:after="80"/>
        <w:jc w:val="left"/>
      </w:pPr>
      <w:r>
        <w:rPr>
          <w:rFonts w:ascii="Arial" w:hAnsi="Arial"/>
          <w:b/>
          <w:color w:val="1F3A68"/>
          <w:sz w:val="24"/>
        </w:rPr>
        <w:t>Preliminary Pavement Cost Estimate (GST &amp; Grand Total)</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Pavement Subtotal Amount</w:t>
            </w:r>
          </w:p>
        </w:tc>
        <w:tc>
          <w:tcPr>
            <w:tcW w:type="dxa" w:w="4801"/>
            <w:vAlign w:val="center"/>
          </w:tcPr>
          <w:p>
            <w:pPr>
              <w:jc w:val="center"/>
            </w:pPr>
            <w:r>
              <w:rPr>
                <w:rFonts w:ascii="Arial" w:hAnsi="Arial"/>
                <w:b w:val="0"/>
                <w:sz w:val="20"/>
              </w:rPr>
              <w:t>₹181,150,200.00</w:t>
            </w:r>
          </w:p>
        </w:tc>
      </w:tr>
      <w:tr>
        <w:tc>
          <w:tcPr>
            <w:tcW w:type="dxa" w:w="4801"/>
            <w:vAlign w:val="center"/>
          </w:tcPr>
          <w:p>
            <w:pPr>
              <w:jc w:val="left"/>
            </w:pPr>
            <w:r>
              <w:rPr>
                <w:rFonts w:ascii="Arial" w:hAnsi="Arial"/>
                <w:b w:val="0"/>
                <w:sz w:val="20"/>
              </w:rPr>
              <w:t>GST (18% tax)</w:t>
            </w:r>
          </w:p>
        </w:tc>
        <w:tc>
          <w:tcPr>
            <w:tcW w:type="dxa" w:w="4801"/>
            <w:vAlign w:val="center"/>
          </w:tcPr>
          <w:p>
            <w:pPr>
              <w:jc w:val="center"/>
            </w:pPr>
            <w:r>
              <w:rPr>
                <w:rFonts w:ascii="Arial" w:hAnsi="Arial"/>
                <w:b w:val="0"/>
                <w:sz w:val="20"/>
              </w:rPr>
              <w:t>₹32,607,036.00</w:t>
            </w:r>
          </w:p>
        </w:tc>
      </w:tr>
      <w:tr>
        <w:tc>
          <w:tcPr>
            <w:tcW w:type="dxa" w:w="4801"/>
            <w:vAlign w:val="center"/>
          </w:tcPr>
          <w:p>
            <w:pPr>
              <w:jc w:val="left"/>
            </w:pPr>
            <w:r>
              <w:rPr>
                <w:rFonts w:ascii="Arial" w:hAnsi="Arial"/>
                <w:b w:val="0"/>
                <w:sz w:val="20"/>
              </w:rPr>
              <w:t>Grand Total Estimated Cost</w:t>
            </w:r>
          </w:p>
        </w:tc>
        <w:tc>
          <w:tcPr>
            <w:tcW w:type="dxa" w:w="4801"/>
            <w:vAlign w:val="center"/>
          </w:tcPr>
          <w:p>
            <w:pPr>
              <w:jc w:val="center"/>
            </w:pPr>
            <w:r>
              <w:rPr>
                <w:rFonts w:ascii="Arial" w:hAnsi="Arial"/>
                <w:b w:val="0"/>
                <w:sz w:val="20"/>
              </w:rPr>
              <w:t>₹213,757,236.00</w:t>
            </w:r>
          </w:p>
        </w:tc>
      </w:tr>
    </w:tbl>
    <w:p>
      <w:pPr>
        <w:jc w:val="left"/>
      </w:pPr>
      <w:r>
        <w:rPr>
          <w:rFonts w:ascii="Arial" w:hAnsi="Arial"/>
          <w:b w:val="0"/>
          <w:i/>
          <w:sz w:val="18"/>
        </w:rPr>
        <w:t>* Note: All cost values are labeled as a Preliminary Engineering Estimate and do not represent final contractor or commercial tender figures.</w:t>
      </w:r>
    </w:p>
    <w:p>
      <w:pPr>
        <w:spacing w:before="160" w:after="80"/>
        <w:jc w:val="left"/>
      </w:pPr>
      <w:r>
        <w:rPr>
          <w:rFonts w:ascii="Arial" w:hAnsi="Arial"/>
          <w:b/>
          <w:color w:val="1F3A68"/>
          <w:sz w:val="24"/>
        </w:rPr>
        <w:t>Material Consumption Splits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Total Stone Aggregates</w:t>
            </w:r>
          </w:p>
        </w:tc>
        <w:tc>
          <w:tcPr>
            <w:tcW w:type="dxa" w:w="4801"/>
            <w:vAlign w:val="center"/>
          </w:tcPr>
          <w:p>
            <w:pPr>
              <w:jc w:val="center"/>
            </w:pPr>
            <w:r>
              <w:rPr>
                <w:rFonts w:ascii="Arial" w:hAnsi="Arial"/>
                <w:b w:val="0"/>
                <w:sz w:val="20"/>
              </w:rPr>
              <w:t>55594.90 t</w:t>
            </w:r>
          </w:p>
        </w:tc>
      </w:tr>
      <w:tr>
        <w:tc>
          <w:tcPr>
            <w:tcW w:type="dxa" w:w="4801"/>
            <w:vAlign w:val="center"/>
          </w:tcPr>
          <w:p>
            <w:pPr>
              <w:jc w:val="left"/>
            </w:pPr>
            <w:r>
              <w:rPr>
                <w:rFonts w:ascii="Arial" w:hAnsi="Arial"/>
                <w:b w:val="0"/>
                <w:sz w:val="20"/>
              </w:rPr>
              <w:t>Total Bitumen Binder</w:t>
            </w:r>
          </w:p>
        </w:tc>
        <w:tc>
          <w:tcPr>
            <w:tcW w:type="dxa" w:w="4801"/>
            <w:vAlign w:val="center"/>
          </w:tcPr>
          <w:p>
            <w:pPr>
              <w:jc w:val="center"/>
            </w:pPr>
            <w:r>
              <w:rPr>
                <w:rFonts w:ascii="Arial" w:hAnsi="Arial"/>
                <w:b w:val="0"/>
                <w:sz w:val="20"/>
              </w:rPr>
              <w:t>956.06 t</w:t>
            </w:r>
          </w:p>
        </w:tc>
      </w:tr>
      <w:tr>
        <w:tc>
          <w:tcPr>
            <w:tcW w:type="dxa" w:w="4801"/>
            <w:vAlign w:val="center"/>
          </w:tcPr>
          <w:p>
            <w:pPr>
              <w:jc w:val="left"/>
            </w:pPr>
            <w:r>
              <w:rPr>
                <w:rFonts w:ascii="Arial" w:hAnsi="Arial"/>
                <w:b w:val="0"/>
                <w:sz w:val="20"/>
              </w:rPr>
              <w:t>Total Cement Binder</w:t>
            </w:r>
          </w:p>
        </w:tc>
        <w:tc>
          <w:tcPr>
            <w:tcW w:type="dxa" w:w="4801"/>
            <w:vAlign w:val="center"/>
          </w:tcPr>
          <w:p>
            <w:pPr>
              <w:jc w:val="center"/>
            </w:pPr>
            <w:r>
              <w:rPr>
                <w:rFonts w:ascii="Arial" w:hAnsi="Arial"/>
                <w:b w:val="0"/>
                <w:sz w:val="20"/>
              </w:rPr>
              <w:t>0.00 t</w:t>
            </w:r>
          </w:p>
        </w:tc>
      </w:tr>
      <w:tr>
        <w:tc>
          <w:tcPr>
            <w:tcW w:type="dxa" w:w="4801"/>
            <w:vAlign w:val="center"/>
          </w:tcPr>
          <w:p>
            <w:pPr>
              <w:jc w:val="left"/>
            </w:pPr>
            <w:r>
              <w:rPr>
                <w:rFonts w:ascii="Arial" w:hAnsi="Arial"/>
                <w:b w:val="0"/>
                <w:sz w:val="20"/>
              </w:rPr>
              <w:t>Total Mineral Filler</w:t>
            </w:r>
          </w:p>
        </w:tc>
        <w:tc>
          <w:tcPr>
            <w:tcW w:type="dxa" w:w="4801"/>
            <w:vAlign w:val="center"/>
          </w:tcPr>
          <w:p>
            <w:pPr>
              <w:jc w:val="center"/>
            </w:pPr>
            <w:r>
              <w:rPr>
                <w:rFonts w:ascii="Arial" w:hAnsi="Arial"/>
                <w:b w:val="0"/>
                <w:sz w:val="20"/>
              </w:rPr>
              <w:t>68.54 t</w:t>
            </w:r>
          </w:p>
        </w:tc>
      </w:tr>
    </w:tbl>
    <w:p>
      <w:pPr>
        <w:spacing w:before="160" w:after="80"/>
        <w:jc w:val="left"/>
      </w:pPr>
      <w:r>
        <w:rPr>
          <w:rFonts w:ascii="Arial" w:hAnsi="Arial"/>
          <w:b/>
          <w:color w:val="1F3A68"/>
          <w:sz w:val="24"/>
        </w:rPr>
        <w:t>Pavement Quantity Traceability Log</w:t>
      </w:r>
    </w:p>
    <w:p>
      <w:pPr>
        <w:jc w:val="left"/>
      </w:pPr>
      <w:r>
        <w:rPr>
          <w:rFonts w:ascii="Arial" w:hAnsi="Arial"/>
          <w:b w:val="0"/>
          <w:i w:val="0"/>
          <w:sz w:val="18"/>
        </w:rPr>
        <w:t>• Prime Coat: Bitumen Tonnage (26.25 t) = Area (35000.0 m²) × Spray Rate (0.25 kg/m² / 1000)</w:t>
      </w:r>
    </w:p>
    <w:p>
      <w:pPr>
        <w:jc w:val="left"/>
      </w:pPr>
      <w:r>
        <w:rPr>
          <w:rFonts w:ascii="Arial" w:hAnsi="Arial"/>
          <w:b w:val="0"/>
          <w:i w:val="0"/>
          <w:sz w:val="18"/>
        </w:rPr>
        <w:t>• Tack Coat: Bitumen Tonnage (8.75 t) = Area (35000.0 m²) × Spray Rate (0.25 kg/m² / 1000)</w:t>
      </w:r>
    </w:p>
    <w:p>
      <w:pPr>
        <w:jc w:val="left"/>
      </w:pPr>
      <w:r>
        <w:rPr>
          <w:rFonts w:ascii="Arial" w:hAnsi="Arial"/>
          <w:b w:val="0"/>
          <w:i w:val="0"/>
          <w:sz w:val="18"/>
        </w:rPr>
        <w:t>• BC: Compacted Vol (1400.0 m³) = L (5000.0 m) × W (7.0 m) × Thickness (40 mm / 1000); Tonnage (3427.20 t) = Vol × Density ((default) t/m³) × Waste (1.02); Loose Vol (1610.0 m³) = Compacted Vol × bulking factor</w:t>
      </w:r>
    </w:p>
    <w:p>
      <w:pPr>
        <w:jc w:val="left"/>
      </w:pPr>
      <w:r>
        <w:rPr>
          <w:rFonts w:ascii="Arial" w:hAnsi="Arial"/>
          <w:b w:val="0"/>
          <w:i w:val="0"/>
          <w:sz w:val="18"/>
        </w:rPr>
        <w:t>• DBM: Compacted Vol (6650.0 m³) = L (5000.0 m) × W (7.0 m) × Thickness (190 mm / 1000); Tonnage (16279.20 t) = Vol × Density ((default) t/m³) × Waste (1.02); Loose Vol (7647.5 m³) = Compacted Vol × bulking factor</w:t>
      </w:r>
    </w:p>
    <w:p>
      <w:pPr>
        <w:jc w:val="left"/>
      </w:pPr>
      <w:r>
        <w:rPr>
          <w:rFonts w:ascii="Arial" w:hAnsi="Arial"/>
          <w:b w:val="0"/>
          <w:i w:val="0"/>
          <w:sz w:val="18"/>
        </w:rPr>
        <w:t>• WMM: Compacted Vol (8750.0 m³) = L (5000.0 m) × W (7.0 m) × Thickness (250 mm / 1000); Tonnage (19635.00 t) = Vol × Density ((default) t/m³) × Waste (1.02); Loose Vol (10500.0 m³) = Compacted Vol × bulking factor</w:t>
      </w:r>
    </w:p>
    <w:p>
      <w:pPr>
        <w:jc w:val="left"/>
      </w:pPr>
      <w:r>
        <w:rPr>
          <w:rFonts w:ascii="Arial" w:hAnsi="Arial"/>
          <w:b w:val="0"/>
          <w:i w:val="0"/>
          <w:sz w:val="18"/>
        </w:rPr>
        <w:t>• GSB: Compacted Vol (8050.0 m³) = L (5000.0 m) × W (7.0 m) × Thickness (230 mm / 1000); Tonnage (17243.10 t) = Vol × Density ((default) t/m³) × Waste (1.02); Loose Vol (10062.5 m³) = Compacted Vol × bulking factor</w:t>
      </w:r>
    </w:p>
    <w:p>
      <w:pPr>
        <w:spacing w:before="160" w:after="80"/>
        <w:jc w:val="left"/>
      </w:pPr>
      <w:r>
        <w:rPr>
          <w:rFonts w:ascii="Arial" w:hAnsi="Arial"/>
          <w:b/>
          <w:color w:val="1F3A68"/>
          <w:sz w:val="24"/>
        </w:rPr>
        <w:t>BOQ Validation: PASS</w:t>
      </w:r>
    </w:p>
    <w:p>
      <w:pPr>
        <w:jc w:val="left"/>
      </w:pPr>
      <w:r>
        <w:rPr>
          <w:rFonts w:ascii="Arial" w:hAnsi="Arial"/>
          <w:b/>
          <w:i w:val="0"/>
          <w:sz w:val="20"/>
        </w:rPr>
        <w:t>Validation Warnings:</w:t>
      </w:r>
    </w:p>
    <w:p>
      <w:pPr>
        <w:jc w:val="left"/>
      </w:pPr>
      <w:r>
        <w:rPr>
          <w:rFonts w:ascii="Arial" w:hAnsi="Arial"/>
          <w:b w:val="0"/>
          <w:i w:val="0"/>
          <w:sz w:val="18"/>
        </w:rPr>
        <w:t>⚠️ Layer 'BC' in BOQ does not match any layer in the approved structural design.</w:t>
      </w:r>
    </w:p>
    <w:p>
      <w:pPr>
        <w:jc w:val="left"/>
      </w:pPr>
      <w:r>
        <w:rPr>
          <w:rFonts w:ascii="Arial" w:hAnsi="Arial"/>
          <w:b w:val="0"/>
          <w:i w:val="0"/>
          <w:sz w:val="18"/>
        </w:rPr>
        <w:t>⚠️ Layer 'DBM' in BOQ does not match any layer in the approved structural design.</w:t>
      </w:r>
    </w:p>
    <w:p>
      <w:pPr>
        <w:jc w:val="left"/>
      </w:pPr>
      <w:r>
        <w:rPr>
          <w:rFonts w:ascii="Arial" w:hAnsi="Arial"/>
          <w:b w:val="0"/>
          <w:i w:val="0"/>
          <w:sz w:val="18"/>
        </w:rPr>
        <w:t>⚠️ Layer 'WMM' in BOQ does not match any layer in the approved structural design.</w:t>
      </w:r>
    </w:p>
    <w:p>
      <w:pPr>
        <w:jc w:val="left"/>
      </w:pPr>
      <w:r>
        <w:rPr>
          <w:rFonts w:ascii="Arial" w:hAnsi="Arial"/>
          <w:b w:val="0"/>
          <w:i w:val="0"/>
          <w:sz w:val="18"/>
        </w:rPr>
        <w:t>⚠️ Layer 'GSB' in BOQ does not match any layer in the approved structural design.</w:t>
      </w:r>
    </w:p>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MoRTH-500</w:t>
            </w:r>
          </w:p>
        </w:tc>
        <w:tc>
          <w:tcPr>
            <w:tcW w:type="dxa" w:w="3201"/>
            <w:vAlign w:val="center"/>
          </w:tcPr>
          <w:p>
            <w:pPr>
              <w:jc w:val="center"/>
            </w:pPr>
            <w:r>
              <w:rPr>
                <w:rFonts w:ascii="Arial" w:hAnsi="Arial"/>
                <w:b w:val="0"/>
                <w:sz w:val="20"/>
              </w:rPr>
              <w:t>cl. 502</w:t>
            </w:r>
          </w:p>
        </w:tc>
        <w:tc>
          <w:tcPr>
            <w:tcW w:type="dxa" w:w="3201"/>
            <w:vAlign w:val="center"/>
          </w:tcPr>
          <w:p>
            <w:pPr>
              <w:jc w:val="center"/>
            </w:pPr>
            <w:r>
              <w:rPr>
                <w:rFonts w:ascii="Arial" w:hAnsi="Arial"/>
                <w:b w:val="0"/>
                <w:sz w:val="20"/>
              </w:rPr>
              <w:t>MoRTH Section 500 — Bituminous Pavement Construction Specifications</w:t>
            </w:r>
          </w:p>
        </w:tc>
      </w:tr>
      <w:tr>
        <w:tc>
          <w:tcPr>
            <w:tcW w:type="dxa" w:w="3201"/>
            <w:vAlign w:val="center"/>
          </w:tcPr>
          <w:p>
            <w:pPr>
              <w:jc w:val="left"/>
            </w:pPr>
            <w:r>
              <w:rPr>
                <w:rFonts w:ascii="Arial" w:hAnsi="Arial"/>
                <w:b w:val="0"/>
                <w:sz w:val="20"/>
              </w:rPr>
              <w:t>MoRTH-500</w:t>
            </w:r>
          </w:p>
        </w:tc>
        <w:tc>
          <w:tcPr>
            <w:tcW w:type="dxa" w:w="3201"/>
            <w:vAlign w:val="center"/>
          </w:tcPr>
          <w:p>
            <w:pPr>
              <w:jc w:val="center"/>
            </w:pPr>
            <w:r>
              <w:rPr>
                <w:rFonts w:ascii="Arial" w:hAnsi="Arial"/>
                <w:b w:val="0"/>
                <w:sz w:val="20"/>
              </w:rPr>
              <w:t>cl. 503</w:t>
            </w:r>
          </w:p>
        </w:tc>
        <w:tc>
          <w:tcPr>
            <w:tcW w:type="dxa" w:w="3201"/>
            <w:vAlign w:val="center"/>
          </w:tcPr>
          <w:p>
            <w:pPr>
              <w:jc w:val="center"/>
            </w:pPr>
            <w:r>
              <w:rPr>
                <w:rFonts w:ascii="Arial" w:hAnsi="Arial"/>
                <w:b w:val="0"/>
                <w:sz w:val="20"/>
              </w:rPr>
              <w:t>MoRTH Section 500 — Bituminous Pavement Construction Specifications</w:t>
            </w:r>
          </w:p>
        </w:tc>
      </w:tr>
      <w:tr>
        <w:tc>
          <w:tcPr>
            <w:tcW w:type="dxa" w:w="3201"/>
            <w:vAlign w:val="center"/>
          </w:tcPr>
          <w:p>
            <w:pPr>
              <w:jc w:val="left"/>
            </w:pPr>
            <w:r>
              <w:rPr>
                <w:rFonts w:ascii="Arial" w:hAnsi="Arial"/>
                <w:b w:val="0"/>
                <w:sz w:val="20"/>
              </w:rPr>
              <w:t>MoRTH-500</w:t>
            </w:r>
          </w:p>
        </w:tc>
        <w:tc>
          <w:tcPr>
            <w:tcW w:type="dxa" w:w="3201"/>
            <w:vAlign w:val="center"/>
          </w:tcPr>
          <w:p>
            <w:pPr>
              <w:jc w:val="center"/>
            </w:pPr>
            <w:r>
              <w:rPr>
                <w:rFonts w:ascii="Arial" w:hAnsi="Arial"/>
                <w:b w:val="0"/>
                <w:sz w:val="20"/>
              </w:rPr>
              <w:t>Table 500-9/-10/-17/-18</w:t>
            </w:r>
          </w:p>
        </w:tc>
        <w:tc>
          <w:tcPr>
            <w:tcW w:type="dxa" w:w="3201"/>
            <w:vAlign w:val="center"/>
          </w:tcPr>
          <w:p>
            <w:pPr>
              <w:jc w:val="center"/>
            </w:pPr>
            <w:r>
              <w:rPr>
                <w:rFonts w:ascii="Arial" w:hAnsi="Arial"/>
                <w:b w:val="0"/>
                <w:sz w:val="20"/>
              </w:rPr>
              <w:t>MoRTH Section 500 — Bituminous Pavement Construction Specifications</w:t>
            </w:r>
          </w:p>
        </w:tc>
      </w:tr>
      <w:tr>
        <w:tc>
          <w:tcPr>
            <w:tcW w:type="dxa" w:w="3201"/>
            <w:vAlign w:val="center"/>
          </w:tcPr>
          <w:p>
            <w:pPr>
              <w:jc w:val="left"/>
            </w:pPr>
            <w:r>
              <w:rPr>
                <w:rFonts w:ascii="Arial" w:hAnsi="Arial"/>
                <w:b w:val="0"/>
                <w:sz w:val="20"/>
              </w:rPr>
              <w:t>MoRTH-400</w:t>
            </w:r>
          </w:p>
        </w:tc>
        <w:tc>
          <w:tcPr>
            <w:tcW w:type="dxa" w:w="3201"/>
            <w:vAlign w:val="center"/>
          </w:tcPr>
          <w:p>
            <w:pPr>
              <w:jc w:val="center"/>
            </w:pPr>
            <w:r>
              <w:rPr>
                <w:rFonts w:ascii="Arial" w:hAnsi="Arial"/>
                <w:b w:val="0"/>
                <w:sz w:val="20"/>
              </w:rPr>
              <w:t>cl. 401</w:t>
            </w:r>
          </w:p>
        </w:tc>
        <w:tc>
          <w:tcPr>
            <w:tcW w:type="dxa" w:w="3201"/>
            <w:vAlign w:val="center"/>
          </w:tcPr>
          <w:p>
            <w:pPr>
              <w:jc w:val="center"/>
            </w:pPr>
            <w:r>
              <w:rPr>
                <w:rFonts w:ascii="Arial" w:hAnsi="Arial"/>
                <w:b w:val="0"/>
                <w:sz w:val="20"/>
              </w:rPr>
              <w:t>MoRTH Section 400 — Subgrade and Base Course Specifications</w:t>
            </w:r>
          </w:p>
        </w:tc>
      </w:tr>
      <w:tr>
        <w:tc>
          <w:tcPr>
            <w:tcW w:type="dxa" w:w="3201"/>
            <w:vAlign w:val="center"/>
          </w:tcPr>
          <w:p>
            <w:pPr>
              <w:jc w:val="left"/>
            </w:pPr>
            <w:r>
              <w:rPr>
                <w:rFonts w:ascii="Arial" w:hAnsi="Arial"/>
                <w:b w:val="0"/>
                <w:sz w:val="20"/>
              </w:rPr>
              <w:t>MoRTH-400</w:t>
            </w:r>
          </w:p>
        </w:tc>
        <w:tc>
          <w:tcPr>
            <w:tcW w:type="dxa" w:w="3201"/>
            <w:vAlign w:val="center"/>
          </w:tcPr>
          <w:p>
            <w:pPr>
              <w:jc w:val="center"/>
            </w:pPr>
            <w:r>
              <w:rPr>
                <w:rFonts w:ascii="Arial" w:hAnsi="Arial"/>
                <w:b w:val="0"/>
                <w:sz w:val="20"/>
              </w:rPr>
              <w:t>cl. 406</w:t>
            </w:r>
          </w:p>
        </w:tc>
        <w:tc>
          <w:tcPr>
            <w:tcW w:type="dxa" w:w="3201"/>
            <w:vAlign w:val="center"/>
          </w:tcPr>
          <w:p>
            <w:pPr>
              <w:jc w:val="center"/>
            </w:pPr>
            <w:r>
              <w:rPr>
                <w:rFonts w:ascii="Arial" w:hAnsi="Arial"/>
                <w:b w:val="0"/>
                <w:sz w:val="20"/>
              </w:rPr>
              <w:t>MoRTH Section 400 — Subgrade and Base Course Specifications</w:t>
            </w:r>
          </w:p>
        </w:tc>
      </w:tr>
      <w:tr>
        <w:tc>
          <w:tcPr>
            <w:tcW w:type="dxa" w:w="3201"/>
            <w:vAlign w:val="center"/>
          </w:tcPr>
          <w:p>
            <w:pPr>
              <w:jc w:val="left"/>
            </w:pPr>
            <w:r>
              <w:rPr>
                <w:rFonts w:ascii="Arial" w:hAnsi="Arial"/>
                <w:b w:val="0"/>
                <w:sz w:val="20"/>
              </w:rPr>
              <w:t>IRC:111</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Specifications for Dense Graded Bituminous Mixes</w:t>
            </w:r>
          </w:p>
        </w:tc>
      </w:tr>
      <w:tr>
        <w:tc>
          <w:tcPr>
            <w:tcW w:type="dxa" w:w="3201"/>
            <w:vAlign w:val="center"/>
          </w:tcPr>
          <w:p>
            <w:pPr>
              <w:jc w:val="left"/>
            </w:pPr>
            <w:r>
              <w:rPr>
                <w:rFonts w:ascii="Arial" w:hAnsi="Arial"/>
                <w:b w:val="0"/>
                <w:sz w:val="20"/>
              </w:rPr>
              <w:t>IRC:SP:16</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Laboratory Manual for Bituminous Mix Design</w:t>
            </w:r>
          </w:p>
        </w:tc>
      </w:tr>
    </w:tbl>
    <w:p>
      <w:pPr>
        <w:spacing w:before="40" w:after="120"/>
        <w:jc w:val="left"/>
      </w:pPr>
      <w:r>
        <w:rPr>
          <w:rFonts w:ascii="Arial" w:hAnsi="Arial"/>
          <w:i/>
          <w:color w:val="555B6E"/>
          <w:sz w:val="18"/>
        </w:rPr>
        <w:t>Quantities are estimates per IRC/MoRTH typical defaults. Finalise densities / spray rates per the approved Job Mix Formula and site-specific lab tests.</w:t>
      </w:r>
    </w:p>
    <w:p>
      <w:pPr>
        <w:spacing w:before="160" w:after="80"/>
        <w:jc w:val="left"/>
      </w:pPr>
      <w:r>
        <w:rPr>
          <w:rFonts w:ascii="Arial" w:hAnsi="Arial"/>
          <w:b/>
          <w:color w:val="1F3A68"/>
          <w:sz w:val="24"/>
        </w:rPr>
        <w:t>Preliminary Pavement Cost Estimate</w:t>
      </w:r>
    </w:p>
    <w:p>
      <w:pPr>
        <w:jc w:val="left"/>
      </w:pPr>
      <w:r>
        <w:rPr>
          <w:rFonts w:ascii="Arial" w:hAnsi="Arial"/>
          <w:b w:val="0"/>
          <w:i w:val="0"/>
          <w:sz w:val="22"/>
        </w:rPr>
        <w:t>Estimated preliminary material cost based on pavement geometry and base SOR rates: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Metric Description</w:t>
            </w:r>
          </w:p>
        </w:tc>
        <w:tc>
          <w:tcPr>
            <w:tcW w:type="dxa" w:w="4801"/>
            <w:shd w:val="clear" w:color="auto" w:fill="1F3A68"/>
            <w:vAlign w:val="center"/>
          </w:tcPr>
          <w:p>
            <w:pPr>
              <w:jc w:val="center"/>
            </w:pPr>
            <w:r>
              <w:rPr>
                <w:rFonts w:ascii="Arial" w:hAnsi="Arial"/>
                <w:b/>
                <w:color w:val="FFFFFF"/>
                <w:sz w:val="20"/>
              </w:rPr>
              <w:t>Value (Preliminary Estimate)</w:t>
            </w:r>
          </w:p>
        </w:tc>
      </w:tr>
      <w:tr>
        <w:tc>
          <w:tcPr>
            <w:tcW w:type="dxa" w:w="4801"/>
            <w:vAlign w:val="center"/>
          </w:tcPr>
          <w:p>
            <w:pPr>
              <w:jc w:val="left"/>
            </w:pPr>
            <w:r>
              <w:rPr>
                <w:rFonts w:ascii="Arial" w:hAnsi="Arial"/>
                <w:b w:val="0"/>
                <w:sz w:val="20"/>
              </w:rPr>
              <w:t>Total Project Estimated Cost</w:t>
            </w:r>
          </w:p>
        </w:tc>
        <w:tc>
          <w:tcPr>
            <w:tcW w:type="dxa" w:w="4801"/>
            <w:vAlign w:val="center"/>
          </w:tcPr>
          <w:p>
            <w:pPr>
              <w:jc w:val="center"/>
            </w:pPr>
            <w:r>
              <w:rPr>
                <w:rFonts w:ascii="Arial" w:hAnsi="Arial"/>
                <w:b w:val="0"/>
                <w:sz w:val="20"/>
              </w:rPr>
              <w:t>Rs. 0.00</w:t>
            </w:r>
          </w:p>
        </w:tc>
      </w:tr>
      <w:tr>
        <w:tc>
          <w:tcPr>
            <w:tcW w:type="dxa" w:w="4801"/>
            <w:vAlign w:val="center"/>
          </w:tcPr>
          <w:p>
            <w:pPr>
              <w:jc w:val="left"/>
            </w:pPr>
            <w:r>
              <w:rPr>
                <w:rFonts w:ascii="Arial" w:hAnsi="Arial"/>
                <w:b w:val="0"/>
                <w:sz w:val="20"/>
              </w:rPr>
              <w:t>Cost per Kilometre</w:t>
            </w:r>
          </w:p>
        </w:tc>
        <w:tc>
          <w:tcPr>
            <w:tcW w:type="dxa" w:w="4801"/>
            <w:vAlign w:val="center"/>
          </w:tcPr>
          <w:p>
            <w:pPr>
              <w:jc w:val="center"/>
            </w:pPr>
            <w:r>
              <w:rPr>
                <w:rFonts w:ascii="Arial" w:hAnsi="Arial"/>
                <w:b w:val="0"/>
                <w:sz w:val="20"/>
              </w:rPr>
              <w:t>—</w:t>
            </w:r>
          </w:p>
        </w:tc>
      </w:tr>
    </w:tbl>
    <w:p>
      <w:pPr>
        <w:spacing w:before="160" w:after="80"/>
        <w:jc w:val="left"/>
      </w:pPr>
      <w:r>
        <w:rPr>
          <w:rFonts w:ascii="Arial" w:hAnsi="Arial"/>
          <w:b/>
          <w:sz w:val="22"/>
        </w:rPr>
        <w:t>Calculation Traceability — Preliminary BOQ Costing</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Pavement Geometry Length</w:t>
            </w:r>
          </w:p>
        </w:tc>
        <w:tc>
          <w:tcPr>
            <w:tcW w:type="dxa" w:w="3201"/>
            <w:vAlign w:val="center"/>
          </w:tcPr>
          <w:p>
            <w:pPr>
              <w:jc w:val="center"/>
            </w:pPr>
            <w:r>
              <w:rPr>
                <w:rFonts w:ascii="Arial" w:hAnsi="Arial"/>
                <w:b w:val="0"/>
                <w:sz w:val="20"/>
              </w:rPr>
              <w:t>5000.0 m</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Carriageway Width</w:t>
            </w:r>
          </w:p>
        </w:tc>
        <w:tc>
          <w:tcPr>
            <w:tcW w:type="dxa" w:w="3201"/>
            <w:vAlign w:val="center"/>
          </w:tcPr>
          <w:p>
            <w:pPr>
              <w:jc w:val="center"/>
            </w:pPr>
            <w:r>
              <w:rPr>
                <w:rFonts w:ascii="Arial" w:hAnsi="Arial"/>
                <w:b w:val="0"/>
                <w:sz w:val="20"/>
              </w:rPr>
              <w:t>7.0 m</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Preliminary Estimated Cost</w:t>
            </w:r>
          </w:p>
        </w:tc>
        <w:tc>
          <w:tcPr>
            <w:tcW w:type="dxa" w:w="3201"/>
            <w:vAlign w:val="center"/>
          </w:tcPr>
          <w:p>
            <w:pPr>
              <w:jc w:val="center"/>
            </w:pPr>
            <w:r>
              <w:rPr>
                <w:rFonts w:ascii="Arial" w:hAnsi="Arial"/>
                <w:b w:val="0"/>
                <w:sz w:val="20"/>
              </w:rPr>
              <w:t>Rs. 0.00</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MoRTH Specification &amp; SOR Standard</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APPENDIX G: EXPERT AUDIT REPORT</w:t>
      </w:r>
    </w:p>
    <w:p>
      <w:pPr>
        <w:spacing w:before="160" w:after="80"/>
        <w:jc w:val="left"/>
      </w:pPr>
      <w:r>
        <w:rPr>
          <w:rFonts w:ascii="Arial" w:hAnsi="Arial"/>
          <w:b/>
          <w:color w:val="1F3A68"/>
          <w:sz w:val="28"/>
        </w:rPr>
        <w:t>ENGINEERING VALIDATION &amp; DESIGN REVIEW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Score</w:t>
            </w:r>
          </w:p>
        </w:tc>
        <w:tc>
          <w:tcPr>
            <w:tcW w:type="dxa" w:w="4801"/>
            <w:vAlign w:val="center"/>
          </w:tcPr>
          <w:p>
            <w:pPr>
              <w:jc w:val="center"/>
            </w:pPr>
            <w:r>
              <w:rPr>
                <w:rFonts w:ascii="Arial" w:hAnsi="Arial"/>
                <w:b w:val="0"/>
                <w:sz w:val="20"/>
              </w:rPr>
              <w:t>60 / 100</w:t>
            </w:r>
          </w:p>
        </w:tc>
      </w:tr>
      <w:tr>
        <w:tc>
          <w:tcPr>
            <w:tcW w:type="dxa" w:w="4801"/>
            <w:vAlign w:val="center"/>
          </w:tcPr>
          <w:p>
            <w:pPr>
              <w:jc w:val="left"/>
            </w:pPr>
            <w:r>
              <w:rPr>
                <w:rFonts w:ascii="Arial" w:hAnsi="Arial"/>
                <w:b w:val="0"/>
                <w:sz w:val="20"/>
              </w:rPr>
              <w:t>Risk Level</w:t>
            </w:r>
          </w:p>
        </w:tc>
        <w:tc>
          <w:tcPr>
            <w:tcW w:type="dxa" w:w="4801"/>
            <w:vAlign w:val="center"/>
          </w:tcPr>
          <w:p>
            <w:pPr>
              <w:jc w:val="center"/>
            </w:pPr>
            <w:r>
              <w:rPr>
                <w:rFonts w:ascii="Arial" w:hAnsi="Arial"/>
                <w:b w:val="0"/>
                <w:sz w:val="20"/>
              </w:rPr>
              <w:t>RED</w:t>
            </w:r>
          </w:p>
        </w:tc>
      </w:tr>
      <w:tr>
        <w:tc>
          <w:tcPr>
            <w:tcW w:type="dxa" w:w="4801"/>
            <w:vAlign w:val="center"/>
          </w:tcPr>
          <w:p>
            <w:pPr>
              <w:jc w:val="left"/>
            </w:pPr>
            <w:r>
              <w:rPr>
                <w:rFonts w:ascii="Arial" w:hAnsi="Arial"/>
                <w:b w:val="0"/>
                <w:sz w:val="20"/>
              </w:rPr>
              <w:t>Readiness Status</w:t>
            </w:r>
          </w:p>
        </w:tc>
        <w:tc>
          <w:tcPr>
            <w:tcW w:type="dxa" w:w="4801"/>
            <w:vAlign w:val="center"/>
          </w:tcPr>
          <w:p>
            <w:pPr>
              <w:jc w:val="center"/>
            </w:pPr>
            <w:r>
              <w:rPr>
                <w:rFonts w:ascii="Arial" w:hAnsi="Arial"/>
                <w:b w:val="0"/>
                <w:sz w:val="20"/>
              </w:rPr>
              <w:t>Not Ready</w:t>
            </w:r>
          </w:p>
        </w:tc>
      </w:tr>
      <w:tr>
        <w:tc>
          <w:tcPr>
            <w:tcW w:type="dxa" w:w="4801"/>
            <w:vAlign w:val="center"/>
          </w:tcPr>
          <w:p>
            <w:pPr>
              <w:jc w:val="left"/>
            </w:pPr>
            <w:r>
              <w:rPr>
                <w:rFonts w:ascii="Arial" w:hAnsi="Arial"/>
                <w:b w:val="0"/>
                <w:sz w:val="20"/>
              </w:rPr>
              <w:t>Submission Recommendation</w:t>
            </w:r>
          </w:p>
        </w:tc>
        <w:tc>
          <w:tcPr>
            <w:tcW w:type="dxa" w:w="4801"/>
            <w:vAlign w:val="center"/>
          </w:tcPr>
          <w:p>
            <w:pPr>
              <w:jc w:val="center"/>
            </w:pPr>
            <w:r>
              <w:rPr>
                <w:rFonts w:ascii="Arial" w:hAnsi="Arial"/>
                <w:b w:val="0"/>
                <w:sz w:val="20"/>
              </w:rPr>
              <w:t>NOT READY FOR SUBMISSION</w:t>
            </w:r>
          </w:p>
        </w:tc>
      </w:tr>
      <w:tr>
        <w:tc>
          <w:tcPr>
            <w:tcW w:type="dxa" w:w="4801"/>
            <w:vAlign w:val="center"/>
          </w:tcPr>
          <w:p>
            <w:pPr>
              <w:jc w:val="left"/>
            </w:pPr>
            <w:r>
              <w:rPr>
                <w:rFonts w:ascii="Arial" w:hAnsi="Arial"/>
                <w:b w:val="0"/>
                <w:sz w:val="20"/>
              </w:rPr>
              <w:t>Validation Timestamp</w:t>
            </w:r>
          </w:p>
        </w:tc>
        <w:tc>
          <w:tcPr>
            <w:tcW w:type="dxa" w:w="4801"/>
            <w:vAlign w:val="center"/>
          </w:tcPr>
          <w:p>
            <w:pPr>
              <w:jc w:val="center"/>
            </w:pPr>
            <w:r>
              <w:rPr>
                <w:rFonts w:ascii="Arial" w:hAnsi="Arial"/>
                <w:b w:val="0"/>
                <w:sz w:val="20"/>
              </w:rPr>
              <w:t>2026-06-29 14:20:11</w:t>
            </w:r>
          </w:p>
        </w:tc>
      </w:tr>
    </w:tbl>
    <w:p>
      <w:pPr>
        <w:jc w:val="left"/>
      </w:pPr>
      <w:r>
        <w:rPr>
          <w:rFonts w:ascii="Arial" w:hAnsi="Arial"/>
          <w:b w:val="0"/>
          <w:i w:val="0"/>
          <w:sz w:val="22"/>
        </w:rPr>
      </w:r>
    </w:p>
    <w:p>
      <w:pPr>
        <w:spacing w:before="160" w:after="80"/>
        <w:jc w:val="left"/>
      </w:pPr>
      <w:r>
        <w:rPr>
          <w:rFonts w:ascii="Arial" w:hAnsi="Arial"/>
          <w:b/>
          <w:color w:val="1F3A68"/>
          <w:sz w:val="24"/>
        </w:rPr>
        <w:t>Engineering Score Breakdown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Score Type</w:t>
            </w:r>
          </w:p>
        </w:tc>
        <w:tc>
          <w:tcPr>
            <w:tcW w:type="dxa" w:w="3201"/>
            <w:shd w:val="clear" w:color="auto" w:fill="1F3A68"/>
            <w:vAlign w:val="center"/>
          </w:tcPr>
          <w:p>
            <w:pPr>
              <w:jc w:val="center"/>
            </w:pPr>
            <w:r>
              <w:rPr>
                <w:rFonts w:ascii="Arial" w:hAnsi="Arial"/>
                <w:b/>
                <w:color w:val="FFFFFF"/>
                <w:sz w:val="20"/>
              </w:rPr>
              <w:t>Rating</w:t>
            </w:r>
          </w:p>
        </w:tc>
        <w:tc>
          <w:tcPr>
            <w:tcW w:type="dxa" w:w="3201"/>
            <w:shd w:val="clear" w:color="auto" w:fill="1F3A68"/>
            <w:vAlign w:val="center"/>
          </w:tcPr>
          <w:p>
            <w:pPr>
              <w:jc w:val="center"/>
            </w:pPr>
            <w:r>
              <w:rPr>
                <w:rFonts w:ascii="Arial" w:hAnsi="Arial"/>
                <w:b/>
                <w:color w:val="FFFFFF"/>
                <w:sz w:val="20"/>
              </w:rPr>
              <w:t>Explanation / Evaluation Details</w:t>
            </w:r>
          </w:p>
        </w:tc>
      </w:tr>
      <w:tr>
        <w:tc>
          <w:tcPr>
            <w:tcW w:type="dxa" w:w="3201"/>
            <w:vAlign w:val="center"/>
          </w:tcPr>
          <w:p>
            <w:pPr>
              <w:jc w:val="left"/>
            </w:pPr>
            <w:r>
              <w:rPr>
                <w:rFonts w:ascii="Arial" w:hAnsi="Arial"/>
                <w:b w:val="0"/>
                <w:sz w:val="20"/>
              </w:rPr>
              <w:t>Completeness Score</w:t>
            </w:r>
          </w:p>
        </w:tc>
        <w:tc>
          <w:tcPr>
            <w:tcW w:type="dxa" w:w="3201"/>
            <w:vAlign w:val="center"/>
          </w:tcPr>
          <w:p>
            <w:pPr>
              <w:jc w:val="center"/>
            </w:pPr>
            <w:r>
              <w:rPr>
                <w:rFonts w:ascii="Arial" w:hAnsi="Arial"/>
                <w:b w:val="0"/>
                <w:sz w:val="20"/>
              </w:rPr>
              <w:t>100%</w:t>
            </w:r>
          </w:p>
        </w:tc>
        <w:tc>
          <w:tcPr>
            <w:tcW w:type="dxa" w:w="3201"/>
            <w:vAlign w:val="center"/>
          </w:tcPr>
          <w:p>
            <w:pPr>
              <w:jc w:val="center"/>
            </w:pPr>
            <w:r>
              <w:rPr>
                <w:rFonts w:ascii="Arial" w:hAnsi="Arial"/>
                <w:b w:val="0"/>
                <w:sz w:val="20"/>
              </w:rPr>
              <w:t>Pavement design modules completed: 7 out of 7. Completed modules include: Traffic, Subgrade, Structural, Iitpave, Mix, Boq, Submission</w:t>
            </w:r>
          </w:p>
        </w:tc>
      </w:tr>
      <w:tr>
        <w:tc>
          <w:tcPr>
            <w:tcW w:type="dxa" w:w="3201"/>
            <w:vAlign w:val="center"/>
          </w:tcPr>
          <w:p>
            <w:pPr>
              <w:jc w:val="left"/>
            </w:pPr>
            <w:r>
              <w:rPr>
                <w:rFonts w:ascii="Arial" w:hAnsi="Arial"/>
                <w:b w:val="0"/>
                <w:sz w:val="20"/>
              </w:rPr>
              <w:t>Consistency Score</w:t>
            </w:r>
          </w:p>
        </w:tc>
        <w:tc>
          <w:tcPr>
            <w:tcW w:type="dxa" w:w="3201"/>
            <w:vAlign w:val="center"/>
          </w:tcPr>
          <w:p>
            <w:pPr>
              <w:jc w:val="center"/>
            </w:pPr>
            <w:r>
              <w:rPr>
                <w:rFonts w:ascii="Arial" w:hAnsi="Arial"/>
                <w:b w:val="0"/>
                <w:sz w:val="20"/>
              </w:rPr>
              <w:t>80%</w:t>
            </w:r>
          </w:p>
        </w:tc>
        <w:tc>
          <w:tcPr>
            <w:tcW w:type="dxa" w:w="3201"/>
            <w:vAlign w:val="center"/>
          </w:tcPr>
          <w:p>
            <w:pPr>
              <w:jc w:val="center"/>
            </w:pPr>
            <w:r>
              <w:rPr>
                <w:rFonts w:ascii="Arial" w:hAnsi="Arial"/>
                <w:b w:val="0"/>
                <w:sz w:val="20"/>
              </w:rPr>
              <w:t>Cross-module integrity is aligned. Mismatches detected: 1.</w:t>
            </w:r>
          </w:p>
        </w:tc>
      </w:tr>
      <w:tr>
        <w:tc>
          <w:tcPr>
            <w:tcW w:type="dxa" w:w="3201"/>
            <w:vAlign w:val="center"/>
          </w:tcPr>
          <w:p>
            <w:pPr>
              <w:jc w:val="left"/>
            </w:pPr>
            <w:r>
              <w:rPr>
                <w:rFonts w:ascii="Arial" w:hAnsi="Arial"/>
                <w:b w:val="0"/>
                <w:sz w:val="20"/>
              </w:rPr>
              <w:t>Mechanistic Score</w:t>
            </w:r>
          </w:p>
        </w:tc>
        <w:tc>
          <w:tcPr>
            <w:tcW w:type="dxa" w:w="3201"/>
            <w:vAlign w:val="center"/>
          </w:tcPr>
          <w:p>
            <w:pPr>
              <w:jc w:val="center"/>
            </w:pPr>
            <w:r>
              <w:rPr>
                <w:rFonts w:ascii="Arial" w:hAnsi="Arial"/>
                <w:b w:val="0"/>
                <w:sz w:val="20"/>
              </w:rPr>
              <w:t>0%</w:t>
            </w:r>
          </w:p>
        </w:tc>
        <w:tc>
          <w:tcPr>
            <w:tcW w:type="dxa" w:w="3201"/>
            <w:vAlign w:val="center"/>
          </w:tcPr>
          <w:p>
            <w:pPr>
              <w:jc w:val="center"/>
            </w:pPr>
            <w:r>
              <w:rPr>
                <w:rFonts w:ascii="Arial" w:hAnsi="Arial"/>
                <w:b w:val="0"/>
                <w:sz w:val="20"/>
              </w:rPr>
              <w:t>Mechanistic verification was not executed because a licensed IITPAVE installation was unavailable.</w:t>
            </w:r>
          </w:p>
        </w:tc>
      </w:tr>
      <w:tr>
        <w:tc>
          <w:tcPr>
            <w:tcW w:type="dxa" w:w="3201"/>
            <w:vAlign w:val="center"/>
          </w:tcPr>
          <w:p>
            <w:pPr>
              <w:jc w:val="left"/>
            </w:pPr>
            <w:r>
              <w:rPr>
                <w:rFonts w:ascii="Arial" w:hAnsi="Arial"/>
                <w:b w:val="0"/>
                <w:sz w:val="20"/>
              </w:rPr>
              <w:t>Documentation Score</w:t>
            </w:r>
          </w:p>
        </w:tc>
        <w:tc>
          <w:tcPr>
            <w:tcW w:type="dxa" w:w="3201"/>
            <w:vAlign w:val="center"/>
          </w:tcPr>
          <w:p>
            <w:pPr>
              <w:jc w:val="center"/>
            </w:pPr>
            <w:r>
              <w:rPr>
                <w:rFonts w:ascii="Arial" w:hAnsi="Arial"/>
                <w:b w:val="0"/>
                <w:sz w:val="20"/>
              </w:rPr>
              <w:t>80%</w:t>
            </w:r>
          </w:p>
        </w:tc>
        <w:tc>
          <w:tcPr>
            <w:tcW w:type="dxa" w:w="3201"/>
            <w:vAlign w:val="center"/>
          </w:tcPr>
          <w:p>
            <w:pPr>
              <w:jc w:val="center"/>
            </w:pPr>
            <w:r>
              <w:rPr>
                <w:rFonts w:ascii="Arial" w:hAnsi="Arial"/>
                <w:b w:val="0"/>
                <w:sz w:val="20"/>
              </w:rPr>
              <w:t>Documentation completeness status: Review checklists completed, Project locked</w:t>
            </w:r>
          </w:p>
        </w:tc>
      </w:tr>
      <w:tr>
        <w:tc>
          <w:tcPr>
            <w:tcW w:type="dxa" w:w="3201"/>
            <w:vAlign w:val="center"/>
          </w:tcPr>
          <w:p>
            <w:pPr>
              <w:jc w:val="left"/>
            </w:pPr>
            <w:r>
              <w:rPr>
                <w:rFonts w:ascii="Arial" w:hAnsi="Arial"/>
                <w:b w:val="0"/>
                <w:sz w:val="20"/>
              </w:rPr>
              <w:t>Submission Score</w:t>
            </w:r>
          </w:p>
        </w:tc>
        <w:tc>
          <w:tcPr>
            <w:tcW w:type="dxa" w:w="3201"/>
            <w:vAlign w:val="center"/>
          </w:tcPr>
          <w:p>
            <w:pPr>
              <w:jc w:val="center"/>
            </w:pPr>
            <w:r>
              <w:rPr>
                <w:rFonts w:ascii="Arial" w:hAnsi="Arial"/>
                <w:b w:val="0"/>
                <w:sz w:val="20"/>
              </w:rPr>
              <w:t>70%</w:t>
            </w:r>
          </w:p>
        </w:tc>
        <w:tc>
          <w:tcPr>
            <w:tcW w:type="dxa" w:w="3201"/>
            <w:vAlign w:val="center"/>
          </w:tcPr>
          <w:p>
            <w:pPr>
              <w:jc w:val="center"/>
            </w:pPr>
            <w:r>
              <w:rPr>
                <w:rFonts w:ascii="Arial" w:hAnsi="Arial"/>
                <w:b w:val="0"/>
                <w:sz w:val="20"/>
              </w:rPr>
              <w:t>Minor structural or cross-module mismatches require engineer review.</w:t>
            </w:r>
          </w:p>
        </w:tc>
      </w:tr>
    </w:tbl>
    <w:p>
      <w:pPr>
        <w:jc w:val="left"/>
      </w:pPr>
      <w:r>
        <w:rPr>
          <w:rFonts w:ascii="Arial" w:hAnsi="Arial"/>
          <w:b w:val="0"/>
          <w:i w:val="0"/>
          <w:sz w:val="22"/>
        </w:rPr>
      </w:r>
    </w:p>
    <w:p>
      <w:pPr>
        <w:spacing w:before="160" w:after="80"/>
        <w:jc w:val="left"/>
      </w:pPr>
      <w:r>
        <w:rPr>
          <w:rFonts w:ascii="Arial" w:hAnsi="Arial"/>
          <w:b/>
          <w:color w:val="1F3A68"/>
          <w:sz w:val="24"/>
        </w:rPr>
        <w:t>Module Quality Gate Status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Pavement Module</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Traffic</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Subgrade</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Structural</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Iitpave</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Mix</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Boq</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Submission</w:t>
            </w:r>
          </w:p>
        </w:tc>
        <w:tc>
          <w:tcPr>
            <w:tcW w:type="dxa" w:w="4801"/>
            <w:vAlign w:val="center"/>
          </w:tcPr>
          <w:p>
            <w:pPr>
              <w:jc w:val="center"/>
            </w:pPr>
            <w:r>
              <w:rPr>
                <w:rFonts w:ascii="Arial" w:hAnsi="Arial"/>
                <w:b w:val="0"/>
                <w:sz w:val="20"/>
              </w:rPr>
              <w:t>PASS</w:t>
            </w:r>
          </w:p>
        </w:tc>
      </w:tr>
    </w:tbl>
    <w:p>
      <w:pPr>
        <w:jc w:val="left"/>
      </w:pPr>
      <w:r>
        <w:rPr>
          <w:rFonts w:ascii="Arial" w:hAnsi="Arial"/>
          <w:b w:val="0"/>
          <w:i w:val="0"/>
          <w:sz w:val="22"/>
        </w:rPr>
      </w:r>
    </w:p>
    <w:p>
      <w:pPr>
        <w:spacing w:before="160" w:after="80"/>
        <w:jc w:val="left"/>
      </w:pPr>
      <w:r>
        <w:rPr>
          <w:rFonts w:ascii="Arial" w:hAnsi="Arial"/>
          <w:b/>
          <w:color w:val="1F3A68"/>
          <w:sz w:val="24"/>
        </w:rPr>
        <w:t>Cross-Module Parameter Alignment</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1F3A68"/>
            <w:vAlign w:val="center"/>
          </w:tcPr>
          <w:p>
            <w:pPr>
              <w:jc w:val="center"/>
            </w:pPr>
            <w:r>
              <w:rPr>
                <w:rFonts w:ascii="Arial" w:hAnsi="Arial"/>
                <w:b/>
                <w:color w:val="FFFFFF"/>
                <w:sz w:val="20"/>
              </w:rPr>
              <w:t>Module Pairs</w:t>
            </w:r>
          </w:p>
        </w:tc>
        <w:tc>
          <w:tcPr>
            <w:tcW w:type="dxa" w:w="1920"/>
            <w:shd w:val="clear" w:color="auto" w:fill="1F3A68"/>
            <w:vAlign w:val="center"/>
          </w:tcPr>
          <w:p>
            <w:pPr>
              <w:jc w:val="center"/>
            </w:pPr>
            <w:r>
              <w:rPr>
                <w:rFonts w:ascii="Arial" w:hAnsi="Arial"/>
                <w:b/>
                <w:color w:val="FFFFFF"/>
                <w:sz w:val="20"/>
              </w:rPr>
              <w:t>Parameter Field</w:t>
            </w:r>
          </w:p>
        </w:tc>
        <w:tc>
          <w:tcPr>
            <w:tcW w:type="dxa" w:w="1920"/>
            <w:shd w:val="clear" w:color="auto" w:fill="1F3A68"/>
            <w:vAlign w:val="center"/>
          </w:tcPr>
          <w:p>
            <w:pPr>
              <w:jc w:val="center"/>
            </w:pPr>
            <w:r>
              <w:rPr>
                <w:rFonts w:ascii="Arial" w:hAnsi="Arial"/>
                <w:b/>
                <w:color w:val="FFFFFF"/>
                <w:sz w:val="20"/>
              </w:rPr>
              <w:t>Source Value</w:t>
            </w:r>
          </w:p>
        </w:tc>
        <w:tc>
          <w:tcPr>
            <w:tcW w:type="dxa" w:w="1920"/>
            <w:shd w:val="clear" w:color="auto" w:fill="1F3A68"/>
            <w:vAlign w:val="center"/>
          </w:tcPr>
          <w:p>
            <w:pPr>
              <w:jc w:val="center"/>
            </w:pPr>
            <w:r>
              <w:rPr>
                <w:rFonts w:ascii="Arial" w:hAnsi="Arial"/>
                <w:b/>
                <w:color w:val="FFFFFF"/>
                <w:sz w:val="20"/>
              </w:rPr>
              <w:t>Target Value</w:t>
            </w:r>
          </w:p>
        </w:tc>
        <w:tc>
          <w:tcPr>
            <w:tcW w:type="dxa" w:w="1920"/>
            <w:shd w:val="clear" w:color="auto" w:fill="1F3A68"/>
            <w:vAlign w:val="center"/>
          </w:tcPr>
          <w:p>
            <w:pPr>
              <w:jc w:val="center"/>
            </w:pPr>
            <w:r>
              <w:rPr>
                <w:rFonts w:ascii="Arial" w:hAnsi="Arial"/>
                <w:b/>
                <w:color w:val="FFFFFF"/>
                <w:sz w:val="20"/>
              </w:rPr>
              <w:t>Status</w:t>
            </w:r>
          </w:p>
        </w:tc>
      </w:tr>
      <w:tr>
        <w:tc>
          <w:tcPr>
            <w:tcW w:type="dxa" w:w="1920"/>
            <w:vAlign w:val="center"/>
          </w:tcPr>
          <w:p>
            <w:pPr>
              <w:jc w:val="left"/>
            </w:pPr>
            <w:r>
              <w:rPr>
                <w:rFonts w:ascii="Arial" w:hAnsi="Arial"/>
                <w:b w:val="0"/>
                <w:sz w:val="20"/>
              </w:rPr>
              <w:t>Traffic vs Structural</w:t>
            </w:r>
          </w:p>
        </w:tc>
        <w:tc>
          <w:tcPr>
            <w:tcW w:type="dxa" w:w="1920"/>
            <w:vAlign w:val="center"/>
          </w:tcPr>
          <w:p>
            <w:pPr>
              <w:jc w:val="center"/>
            </w:pPr>
            <w:r>
              <w:rPr>
                <w:rFonts w:ascii="Arial" w:hAnsi="Arial"/>
                <w:b w:val="0"/>
                <w:sz w:val="20"/>
              </w:rPr>
              <w:t>Design MSA</w:t>
            </w:r>
          </w:p>
        </w:tc>
        <w:tc>
          <w:tcPr>
            <w:tcW w:type="dxa" w:w="1920"/>
            <w:vAlign w:val="center"/>
          </w:tcPr>
          <w:p>
            <w:pPr>
              <w:jc w:val="center"/>
            </w:pPr>
            <w:r>
              <w:rPr>
                <w:rFonts w:ascii="Arial" w:hAnsi="Arial"/>
                <w:b w:val="0"/>
                <w:sz w:val="20"/>
              </w:rPr>
              <w:t>183.30 MSA</w:t>
            </w:r>
          </w:p>
        </w:tc>
        <w:tc>
          <w:tcPr>
            <w:tcW w:type="dxa" w:w="1920"/>
            <w:vAlign w:val="center"/>
          </w:tcPr>
          <w:p>
            <w:pPr>
              <w:jc w:val="center"/>
            </w:pPr>
            <w:r>
              <w:rPr>
                <w:rFonts w:ascii="Arial" w:hAnsi="Arial"/>
                <w:b w:val="0"/>
                <w:sz w:val="20"/>
              </w:rPr>
              <w:t>183.30 MSA</w:t>
            </w:r>
          </w:p>
        </w:tc>
        <w:tc>
          <w:tcPr>
            <w:tcW w:type="dxa" w:w="1920"/>
            <w:vAlign w:val="center"/>
          </w:tcPr>
          <w:p>
            <w:pPr>
              <w:jc w:val="center"/>
            </w:pPr>
            <w:r>
              <w:rPr>
                <w:rFonts w:ascii="Arial" w:hAnsi="Arial"/>
                <w:b w:val="0"/>
                <w:sz w:val="20"/>
              </w:rPr>
              <w:t>PASS</w:t>
            </w:r>
          </w:p>
        </w:tc>
      </w:tr>
      <w:tr>
        <w:tc>
          <w:tcPr>
            <w:tcW w:type="dxa" w:w="1920"/>
            <w:vAlign w:val="center"/>
          </w:tcPr>
          <w:p>
            <w:pPr>
              <w:jc w:val="left"/>
            </w:pPr>
            <w:r>
              <w:rPr>
                <w:rFonts w:ascii="Arial" w:hAnsi="Arial"/>
                <w:b w:val="0"/>
                <w:sz w:val="20"/>
              </w:rPr>
              <w:t>Subgrade vs Structural</w:t>
            </w:r>
          </w:p>
        </w:tc>
        <w:tc>
          <w:tcPr>
            <w:tcW w:type="dxa" w:w="1920"/>
            <w:vAlign w:val="center"/>
          </w:tcPr>
          <w:p>
            <w:pPr>
              <w:jc w:val="center"/>
            </w:pPr>
            <w:r>
              <w:rPr>
                <w:rFonts w:ascii="Arial" w:hAnsi="Arial"/>
                <w:b w:val="0"/>
                <w:sz w:val="20"/>
              </w:rPr>
              <w:t>Resilient Modulus (Mr)</w:t>
            </w:r>
          </w:p>
        </w:tc>
        <w:tc>
          <w:tcPr>
            <w:tcW w:type="dxa" w:w="1920"/>
            <w:vAlign w:val="center"/>
          </w:tcPr>
          <w:p>
            <w:pPr>
              <w:jc w:val="center"/>
            </w:pPr>
            <w:r>
              <w:rPr>
                <w:rFonts w:ascii="Arial" w:hAnsi="Arial"/>
                <w:b w:val="0"/>
                <w:sz w:val="20"/>
              </w:rPr>
              <w:t>55.4 MPa</w:t>
            </w:r>
          </w:p>
        </w:tc>
        <w:tc>
          <w:tcPr>
            <w:tcW w:type="dxa" w:w="1920"/>
            <w:vAlign w:val="center"/>
          </w:tcPr>
          <w:p>
            <w:pPr>
              <w:jc w:val="center"/>
            </w:pPr>
            <w:r>
              <w:rPr>
                <w:rFonts w:ascii="Arial" w:hAnsi="Arial"/>
                <w:b w:val="0"/>
                <w:sz w:val="20"/>
              </w:rPr>
              <w:t>55.4 MPa</w:t>
            </w:r>
          </w:p>
        </w:tc>
        <w:tc>
          <w:tcPr>
            <w:tcW w:type="dxa" w:w="1920"/>
            <w:vAlign w:val="center"/>
          </w:tcPr>
          <w:p>
            <w:pPr>
              <w:jc w:val="center"/>
            </w:pPr>
            <w:r>
              <w:rPr>
                <w:rFonts w:ascii="Arial" w:hAnsi="Arial"/>
                <w:b w:val="0"/>
                <w:sz w:val="20"/>
              </w:rPr>
              <w:t>PASS</w:t>
            </w:r>
          </w:p>
        </w:tc>
      </w:tr>
      <w:tr>
        <w:tc>
          <w:tcPr>
            <w:tcW w:type="dxa" w:w="1920"/>
            <w:vAlign w:val="center"/>
          </w:tcPr>
          <w:p>
            <w:pPr>
              <w:jc w:val="left"/>
            </w:pPr>
            <w:r>
              <w:rPr>
                <w:rFonts w:ascii="Arial" w:hAnsi="Arial"/>
                <w:b w:val="0"/>
                <w:sz w:val="20"/>
              </w:rPr>
              <w:t>Structural vs BOQ</w:t>
            </w:r>
          </w:p>
        </w:tc>
        <w:tc>
          <w:tcPr>
            <w:tcW w:type="dxa" w:w="1920"/>
            <w:vAlign w:val="center"/>
          </w:tcPr>
          <w:p>
            <w:pPr>
              <w:jc w:val="center"/>
            </w:pPr>
            <w:r>
              <w:rPr>
                <w:rFonts w:ascii="Arial" w:hAnsi="Arial"/>
                <w:b w:val="0"/>
                <w:sz w:val="20"/>
              </w:rPr>
              <w:t>Layer Thicknesses</w:t>
            </w:r>
          </w:p>
        </w:tc>
        <w:tc>
          <w:tcPr>
            <w:tcW w:type="dxa" w:w="1920"/>
            <w:vAlign w:val="center"/>
          </w:tcPr>
          <w:p>
            <w:pPr>
              <w:jc w:val="center"/>
            </w:pPr>
            <w:r>
              <w:rPr>
                <w:rFonts w:ascii="Arial" w:hAnsi="Arial"/>
                <w:b w:val="0"/>
                <w:sz w:val="20"/>
              </w:rPr>
              <w:t>Structural Design Layers</w:t>
            </w:r>
          </w:p>
        </w:tc>
        <w:tc>
          <w:tcPr>
            <w:tcW w:type="dxa" w:w="1920"/>
            <w:vAlign w:val="center"/>
          </w:tcPr>
          <w:p>
            <w:pPr>
              <w:jc w:val="center"/>
            </w:pPr>
            <w:r>
              <w:rPr>
                <w:rFonts w:ascii="Arial" w:hAnsi="Arial"/>
                <w:b w:val="0"/>
                <w:sz w:val="20"/>
              </w:rPr>
              <w:t>DBM (Struct=190mm, BOQ=40mm)</w:t>
            </w:r>
          </w:p>
        </w:tc>
        <w:tc>
          <w:tcPr>
            <w:tcW w:type="dxa" w:w="1920"/>
            <w:vAlign w:val="center"/>
          </w:tcPr>
          <w:p>
            <w:pPr>
              <w:jc w:val="center"/>
            </w:pPr>
            <w:r>
              <w:rPr>
                <w:rFonts w:ascii="Arial" w:hAnsi="Arial"/>
                <w:b w:val="0"/>
                <w:sz w:val="20"/>
              </w:rPr>
              <w:t>FAIL</w:t>
            </w:r>
          </w:p>
        </w:tc>
      </w:tr>
      <w:tr>
        <w:tc>
          <w:tcPr>
            <w:tcW w:type="dxa" w:w="1920"/>
            <w:vAlign w:val="center"/>
          </w:tcPr>
          <w:p>
            <w:pPr>
              <w:jc w:val="left"/>
            </w:pPr>
            <w:r>
              <w:rPr>
                <w:rFonts w:ascii="Arial" w:hAnsi="Arial"/>
                <w:b w:val="0"/>
                <w:sz w:val="20"/>
              </w:rPr>
              <w:t>Structural vs IITPAVE</w:t>
            </w:r>
          </w:p>
        </w:tc>
        <w:tc>
          <w:tcPr>
            <w:tcW w:type="dxa" w:w="1920"/>
            <w:vAlign w:val="center"/>
          </w:tcPr>
          <w:p>
            <w:pPr>
              <w:jc w:val="center"/>
            </w:pPr>
            <w:r>
              <w:rPr>
                <w:rFonts w:ascii="Arial" w:hAnsi="Arial"/>
                <w:b w:val="0"/>
                <w:sz w:val="20"/>
              </w:rPr>
              <w:t>Pavement Thickness</w:t>
            </w:r>
          </w:p>
        </w:tc>
        <w:tc>
          <w:tcPr>
            <w:tcW w:type="dxa" w:w="1920"/>
            <w:vAlign w:val="center"/>
          </w:tcPr>
          <w:p>
            <w:pPr>
              <w:jc w:val="center"/>
            </w:pPr>
            <w:r>
              <w:rPr>
                <w:rFonts w:ascii="Arial" w:hAnsi="Arial"/>
                <w:b w:val="0"/>
                <w:sz w:val="20"/>
              </w:rPr>
              <w:t>710 mm</w:t>
            </w:r>
          </w:p>
        </w:tc>
        <w:tc>
          <w:tcPr>
            <w:tcW w:type="dxa" w:w="1920"/>
            <w:vAlign w:val="center"/>
          </w:tcPr>
          <w:p>
            <w:pPr>
              <w:jc w:val="center"/>
            </w:pPr>
            <w:r>
              <w:rPr>
                <w:rFonts w:ascii="Arial" w:hAnsi="Arial"/>
                <w:b w:val="0"/>
                <w:sz w:val="20"/>
              </w:rPr>
              <w:t>N/A</w:t>
            </w:r>
          </w:p>
        </w:tc>
        <w:tc>
          <w:tcPr>
            <w:tcW w:type="dxa" w:w="1920"/>
            <w:vAlign w:val="center"/>
          </w:tcPr>
          <w:p>
            <w:pPr>
              <w:jc w:val="center"/>
            </w:pPr>
            <w:r>
              <w:rPr>
                <w:rFonts w:ascii="Arial" w:hAnsi="Arial"/>
                <w:b w:val="0"/>
                <w:sz w:val="20"/>
              </w:rPr>
              <w:t>PASS</w:t>
            </w:r>
          </w:p>
        </w:tc>
      </w:tr>
    </w:tbl>
    <w:p>
      <w:pPr>
        <w:jc w:val="left"/>
      </w:pPr>
      <w:r>
        <w:rPr>
          <w:rFonts w:ascii="Arial" w:hAnsi="Arial"/>
          <w:b w:val="0"/>
          <w:i w:val="0"/>
          <w:sz w:val="22"/>
        </w:rPr>
      </w:r>
    </w:p>
    <w:p>
      <w:pPr>
        <w:spacing w:before="160" w:after="80"/>
        <w:jc w:val="left"/>
      </w:pPr>
      <w:r>
        <w:rPr>
          <w:rFonts w:ascii="Arial" w:hAnsi="Arial"/>
          <w:b/>
          <w:color w:val="1F3A68"/>
          <w:sz w:val="24"/>
        </w:rPr>
        <w:t>Outstanding Design Validation Issues</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1F3A68"/>
            <w:vAlign w:val="center"/>
          </w:tcPr>
          <w:p>
            <w:pPr>
              <w:jc w:val="center"/>
            </w:pPr>
            <w:r>
              <w:rPr>
                <w:rFonts w:ascii="Arial" w:hAnsi="Arial"/>
                <w:b/>
                <w:color w:val="FFFFFF"/>
                <w:sz w:val="20"/>
              </w:rPr>
              <w:t>Severity</w:t>
            </w:r>
          </w:p>
        </w:tc>
        <w:tc>
          <w:tcPr>
            <w:tcW w:type="dxa" w:w="1920"/>
            <w:shd w:val="clear" w:color="auto" w:fill="1F3A68"/>
            <w:vAlign w:val="center"/>
          </w:tcPr>
          <w:p>
            <w:pPr>
              <w:jc w:val="center"/>
            </w:pPr>
            <w:r>
              <w:rPr>
                <w:rFonts w:ascii="Arial" w:hAnsi="Arial"/>
                <w:b/>
                <w:color w:val="FFFFFF"/>
                <w:sz w:val="20"/>
              </w:rPr>
              <w:t>Module</w:t>
            </w:r>
          </w:p>
        </w:tc>
        <w:tc>
          <w:tcPr>
            <w:tcW w:type="dxa" w:w="1920"/>
            <w:shd w:val="clear" w:color="auto" w:fill="1F3A68"/>
            <w:vAlign w:val="center"/>
          </w:tcPr>
          <w:p>
            <w:pPr>
              <w:jc w:val="center"/>
            </w:pPr>
            <w:r>
              <w:rPr>
                <w:rFonts w:ascii="Arial" w:hAnsi="Arial"/>
                <w:b/>
                <w:color w:val="FFFFFF"/>
                <w:sz w:val="20"/>
              </w:rPr>
              <w:t>Issue Description</w:t>
            </w:r>
          </w:p>
        </w:tc>
        <w:tc>
          <w:tcPr>
            <w:tcW w:type="dxa" w:w="1920"/>
            <w:shd w:val="clear" w:color="auto" w:fill="1F3A68"/>
            <w:vAlign w:val="center"/>
          </w:tcPr>
          <w:p>
            <w:pPr>
              <w:jc w:val="center"/>
            </w:pPr>
            <w:r>
              <w:rPr>
                <w:rFonts w:ascii="Arial" w:hAnsi="Arial"/>
                <w:b/>
                <w:color w:val="FFFFFF"/>
                <w:sz w:val="20"/>
              </w:rPr>
              <w:t>Suggested Action</w:t>
            </w:r>
          </w:p>
        </w:tc>
        <w:tc>
          <w:tcPr>
            <w:tcW w:type="dxa" w:w="1920"/>
            <w:shd w:val="clear" w:color="auto" w:fill="1F3A68"/>
            <w:vAlign w:val="center"/>
          </w:tcPr>
          <w:p>
            <w:pPr>
              <w:jc w:val="center"/>
            </w:pPr>
            <w:r>
              <w:rPr>
                <w:rFonts w:ascii="Arial" w:hAnsi="Arial"/>
                <w:b/>
                <w:color w:val="FFFFFF"/>
                <w:sz w:val="20"/>
              </w:rPr>
              <w:t>Engineering Reason</w:t>
            </w:r>
          </w:p>
        </w:tc>
      </w:tr>
      <w:tr>
        <w:tc>
          <w:tcPr>
            <w:tcW w:type="dxa" w:w="1920"/>
            <w:vAlign w:val="center"/>
          </w:tcPr>
          <w:p>
            <w:pPr>
              <w:jc w:val="left"/>
            </w:pPr>
            <w:r>
              <w:rPr>
                <w:rFonts w:ascii="Arial" w:hAnsi="Arial"/>
                <w:b w:val="0"/>
                <w:sz w:val="20"/>
              </w:rPr>
              <w:t>WARNING</w:t>
            </w:r>
          </w:p>
        </w:tc>
        <w:tc>
          <w:tcPr>
            <w:tcW w:type="dxa" w:w="1920"/>
            <w:vAlign w:val="center"/>
          </w:tcPr>
          <w:p>
            <w:pPr>
              <w:jc w:val="center"/>
            </w:pPr>
            <w:r>
              <w:rPr>
                <w:rFonts w:ascii="Arial" w:hAnsi="Arial"/>
                <w:b w:val="0"/>
                <w:sz w:val="20"/>
              </w:rPr>
              <w:t>Structural</w:t>
            </w:r>
          </w:p>
        </w:tc>
        <w:tc>
          <w:tcPr>
            <w:tcW w:type="dxa" w:w="1920"/>
            <w:vAlign w:val="center"/>
          </w:tcPr>
          <w:p>
            <w:pPr>
              <w:jc w:val="center"/>
            </w:pPr>
            <w:r>
              <w:rPr>
                <w:rFonts w:ascii="Arial" w:hAnsi="Arial"/>
                <w:b w:val="0"/>
                <w:sz w:val="20"/>
              </w:rPr>
              <w:t>High traffic design (MSA &gt; 20.0) but mechanistic verification is missing</w:t>
            </w:r>
          </w:p>
        </w:tc>
        <w:tc>
          <w:tcPr>
            <w:tcW w:type="dxa" w:w="1920"/>
            <w:vAlign w:val="center"/>
          </w:tcPr>
          <w:p>
            <w:pPr>
              <w:jc w:val="center"/>
            </w:pPr>
            <w:r>
              <w:rPr>
                <w:rFonts w:ascii="Arial" w:hAnsi="Arial"/>
                <w:b w:val="0"/>
                <w:sz w:val="20"/>
              </w:rPr>
              <w:t>Complete IITPAVE mechanistic verification to check critical strains.</w:t>
            </w:r>
          </w:p>
        </w:tc>
        <w:tc>
          <w:tcPr>
            <w:tcW w:type="dxa" w:w="1920"/>
            <w:vAlign w:val="center"/>
          </w:tcPr>
          <w:p>
            <w:pPr>
              <w:jc w:val="center"/>
            </w:pPr>
            <w:r>
              <w:rPr>
                <w:rFonts w:ascii="Arial" w:hAnsi="Arial"/>
                <w:b w:val="0"/>
                <w:sz w:val="20"/>
              </w:rPr>
              <w:t>IRC:37-2018 mandates mechanistic design validation using IITPAVE for traffic exceeding 20 MSA.</w:t>
            </w:r>
          </w:p>
        </w:tc>
      </w:tr>
      <w:tr>
        <w:tc>
          <w:tcPr>
            <w:tcW w:type="dxa" w:w="1920"/>
            <w:vAlign w:val="center"/>
          </w:tcPr>
          <w:p>
            <w:pPr>
              <w:jc w:val="left"/>
            </w:pPr>
            <w:r>
              <w:rPr>
                <w:rFonts w:ascii="Arial" w:hAnsi="Arial"/>
                <w:b w:val="0"/>
                <w:sz w:val="20"/>
              </w:rPr>
              <w:t>WARNING</w:t>
            </w:r>
          </w:p>
        </w:tc>
        <w:tc>
          <w:tcPr>
            <w:tcW w:type="dxa" w:w="1920"/>
            <w:vAlign w:val="center"/>
          </w:tcPr>
          <w:p>
            <w:pPr>
              <w:jc w:val="center"/>
            </w:pPr>
            <w:r>
              <w:rPr>
                <w:rFonts w:ascii="Arial" w:hAnsi="Arial"/>
                <w:b w:val="0"/>
                <w:sz w:val="20"/>
              </w:rPr>
              <w:t>Iitpave</w:t>
            </w:r>
          </w:p>
        </w:tc>
        <w:tc>
          <w:tcPr>
            <w:tcW w:type="dxa" w:w="1920"/>
            <w:vAlign w:val="center"/>
          </w:tcPr>
          <w:p>
            <w:pPr>
              <w:jc w:val="center"/>
            </w:pPr>
            <w:r>
              <w:rPr>
                <w:rFonts w:ascii="Arial" w:hAnsi="Arial"/>
                <w:b w:val="0"/>
                <w:sz w:val="20"/>
              </w:rPr>
              <w:t>Mechanistic Verification Blocked</w:t>
            </w:r>
          </w:p>
        </w:tc>
        <w:tc>
          <w:tcPr>
            <w:tcW w:type="dxa" w:w="1920"/>
            <w:vAlign w:val="center"/>
          </w:tcPr>
          <w:p>
            <w:pPr>
              <w:jc w:val="center"/>
            </w:pPr>
            <w:r>
              <w:rPr>
                <w:rFonts w:ascii="Arial" w:hAnsi="Arial"/>
                <w:b w:val="0"/>
                <w:sz w:val="20"/>
              </w:rPr>
              <w:t>Ensure a licensed IITPAVE installation is configured to run mechanistic design checks.</w:t>
            </w:r>
          </w:p>
        </w:tc>
        <w:tc>
          <w:tcPr>
            <w:tcW w:type="dxa" w:w="1920"/>
            <w:vAlign w:val="center"/>
          </w:tcPr>
          <w:p>
            <w:pPr>
              <w:jc w:val="center"/>
            </w:pPr>
            <w:r>
              <w:rPr>
                <w:rFonts w:ascii="Arial" w:hAnsi="Arial"/>
                <w:b w:val="0"/>
                <w:sz w:val="20"/>
              </w:rPr>
              <w:t>Mechanistic verification was not executed because a licensed IITPAVE installation was unavailable.</w:t>
            </w:r>
          </w:p>
        </w:tc>
      </w:tr>
      <w:tr>
        <w:tc>
          <w:tcPr>
            <w:tcW w:type="dxa" w:w="1920"/>
            <w:vAlign w:val="center"/>
          </w:tcPr>
          <w:p>
            <w:pPr>
              <w:jc w:val="left"/>
            </w:pPr>
            <w:r>
              <w:rPr>
                <w:rFonts w:ascii="Arial" w:hAnsi="Arial"/>
                <w:b w:val="0"/>
                <w:sz w:val="20"/>
              </w:rPr>
              <w:t>INFO</w:t>
            </w:r>
          </w:p>
        </w:tc>
        <w:tc>
          <w:tcPr>
            <w:tcW w:type="dxa" w:w="1920"/>
            <w:vAlign w:val="center"/>
          </w:tcPr>
          <w:p>
            <w:pPr>
              <w:jc w:val="center"/>
            </w:pPr>
            <w:r>
              <w:rPr>
                <w:rFonts w:ascii="Arial" w:hAnsi="Arial"/>
                <w:b w:val="0"/>
                <w:sz w:val="20"/>
              </w:rPr>
              <w:t>Submission</w:t>
            </w:r>
          </w:p>
        </w:tc>
        <w:tc>
          <w:tcPr>
            <w:tcW w:type="dxa" w:w="1920"/>
            <w:vAlign w:val="center"/>
          </w:tcPr>
          <w:p>
            <w:pPr>
              <w:jc w:val="center"/>
            </w:pPr>
            <w:r>
              <w:rPr>
                <w:rFonts w:ascii="Arial" w:hAnsi="Arial"/>
                <w:b w:val="0"/>
                <w:sz w:val="20"/>
              </w:rPr>
              <w:t>Design Project Report (DPR) has not been exported</w:t>
            </w:r>
          </w:p>
        </w:tc>
        <w:tc>
          <w:tcPr>
            <w:tcW w:type="dxa" w:w="1920"/>
            <w:vAlign w:val="center"/>
          </w:tcPr>
          <w:p>
            <w:pPr>
              <w:jc w:val="center"/>
            </w:pPr>
            <w:r>
              <w:rPr>
                <w:rFonts w:ascii="Arial" w:hAnsi="Arial"/>
                <w:b w:val="0"/>
                <w:sz w:val="20"/>
              </w:rPr>
              <w:t>Export the Combined Pavement Design Report to generate the official word document.</w:t>
            </w:r>
          </w:p>
        </w:tc>
        <w:tc>
          <w:tcPr>
            <w:tcW w:type="dxa" w:w="1920"/>
            <w:vAlign w:val="center"/>
          </w:tcPr>
          <w:p>
            <w:pPr>
              <w:jc w:val="center"/>
            </w:pPr>
            <w:r>
              <w:rPr>
                <w:rFonts w:ascii="Arial" w:hAnsi="Arial"/>
                <w:b w:val="0"/>
                <w:sz w:val="20"/>
              </w:rPr>
              <w:t>The report records final design computations in a signed-off consultancy format.</w:t>
            </w:r>
          </w:p>
        </w:tc>
      </w:tr>
      <w:tr>
        <w:tc>
          <w:tcPr>
            <w:tcW w:type="dxa" w:w="1920"/>
            <w:vAlign w:val="center"/>
          </w:tcPr>
          <w:p>
            <w:pPr>
              <w:jc w:val="left"/>
            </w:pPr>
            <w:r>
              <w:rPr>
                <w:rFonts w:ascii="Arial" w:hAnsi="Arial"/>
                <w:b w:val="0"/>
                <w:sz w:val="20"/>
              </w:rPr>
              <w:t>MAJOR</w:t>
            </w:r>
          </w:p>
        </w:tc>
        <w:tc>
          <w:tcPr>
            <w:tcW w:type="dxa" w:w="1920"/>
            <w:vAlign w:val="center"/>
          </w:tcPr>
          <w:p>
            <w:pPr>
              <w:jc w:val="center"/>
            </w:pPr>
            <w:r>
              <w:rPr>
                <w:rFonts w:ascii="Arial" w:hAnsi="Arial"/>
                <w:b w:val="0"/>
                <w:sz w:val="20"/>
              </w:rPr>
              <w:t>Boq</w:t>
            </w:r>
          </w:p>
        </w:tc>
        <w:tc>
          <w:tcPr>
            <w:tcW w:type="dxa" w:w="1920"/>
            <w:vAlign w:val="center"/>
          </w:tcPr>
          <w:p>
            <w:pPr>
              <w:jc w:val="center"/>
            </w:pPr>
            <w:r>
              <w:rPr>
                <w:rFonts w:ascii="Arial" w:hAnsi="Arial"/>
                <w:b w:val="0"/>
                <w:sz w:val="20"/>
              </w:rPr>
              <w:t>Cross-Module Mismatch: Structural layer thicknesses do not match BOQ layer thicknesses.</w:t>
            </w:r>
          </w:p>
        </w:tc>
        <w:tc>
          <w:tcPr>
            <w:tcW w:type="dxa" w:w="1920"/>
            <w:vAlign w:val="center"/>
          </w:tcPr>
          <w:p>
            <w:pPr>
              <w:jc w:val="center"/>
            </w:pPr>
            <w:r>
              <w:rPr>
                <w:rFonts w:ascii="Arial" w:hAnsi="Arial"/>
                <w:b w:val="0"/>
                <w:sz w:val="20"/>
              </w:rPr>
              <w:t>Click 'Refresh Structural Design' in the BOQ panel to synchronize quantities.</w:t>
            </w:r>
          </w:p>
        </w:tc>
        <w:tc>
          <w:tcPr>
            <w:tcW w:type="dxa" w:w="1920"/>
            <w:vAlign w:val="center"/>
          </w:tcPr>
          <w:p>
            <w:pPr>
              <w:jc w:val="center"/>
            </w:pPr>
            <w:r>
              <w:rPr>
                <w:rFonts w:ascii="Arial" w:hAnsi="Arial"/>
                <w:b w:val="0"/>
                <w:sz w:val="20"/>
              </w:rPr>
              <w:t>Quantity estimates and cost metrics must reflect finalized structural design parameters.</w:t>
            </w:r>
          </w:p>
        </w:tc>
      </w:tr>
    </w:tbl>
    <w:p>
      <w:pPr>
        <w:jc w:val="left"/>
      </w:pPr>
      <w:r>
        <w:rPr>
          <w:rFonts w:ascii="Arial" w:hAnsi="Arial"/>
          <w:b w:val="0"/>
          <w:i w:val="0"/>
          <w:sz w:val="22"/>
        </w:rPr>
      </w:r>
    </w:p>
    <w:p>
      <w:pPr>
        <w:spacing w:before="160" w:after="80"/>
        <w:jc w:val="left"/>
      </w:pPr>
      <w:r>
        <w:rPr>
          <w:rFonts w:ascii="Arial" w:hAnsi="Arial"/>
          <w:b/>
          <w:sz w:val="22"/>
        </w:rPr>
        <w:t>Calculation Traceability — Pavement Design Audit</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Pavement Project Design Parameters</w:t>
            </w:r>
          </w:p>
        </w:tc>
        <w:tc>
          <w:tcPr>
            <w:tcW w:type="dxa" w:w="3201"/>
            <w:vAlign w:val="center"/>
          </w:tcPr>
          <w:p>
            <w:pPr>
              <w:jc w:val="center"/>
            </w:pPr>
            <w:r>
              <w:rPr>
                <w:rFonts w:ascii="Arial" w:hAnsi="Arial"/>
                <w:b w:val="0"/>
                <w:sz w:val="20"/>
              </w:rPr>
              <w:t>SQLite DB Snapshot</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Engineering Suitability Score</w:t>
            </w:r>
          </w:p>
        </w:tc>
        <w:tc>
          <w:tcPr>
            <w:tcW w:type="dxa" w:w="3201"/>
            <w:vAlign w:val="center"/>
          </w:tcPr>
          <w:p>
            <w:pPr>
              <w:jc w:val="center"/>
            </w:pPr>
            <w:r>
              <w:rPr>
                <w:rFonts w:ascii="Arial" w:hAnsi="Arial"/>
                <w:b w:val="0"/>
                <w:sz w:val="20"/>
              </w:rPr>
              <w:t>60/100</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Design Risk Level</w:t>
            </w:r>
          </w:p>
        </w:tc>
        <w:tc>
          <w:tcPr>
            <w:tcW w:type="dxa" w:w="3201"/>
            <w:vAlign w:val="center"/>
          </w:tcPr>
          <w:p>
            <w:pPr>
              <w:jc w:val="center"/>
            </w:pPr>
            <w:r>
              <w:rPr>
                <w:rFonts w:ascii="Arial" w:hAnsi="Arial"/>
                <w:b w:val="0"/>
                <w:sz w:val="20"/>
              </w:rPr>
              <w:t>RED</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Readiness Status</w:t>
            </w:r>
          </w:p>
        </w:tc>
        <w:tc>
          <w:tcPr>
            <w:tcW w:type="dxa" w:w="3201"/>
            <w:vAlign w:val="center"/>
          </w:tcPr>
          <w:p>
            <w:pPr>
              <w:jc w:val="center"/>
            </w:pPr>
            <w:r>
              <w:rPr>
                <w:rFonts w:ascii="Arial" w:hAnsi="Arial"/>
                <w:b w:val="0"/>
                <w:sz w:val="20"/>
              </w:rPr>
              <w:t>Not Ready</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Senior Highway Consultant Guidelines Checklist</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REPORT PROVENANCE AND TRACEABILITY</w:t>
      </w:r>
    </w:p>
    <w:p>
      <w:pPr>
        <w:spacing w:before="160" w:after="80"/>
        <w:jc w:val="left"/>
      </w:pPr>
      <w:r>
        <w:rPr>
          <w:rFonts w:ascii="Arial" w:hAnsi="Arial"/>
          <w:b/>
          <w:color w:val="1F3A68"/>
          <w:sz w:val="24"/>
        </w:rPr>
        <w:t>Generation Metadata</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Report generated at</w:t>
            </w:r>
          </w:p>
        </w:tc>
        <w:tc>
          <w:tcPr>
            <w:tcW w:type="dxa" w:w="4801"/>
            <w:vAlign w:val="center"/>
          </w:tcPr>
          <w:p>
            <w:pPr>
              <w:jc w:val="center"/>
            </w:pPr>
            <w:r>
              <w:rPr>
                <w:rFonts w:ascii="Arial" w:hAnsi="Arial"/>
                <w:b w:val="0"/>
                <w:sz w:val="20"/>
              </w:rPr>
              <w:t>2026-06-29 14:20:11</w:t>
            </w:r>
          </w:p>
        </w:tc>
      </w:tr>
      <w:tr>
        <w:tc>
          <w:tcPr>
            <w:tcW w:type="dxa" w:w="4801"/>
            <w:vAlign w:val="center"/>
          </w:tcPr>
          <w:p>
            <w:pPr>
              <w:jc w:val="left"/>
            </w:pPr>
            <w:r>
              <w:rPr>
                <w:rFonts w:ascii="Arial" w:hAnsi="Arial"/>
                <w:b w:val="0"/>
                <w:sz w:val="20"/>
              </w:rPr>
              <w:t>Operator identifier</w:t>
            </w:r>
          </w:p>
        </w:tc>
        <w:tc>
          <w:tcPr>
            <w:tcW w:type="dxa" w:w="4801"/>
            <w:vAlign w:val="center"/>
          </w:tcPr>
          <w:p>
            <w:pPr>
              <w:jc w:val="center"/>
            </w:pPr>
            <w:r>
              <w:rPr>
                <w:rFonts w:ascii="Arial" w:hAnsi="Arial"/>
                <w:b w:val="0"/>
                <w:sz w:val="20"/>
              </w:rPr>
              <w:t>QA Validator</w:t>
            </w:r>
          </w:p>
        </w:tc>
      </w:tr>
      <w:tr>
        <w:tc>
          <w:tcPr>
            <w:tcW w:type="dxa" w:w="4801"/>
            <w:vAlign w:val="center"/>
          </w:tcPr>
          <w:p>
            <w:pPr>
              <w:jc w:val="left"/>
            </w:pPr>
            <w:r>
              <w:rPr>
                <w:rFonts w:ascii="Arial" w:hAnsi="Arial"/>
                <w:b w:val="0"/>
                <w:sz w:val="20"/>
              </w:rPr>
              <w:t>Project ID</w:t>
            </w:r>
          </w:p>
        </w:tc>
        <w:tc>
          <w:tcPr>
            <w:tcW w:type="dxa" w:w="4801"/>
            <w:vAlign w:val="center"/>
          </w:tcPr>
          <w:p>
            <w:pPr>
              <w:jc w:val="center"/>
            </w:pPr>
            <w:r>
              <w:rPr>
                <w:rFonts w:ascii="Arial" w:hAnsi="Arial"/>
                <w:b w:val="0"/>
                <w:sz w:val="20"/>
              </w:rPr>
              <w:t>1</w:t>
            </w:r>
          </w:p>
        </w:tc>
      </w:tr>
      <w:tr>
        <w:tc>
          <w:tcPr>
            <w:tcW w:type="dxa" w:w="4801"/>
            <w:vAlign w:val="center"/>
          </w:tcPr>
          <w:p>
            <w:pPr>
              <w:jc w:val="left"/>
            </w:pPr>
            <w:r>
              <w:rPr>
                <w:rFonts w:ascii="Arial" w:hAnsi="Arial"/>
                <w:b w:val="0"/>
                <w:sz w:val="20"/>
              </w:rPr>
              <w:t>Project work name</w:t>
            </w:r>
          </w:p>
        </w:tc>
        <w:tc>
          <w:tcPr>
            <w:tcW w:type="dxa" w:w="4801"/>
            <w:vAlign w:val="center"/>
          </w:tcPr>
          <w:p>
            <w:pPr>
              <w:jc w:val="center"/>
            </w:pPr>
            <w:r>
              <w:rPr>
                <w:rFonts w:ascii="Arial" w:hAnsi="Arial"/>
                <w:b w:val="0"/>
                <w:sz w:val="20"/>
              </w:rPr>
              <w:t>NH-48 Surat bypass corridor pavement design</w:t>
            </w:r>
          </w:p>
        </w:tc>
      </w:tr>
      <w:tr>
        <w:tc>
          <w:tcPr>
            <w:tcW w:type="dxa" w:w="4801"/>
            <w:vAlign w:val="center"/>
          </w:tcPr>
          <w:p>
            <w:pPr>
              <w:jc w:val="left"/>
            </w:pPr>
            <w:r>
              <w:rPr>
                <w:rFonts w:ascii="Arial" w:hAnsi="Arial"/>
                <w:b w:val="0"/>
                <w:sz w:val="20"/>
              </w:rPr>
              <w:t>Report path</w:t>
            </w:r>
          </w:p>
        </w:tc>
        <w:tc>
          <w:tcPr>
            <w:tcW w:type="dxa" w:w="4801"/>
            <w:vAlign w:val="center"/>
          </w:tcPr>
          <w:p>
            <w:pPr>
              <w:jc w:val="center"/>
            </w:pPr>
            <w:r>
              <w:rPr>
                <w:rFonts w:ascii="Arial" w:hAnsi="Arial"/>
                <w:b w:val="0"/>
                <w:sz w:val="20"/>
              </w:rPr>
              <w:t>validation_reports\Sample_DPR_Report.docx</w:t>
            </w:r>
          </w:p>
        </w:tc>
      </w:tr>
    </w:tbl>
    <w:p>
      <w:pPr>
        <w:spacing w:before="160" w:after="80"/>
        <w:jc w:val="left"/>
      </w:pPr>
      <w:r>
        <w:rPr>
          <w:rFonts w:ascii="Arial" w:hAnsi="Arial"/>
          <w:b/>
          <w:color w:val="1F3A68"/>
          <w:sz w:val="24"/>
        </w:rPr>
        <w:t>IITPAVE Schema-History Selection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Selection status</w:t>
            </w:r>
          </w:p>
        </w:tc>
        <w:tc>
          <w:tcPr>
            <w:tcW w:type="dxa" w:w="4801"/>
            <w:vAlign w:val="center"/>
          </w:tcPr>
          <w:p>
            <w:pPr>
              <w:jc w:val="center"/>
            </w:pPr>
            <w:r>
              <w:rPr>
                <w:rFonts w:ascii="Arial" w:hAnsi="Arial"/>
                <w:b w:val="0"/>
                <w:sz w:val="20"/>
              </w:rPr>
              <w:t>all_available_history_selected</w:t>
            </w:r>
          </w:p>
        </w:tc>
      </w:tr>
      <w:tr>
        <w:tc>
          <w:tcPr>
            <w:tcW w:type="dxa" w:w="4801"/>
            <w:vAlign w:val="center"/>
          </w:tcPr>
          <w:p>
            <w:pPr>
              <w:jc w:val="left"/>
            </w:pPr>
            <w:r>
              <w:rPr>
                <w:rFonts w:ascii="Arial" w:hAnsi="Arial"/>
                <w:b w:val="0"/>
                <w:sz w:val="20"/>
              </w:rPr>
              <w:t>Available candidate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Selected history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Unknown requested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Included history records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Propagated diagnostic rows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Engineering calculations allowed</w:t>
            </w:r>
          </w:p>
        </w:tc>
        <w:tc>
          <w:tcPr>
            <w:tcW w:type="dxa" w:w="4801"/>
            <w:vAlign w:val="center"/>
          </w:tcPr>
          <w:p>
            <w:pPr>
              <w:jc w:val="center"/>
            </w:pPr>
            <w:r>
              <w:rPr>
                <w:rFonts w:ascii="Arial" w:hAnsi="Arial"/>
                <w:b w:val="0"/>
                <w:sz w:val="20"/>
              </w:rPr>
              <w:t>No</w:t>
            </w:r>
          </w:p>
        </w:tc>
      </w:tr>
    </w:tbl>
    <w:p>
      <w:pPr>
        <w:spacing w:before="160" w:after="80"/>
        <w:jc w:val="left"/>
      </w:pPr>
      <w:r>
        <w:rPr>
          <w:rFonts w:ascii="Arial" w:hAnsi="Arial"/>
          <w:b/>
          <w:color w:val="1F3A68"/>
          <w:sz w:val="24"/>
        </w:rPr>
        <w:t>Validation Warning Summary</w:t>
      </w:r>
    </w:p>
    <w:p>
      <w:pPr>
        <w:jc w:val="left"/>
      </w:pPr>
      <w:r>
        <w:rPr>
          <w:rFonts w:ascii="Arial" w:hAnsi="Arial"/>
          <w:b w:val="0"/>
          <w:i w:val="0"/>
          <w:sz w:val="20"/>
        </w:rPr>
        <w:t>No report-time validation warnings recorded.</w:t>
      </w:r>
    </w:p>
    <w:p>
      <w:pPr>
        <w:spacing w:before="160" w:after="80"/>
        <w:jc w:val="left"/>
      </w:pPr>
      <w:r>
        <w:rPr>
          <w:rFonts w:ascii="Arial" w:hAnsi="Arial"/>
          <w:b/>
          <w:color w:val="1F3A68"/>
          <w:sz w:val="24"/>
        </w:rPr>
        <w:t>Export And Import Provenance</w:t>
      </w:r>
    </w:p>
    <w:p>
      <w:pPr>
        <w:jc w:val="left"/>
      </w:pPr>
      <w:r>
        <w:rPr>
          <w:rFonts w:ascii="Arial" w:hAnsi="Arial"/>
          <w:b w:val="0"/>
          <w:i w:val="0"/>
          <w:sz w:val="20"/>
        </w:rPr>
        <w:t>Project exchange format: roadx.project_export v1.0.</w:t>
      </w:r>
    </w:p>
    <w:p>
      <w:pPr>
        <w:jc w:val="left"/>
      </w:pPr>
      <w:r>
        <w:rPr>
          <w:rFonts w:ascii="Arial" w:hAnsi="Arial"/>
          <w:b w:val="0"/>
          <w:i w:val="0"/>
          <w:sz w:val="20"/>
        </w:rPr>
        <w:t>Project import creates new local rows; source record IDs are preserved only as provenance.</w:t>
      </w:r>
    </w:p>
    <w:p>
      <w:pPr>
        <w:jc w:val="left"/>
      </w:pPr>
      <w:r>
        <w:rPr>
          <w:rFonts w:ascii="Arial" w:hAnsi="Arial"/>
          <w:b w:val="0"/>
          <w:i w:val="0"/>
          <w:sz w:val="20"/>
        </w:rPr>
        <w:t>Imported IITPAVE schema-history audit IDs are shown exactly as recorded and are not remapped.</w:t>
      </w:r>
    </w:p>
    <w:p>
      <w:pPr>
        <w:spacing w:before="160" w:after="80"/>
        <w:jc w:val="left"/>
      </w:pPr>
      <w:r>
        <w:rPr>
          <w:rFonts w:ascii="Arial" w:hAnsi="Arial"/>
          <w:b/>
          <w:color w:val="1F3A68"/>
          <w:sz w:val="24"/>
        </w:rPr>
        <w:t>Report Environment Metadata</w:t>
      </w:r>
    </w:p>
    <w:p>
      <w:pPr>
        <w:jc w:val="left"/>
      </w:pPr>
      <w:r>
        <w:rPr>
          <w:rFonts w:ascii="Arial" w:hAnsi="Arial"/>
          <w:b w:val="0"/>
          <w:i w:val="0"/>
          <w:sz w:val="20"/>
        </w:rPr>
        <w:t>Application: RoadX Professional Suite v2.2.</w:t>
      </w:r>
    </w:p>
    <w:p>
      <w:pPr>
        <w:jc w:val="left"/>
      </w:pPr>
      <w:r>
        <w:rPr>
          <w:rFonts w:ascii="Arial" w:hAnsi="Arial"/>
          <w:b w:val="0"/>
          <w:i w:val="0"/>
          <w:sz w:val="20"/>
        </w:rPr>
        <w:t>Runtime: Python 3.14.4.</w:t>
      </w:r>
    </w:p>
    <w:p>
      <w:pPr>
        <w:jc w:val="left"/>
      </w:pPr>
      <w:r>
        <w:rPr>
          <w:rFonts w:ascii="Arial" w:hAnsi="Arial"/>
          <w:b w:val="0"/>
          <w:i w:val="0"/>
          <w:sz w:val="20"/>
        </w:rPr>
        <w:t>Platform family: Windows 11</w:t>
      </w:r>
    </w:p>
    <w:p>
      <w:pPr>
        <w:jc w:val="left"/>
      </w:pPr>
      <w:r>
        <w:rPr>
          <w:rFonts w:ascii="Arial" w:hAnsi="Arial"/>
          <w:b w:val="0"/>
          <w:i/>
          <w:sz w:val="18"/>
        </w:rPr>
        <w:t>This provenance section is read-only audit metadata. It does not extract IITPAVE strains, run mechanistic calculations, evaluate fatigue or rutting, make IRC compliance claims, or issue engineering recommendations.</w:t>
      </w:r>
    </w:p>
    <w:p>
      <w:r>
        <w:br w:type="page"/>
      </w:r>
    </w:p>
    <w:p>
      <w:pPr>
        <w:spacing w:before="160" w:after="80"/>
        <w:jc w:val="left"/>
      </w:pPr>
      <w:r>
        <w:rPr>
          <w:rFonts w:ascii="Arial" w:hAnsi="Arial"/>
          <w:b/>
          <w:color w:val="1F3A68"/>
          <w:sz w:val="28"/>
        </w:rPr>
        <w:t>ASSUMPTIONS SHEET</w:t>
      </w:r>
    </w:p>
    <w:p>
      <w:pPr>
        <w:jc w:val="left"/>
      </w:pPr>
      <w:r>
        <w:rPr>
          <w:rFonts w:ascii="Arial" w:hAnsi="Arial"/>
          <w:b w:val="0"/>
          <w:i w:val="0"/>
          <w:sz w:val="22"/>
        </w:rPr>
        <w:t>The design is based on the following standard engineering assumptions and presets: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Parameter Description</w:t>
            </w:r>
          </w:p>
        </w:tc>
        <w:tc>
          <w:tcPr>
            <w:tcW w:type="dxa" w:w="4801"/>
            <w:shd w:val="clear" w:color="auto" w:fill="1F3A68"/>
            <w:vAlign w:val="center"/>
          </w:tcPr>
          <w:p>
            <w:pPr>
              <w:jc w:val="center"/>
            </w:pPr>
            <w:r>
              <w:rPr>
                <w:rFonts w:ascii="Arial" w:hAnsi="Arial"/>
                <w:b/>
                <w:color w:val="FFFFFF"/>
                <w:sz w:val="20"/>
              </w:rPr>
              <w:t>Assumed / Preset Value</w:t>
            </w:r>
          </w:p>
        </w:tc>
      </w:tr>
      <w:tr>
        <w:tc>
          <w:tcPr>
            <w:tcW w:type="dxa" w:w="4801"/>
            <w:vAlign w:val="center"/>
          </w:tcPr>
          <w:p>
            <w:pPr>
              <w:jc w:val="left"/>
            </w:pPr>
            <w:r>
              <w:rPr>
                <w:rFonts w:ascii="Arial" w:hAnsi="Arial"/>
                <w:b w:val="0"/>
                <w:sz w:val="20"/>
              </w:rPr>
              <w:t>Poisson's Ratio (Bituminous Layer)</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(Granular Base/Sub-base)</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(Subgrade Soil)</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(Cement Treated Base - CTB)</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Poisson's Ratio (Cement Treated Sub-grade/Sub-base - CTS)</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Design Traffic Growth Rate</w:t>
            </w:r>
          </w:p>
        </w:tc>
        <w:tc>
          <w:tcPr>
            <w:tcW w:type="dxa" w:w="4801"/>
            <w:vAlign w:val="center"/>
          </w:tcPr>
          <w:p>
            <w:pPr>
              <w:jc w:val="center"/>
            </w:pPr>
            <w:r>
              <w:rPr>
                <w:rFonts w:ascii="Arial" w:hAnsi="Arial"/>
                <w:b w:val="0"/>
                <w:sz w:val="20"/>
              </w:rPr>
              <w:t>5.0 %</w:t>
            </w:r>
          </w:p>
        </w:tc>
      </w:tr>
      <w:tr>
        <w:tc>
          <w:tcPr>
            <w:tcW w:type="dxa" w:w="4801"/>
            <w:vAlign w:val="center"/>
          </w:tcPr>
          <w:p>
            <w:pPr>
              <w:jc w:val="left"/>
            </w:pPr>
            <w:r>
              <w:rPr>
                <w:rFonts w:ascii="Arial" w:hAnsi="Arial"/>
                <w:b w:val="0"/>
                <w:sz w:val="20"/>
              </w:rPr>
              <w:t>Subgrade Soil Behavior Modulus Relation</w:t>
            </w:r>
          </w:p>
        </w:tc>
        <w:tc>
          <w:tcPr>
            <w:tcW w:type="dxa" w:w="4801"/>
            <w:vAlign w:val="center"/>
          </w:tcPr>
          <w:p>
            <w:pPr>
              <w:jc w:val="center"/>
            </w:pPr>
            <w:r>
              <w:rPr>
                <w:rFonts w:ascii="Arial" w:hAnsi="Arial"/>
                <w:b w:val="0"/>
                <w:sz w:val="20"/>
              </w:rPr>
              <w:t>IRC:37-2018 Formulae (MR = 17.6 * CBR^0.64 for CBR &gt; 5)</w:t>
            </w:r>
          </w:p>
        </w:tc>
      </w:tr>
    </w:tbl>
    <w:p>
      <w:r>
        <w:br w:type="page"/>
      </w:r>
    </w:p>
    <w:p>
      <w:pPr>
        <w:spacing w:before="160" w:after="80"/>
        <w:jc w:val="left"/>
      </w:pPr>
      <w:r>
        <w:rPr>
          <w:rFonts w:ascii="Arial" w:hAnsi="Arial"/>
          <w:b/>
          <w:color w:val="1F3A68"/>
          <w:sz w:val="28"/>
        </w:rPr>
        <w:t>LIMITATIONS OF THE REPORT</w:t>
      </w:r>
    </w:p>
    <w:p>
      <w:pPr>
        <w:jc w:val="left"/>
      </w:pPr>
      <w:r>
        <w:rPr>
          <w:rFonts w:ascii="Arial" w:hAnsi="Arial"/>
          <w:b w:val="0"/>
          <w:i w:val="0"/>
          <w:sz w:val="22"/>
        </w:rPr>
        <w:t>1. This pavement design report is prepared as a decision-support guide for the client and the design engineers. It does not constitute official government approval or official regulatory stamp.</w:t>
      </w:r>
    </w:p>
    <w:p>
      <w:pPr>
        <w:jc w:val="left"/>
      </w:pPr>
      <w:r>
        <w:rPr>
          <w:rFonts w:ascii="Arial" w:hAnsi="Arial"/>
          <w:b w:val="0"/>
          <w:i w:val="0"/>
          <w:sz w:val="22"/>
        </w:rPr>
        <w:t>2. The layer thicknesses, material properties, and traffic projections are calculated using subgrade soils and traffic data inputs supplied by the client. Any variations in site conditions, soil properties, or traffic loads must be verified in the field and the design updated accordingly.</w:t>
      </w:r>
    </w:p>
    <w:p>
      <w:pPr>
        <w:jc w:val="left"/>
      </w:pPr>
      <w:r>
        <w:rPr>
          <w:rFonts w:ascii="Arial" w:hAnsi="Arial"/>
          <w:b w:val="0"/>
          <w:i w:val="0"/>
          <w:sz w:val="22"/>
        </w:rPr>
        <w:t>3. Final execution of the pavement construction works requires a detailed site-specific verification, structural validation, and formal sign-off/approval by a qualified pavement engineer.</w:t>
      </w:r>
    </w:p>
    <w:p>
      <w:r>
        <w:br w:type="page"/>
      </w:r>
    </w:p>
    <w:p>
      <w:pPr>
        <w:spacing w:before="160" w:after="80"/>
        <w:jc w:val="left"/>
      </w:pPr>
      <w:r>
        <w:rPr>
          <w:rFonts w:ascii="Arial" w:hAnsi="Arial"/>
          <w:b/>
          <w:color w:val="1F3A68"/>
          <w:sz w:val="28"/>
        </w:rPr>
        <w:t>ENGINEER REVIEW CHECKLIST</w:t>
      </w:r>
    </w:p>
    <w:p>
      <w:pPr>
        <w:jc w:val="left"/>
      </w:pPr>
      <w:r>
        <w:rPr>
          <w:rFonts w:ascii="Arial" w:hAnsi="Arial"/>
          <w:b w:val="0"/>
          <w:i w:val="0"/>
          <w:sz w:val="22"/>
        </w:rPr>
        <w:t>Review checklists completed by the certifying pavement engineer:</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Verification Checklist Item</w:t>
            </w:r>
          </w:p>
        </w:tc>
        <w:tc>
          <w:tcPr>
            <w:tcW w:type="dxa" w:w="4801"/>
            <w:shd w:val="clear" w:color="auto" w:fill="1F3A68"/>
            <w:vAlign w:val="center"/>
          </w:tcPr>
          <w:p>
            <w:pPr>
              <w:jc w:val="center"/>
            </w:pPr>
            <w:r>
              <w:rPr>
                <w:rFonts w:ascii="Arial" w:hAnsi="Arial"/>
                <w:b/>
                <w:color w:val="FFFFFF"/>
                <w:sz w:val="20"/>
              </w:rPr>
              <w:t>Status / Remarks</w:t>
            </w:r>
          </w:p>
        </w:tc>
      </w:tr>
      <w:tr>
        <w:tc>
          <w:tcPr>
            <w:tcW w:type="dxa" w:w="4801"/>
            <w:vAlign w:val="center"/>
          </w:tcPr>
          <w:p>
            <w:pPr>
              <w:jc w:val="left"/>
            </w:pPr>
            <w:r>
              <w:rPr>
                <w:rFonts w:ascii="Arial" w:hAnsi="Arial"/>
                <w:b w:val="0"/>
                <w:sz w:val="20"/>
              </w:rPr>
              <w:t>Review Workflow Status</w:t>
            </w:r>
          </w:p>
        </w:tc>
        <w:tc>
          <w:tcPr>
            <w:tcW w:type="dxa" w:w="4801"/>
            <w:vAlign w:val="center"/>
          </w:tcPr>
          <w:p>
            <w:pPr>
              <w:jc w:val="center"/>
            </w:pPr>
            <w:r>
              <w:rPr>
                <w:rFonts w:ascii="Arial" w:hAnsi="Arial"/>
                <w:b w:val="0"/>
                <w:sz w:val="20"/>
              </w:rPr>
              <w:t>Approved for Submission</w:t>
            </w:r>
          </w:p>
        </w:tc>
      </w:tr>
      <w:tr>
        <w:tc>
          <w:tcPr>
            <w:tcW w:type="dxa" w:w="4801"/>
            <w:vAlign w:val="center"/>
          </w:tcPr>
          <w:p>
            <w:pPr>
              <w:jc w:val="left"/>
            </w:pPr>
            <w:r>
              <w:rPr>
                <w:rFonts w:ascii="Arial" w:hAnsi="Arial"/>
                <w:b w:val="0"/>
                <w:sz w:val="20"/>
              </w:rPr>
              <w:t>Design Review Checklist Completed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Input Verification Completed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Traffic Assumptions Verified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Material Assumptions Verified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IITPAVE Verification Status</w:t>
            </w:r>
          </w:p>
        </w:tc>
        <w:tc>
          <w:tcPr>
            <w:tcW w:type="dxa" w:w="4801"/>
            <w:vAlign w:val="center"/>
          </w:tcPr>
          <w:p>
            <w:pPr>
              <w:jc w:val="center"/>
            </w:pPr>
            <w:r>
              <w:rPr>
                <w:rFonts w:ascii="Arial" w:hAnsi="Arial"/>
                <w:b w:val="0"/>
                <w:sz w:val="20"/>
              </w:rPr>
              <w:t>Not Verified</w:t>
            </w:r>
          </w:p>
        </w:tc>
      </w:tr>
      <w:tr>
        <w:tc>
          <w:tcPr>
            <w:tcW w:type="dxa" w:w="4801"/>
            <w:vAlign w:val="center"/>
          </w:tcPr>
          <w:p>
            <w:pPr>
              <w:jc w:val="left"/>
            </w:pPr>
            <w:r>
              <w:rPr>
                <w:rFonts w:ascii="Arial" w:hAnsi="Arial"/>
                <w:b w:val="0"/>
                <w:sz w:val="20"/>
              </w:rPr>
              <w:t>Final Reviewer Notes / Remarks</w:t>
            </w:r>
          </w:p>
        </w:tc>
        <w:tc>
          <w:tcPr>
            <w:tcW w:type="dxa" w:w="4801"/>
            <w:vAlign w:val="center"/>
          </w:tcPr>
          <w:p>
            <w:pPr>
              <w:jc w:val="center"/>
            </w:pPr>
            <w:r>
              <w:rPr>
                <w:rFonts w:ascii="Arial" w:hAnsi="Arial"/>
                <w:b w:val="0"/>
                <w:sz w:val="20"/>
              </w:rPr>
              <w:t>No remarks added.</w:t>
            </w:r>
          </w:p>
        </w:tc>
      </w:tr>
    </w:tbl>
    <w:p>
      <w:r>
        <w:br w:type="page"/>
      </w:r>
    </w:p>
    <w:p>
      <w:pPr>
        <w:spacing w:before="160" w:after="80"/>
        <w:jc w:val="left"/>
      </w:pPr>
      <w:r>
        <w:rPr>
          <w:rFonts w:ascii="Arial" w:hAnsi="Arial"/>
          <w:b/>
          <w:color w:val="1F3A68"/>
          <w:sz w:val="24"/>
        </w:rPr>
        <w:t>ENGINEERING SIGN-OFF AND SEAL</w:t>
      </w:r>
    </w:p>
    <w:p>
      <w:pPr>
        <w:jc w:val="left"/>
      </w:pPr>
      <w:r>
        <w:rPr>
          <w:rFonts w:ascii="Arial" w:hAnsi="Arial"/>
          <w:b w:val="0"/>
          <w:i w:val="0"/>
          <w:sz w:val="22"/>
        </w:rPr>
      </w:r>
    </w:p>
    <w:p>
      <w:pPr>
        <w:jc w:val="left"/>
      </w:pPr>
      <w:r>
        <w:rPr>
          <w:rFonts w:ascii="Arial" w:hAnsi="Arial"/>
          <w:b w:val="0"/>
          <w:i w:val="0"/>
          <w:sz w:val="22"/>
        </w:rPr>
      </w:r>
    </w:p>
    <w:p>
      <w:pPr>
        <w:jc w:val="left"/>
      </w:pPr>
      <w:r>
        <w:rPr>
          <w:rFonts w:ascii="Arial" w:hAnsi="Arial"/>
          <w:b/>
          <w:i w:val="0"/>
          <w:sz w:val="22"/>
        </w:rPr>
        <w:t xml:space="preserve">  ___________________________________________</w:t>
      </w:r>
    </w:p>
    <w:p>
      <w:pPr>
        <w:jc w:val="left"/>
      </w:pPr>
      <w:r>
        <w:rPr>
          <w:rFonts w:ascii="Arial" w:hAnsi="Arial"/>
          <w:b w:val="0"/>
          <w:i w:val="0"/>
          <w:sz w:val="22"/>
        </w:rPr>
        <w:t xml:space="preserve">  Signature of Reviewing Engineer</w:t>
      </w:r>
    </w:p>
    <w:p>
      <w:pPr>
        <w:jc w:val="left"/>
      </w:pPr>
      <w:r>
        <w:rPr>
          <w:rFonts w:ascii="Arial" w:hAnsi="Arial"/>
          <w:b w:val="0"/>
          <w:i w:val="0"/>
          <w:sz w:val="22"/>
        </w:rPr>
      </w:r>
    </w:p>
    <w:p>
      <w:pPr>
        <w:jc w:val="left"/>
      </w:pPr>
      <w:r>
        <w:rPr>
          <w:rFonts w:ascii="Arial" w:hAnsi="Arial"/>
          <w:b w:val="0"/>
          <w:i w:val="0"/>
          <w:sz w:val="22"/>
        </w:rPr>
        <w:t xml:space="preserve">  Date: _____________________________________</w:t>
      </w:r>
    </w:p>
    <w:p>
      <w:pPr>
        <w:jc w:val="left"/>
      </w:pPr>
      <w:r>
        <w:rPr>
          <w:rFonts w:ascii="Arial" w:hAnsi="Arial"/>
          <w:b w:val="0"/>
          <w:i w:val="0"/>
          <w:sz w:val="22"/>
        </w:rPr>
      </w:r>
    </w:p>
    <w:p>
      <w:pPr>
        <w:jc w:val="left"/>
      </w:pPr>
      <w:r>
        <w:rPr>
          <w:rFonts w:ascii="Arial" w:hAnsi="Arial"/>
          <w:b w:val="0"/>
          <w:i w:val="0"/>
          <w:sz w:val="22"/>
        </w:rPr>
        <w:t xml:space="preserve">  Seal / Registration No: ____________________</w:t>
      </w:r>
    </w:p>
    <w:sectPr w:rsidR="00FC693F" w:rsidRPr="0006063C" w:rsidSect="00034616">
      <w:footerReference w:type="default" r:id="rId9"/>
      <w:pgSz w:w="11906" w:h="16838"/>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