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REPORT ON MIX DESIGN OF DENSE BITUMINOUS MACADAM GRADE II</w:t>
      </w:r>
    </w:p>
    <w:p>
      <w:pPr>
        <w:jc w:val="center"/>
      </w:pPr>
      <w:r>
        <w:rPr>
          <w:rFonts w:ascii="Arial" w:hAnsi="Arial"/>
          <w:b/>
          <w:sz w:val="24"/>
        </w:rPr>
        <w:t>Shirdi Airport DBM Trial</w:t>
      </w:r>
    </w:p>
    <w:p>
      <w:pPr>
        <w:jc w:val="center"/>
      </w:pPr>
      <w:r>
        <w:rPr>
          <w:rFonts w:ascii="Arial" w:hAnsi="Arial"/>
          <w:b w:val="0"/>
          <w:sz w:val="20"/>
        </w:rPr>
        <w:t>Pavement Laboratory  •  Report Date: 23-Jun-2026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Shirdi Airport DBM Trial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Shri Sai Construction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Compaction (each face)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75 blows (MoRTH Table 500-10 (IRC:111))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Materials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2. Aggregate Gradation (% Passing)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IS Sieve (mm)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25mm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20mm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6mm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SD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Cement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37.5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26.5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13.2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4.75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2.36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0.3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0.075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3. Blend Proportions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Aggregate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Proportion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25mm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23.0%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Cement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100.0%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Aggregates are mixed in the proportions above to meet the combined gradation specified for Dense Bituminous Macadam Grade II (MoRTH).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4. Combined Gradation vs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IS Sieve (mm)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Combined % Passing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MoRTH Spec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37.5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 – 100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26.5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90 – 100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71 – 95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13.2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56 – 80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 – 54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2.36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28 – 42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0.3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 – 21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0.075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 – 8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5. Specific Gravities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Bulk Sp. Gr.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Water Absorption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Coarse 25mm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2.718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2.51%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Coarse 20mm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2.695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3.02%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Fine 6mm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2.803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Fine SD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2.758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Bitumen (VG-30)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1.011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Combined aggregate (Gsb)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2.756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6. Marshall Mix Design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Pb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Gmm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Gmb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VIM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VMA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VFB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Stab. kN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Flow mm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MQ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2.589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2.443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5.66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14.45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60.84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12.86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3.36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3.83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2.569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2.452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14.58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68.86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14.03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3.44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4.08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2.548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2.460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3.48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14.76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76.43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16.26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3.62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4.49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5.0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2.528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2.446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3.23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15.66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79.38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14.43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3.76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3.84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2.508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2.436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2.89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16.47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82.44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13.59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3.88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3.50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7. Optimum Bitumen Content (OBC)</w:t>
      </w:r>
    </w:p>
    <w:p>
      <w:pPr>
        <w:jc w:val="left"/>
      </w:pPr>
      <w:r>
        <w:rPr>
          <w:rFonts w:ascii="Arial" w:hAnsi="Arial"/>
          <w:b/>
          <w:sz w:val="24"/>
        </w:rPr>
        <w:t>OBC = 4.25% (at target 4.0% air voids — midpoint of 3–5% from MoRTH Table 500-10 (IRC:111); method: interpolated)</w:t>
      </w:r>
    </w:p>
    <w:p>
      <w:pPr>
        <w:spacing w:before="160" w:after="80"/>
        <w:jc w:val="left"/>
      </w:pPr>
      <w:r>
        <w:rPr>
          <w:rFonts w:ascii="Arial" w:hAnsi="Arial"/>
          <w:b/>
          <w:sz w:val="22"/>
        </w:rPr>
        <w:t>Mix Parameters at OBC vs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 at OBC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Stability (kN)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15.16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≥ 9.0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Flow (mm)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3.53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 – 4.0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Air Voids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3.0 – 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VMA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14.67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≥ 13.25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VFB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72.71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65.0 – 75.0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Marshall Quotient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4.30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 – 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Gmb at OBC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2.456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Gmm at OBC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2.558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jc w:val="left"/>
      </w:pPr>
      <w:r>
        <w:rPr>
          <w:rFonts w:ascii="Arial" w:hAnsi="Arial"/>
          <w:b/>
          <w:sz w:val="24"/>
        </w:rPr>
        <w:t>Overall compliance (Dense Bituminous Macadam Grade II): PASS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8. Material Calculation for Sample Preparation</w:t>
      </w:r>
    </w:p>
    <w:p>
      <w:pPr>
        <w:jc w:val="left"/>
      </w:pPr>
      <w:r>
        <w:rPr>
          <w:rFonts w:ascii="Arial" w:hAnsi="Arial"/>
          <w:b w:val="0"/>
          <w:sz w:val="20"/>
        </w:rPr>
        <w:t>Quantities to weigh out when preparing a Marshall specimen of the standard sample (left bitumen content) and the target preparation sample (right bitumen content), with dry-material breakdown by aggregate fraction.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Pb %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Aggregate %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Aggregate wt (g)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Bitumen wt (g)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mix wt (g)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Standard sample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95.50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1200.00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56.54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1256.54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Target sample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96.00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1206.28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50.26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1256.54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Dry Material — Standard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Particle Size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Blend Ratio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Weight (g)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25mm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23.0%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276.00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132.00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384.00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SD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384.00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Cement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24.00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1200.00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Dry Material — Target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Particle Size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Blend Ratio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Weight (g)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25mm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23.0%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277.45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132.69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386.01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SD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386.01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Cement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24.13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1206.28</w:t>
            </w:r>
          </w:p>
        </w:tc>
      </w:tr>
    </w:tbl>
    <w:p>
      <w:r>
        <w:br w:type="page"/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9. Marshall Design Curves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air_voi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vm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vf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stabilit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flo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gm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