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  <w:jc w:val="center"/>
      </w:pPr>
      <w:r>
        <w:rPr>
          <w:rFonts w:ascii="Arial" w:hAnsi="Arial"/>
          <w:b/>
          <w:color w:val="1F3A68"/>
          <w:sz w:val="28"/>
        </w:rPr>
        <w:t>COMBINED PAVEMENT-DESIGN REPORT</w:t>
      </w:r>
    </w:p>
    <w:p>
      <w:pPr>
        <w:jc w:val="center"/>
      </w:pPr>
      <w:r>
        <w:rPr>
          <w:rFonts w:ascii="Arial" w:hAnsi="Arial"/>
          <w:b/>
          <w:i w:val="0"/>
          <w:sz w:val="24"/>
        </w:rPr>
        <w:t>SamPave Report - High traffic + low CBR</w:t>
      </w:r>
    </w:p>
    <w:p>
      <w:pPr>
        <w:jc w:val="center"/>
      </w:pPr>
      <w:r>
        <w:rPr>
          <w:rFonts w:ascii="Arial" w:hAnsi="Arial"/>
          <w:b w:val="0"/>
          <w:i w:val="0"/>
          <w:sz w:val="20"/>
        </w:rPr>
        <w:t>Pavement Laboratory  •  Report Date: 22-Jun-2026</w:t>
      </w:r>
    </w:p>
    <w:p>
      <w:pPr>
        <w:spacing w:before="160" w:after="80"/>
        <w:jc w:val="left"/>
      </w:pPr>
      <w:r>
        <w:rPr>
          <w:rFonts w:ascii="Arial" w:hAnsi="Arial"/>
          <w:b/>
          <w:color w:val="1F3A68"/>
          <w:sz w:val="24"/>
        </w:rPr>
        <w:t>Project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01"/>
        <w:gridCol w:w="4801"/>
      </w:tblGrid>
      <w:tr>
        <w:tc>
          <w:tcPr>
            <w:tcW w:type="dxa" w:w="48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48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Name of Work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High Traffic + Low CBR Demo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Client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Client DEF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Agency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Arcstone Infrastructure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Submitted By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QA Validator</w:t>
            </w:r>
          </w:p>
        </w:tc>
      </w:tr>
    </w:tbl>
    <w:p>
      <w:pPr>
        <w:spacing w:before="160" w:after="80"/>
        <w:jc w:val="left"/>
      </w:pPr>
      <w:r>
        <w:rPr>
          <w:rFonts w:ascii="Arial" w:hAnsi="Arial"/>
          <w:b/>
          <w:color w:val="1F3A68"/>
          <w:sz w:val="24"/>
        </w:rPr>
        <w:t>Contents of this Report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01"/>
        <w:gridCol w:w="4801"/>
      </w:tblGrid>
      <w:tr>
        <w:tc>
          <w:tcPr>
            <w:tcW w:type="dxa" w:w="48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Section</w:t>
            </w:r>
          </w:p>
        </w:tc>
        <w:tc>
          <w:tcPr>
            <w:tcW w:type="dxa" w:w="48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Governing Reference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Traffic / ESAL / MSA Analysis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IRC:37-2018 / AASHTO-1993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Flexible Pavement Structural Design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IRC:37-2018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Report Provenance and Traceability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Audit metadata; no engineering calculations</w:t>
            </w:r>
          </w:p>
        </w:tc>
      </w:tr>
    </w:tbl>
    <w:p>
      <w:r>
        <w:br w:type="page"/>
      </w:r>
    </w:p>
    <w:p>
      <w:pPr>
        <w:spacing w:before="160" w:after="80"/>
        <w:jc w:val="center"/>
      </w:pPr>
      <w:r>
        <w:rPr>
          <w:rFonts w:ascii="Arial" w:hAnsi="Arial"/>
          <w:b/>
          <w:color w:val="1F3A68"/>
          <w:sz w:val="28"/>
        </w:rPr>
        <w:t>REPORT PROVENANCE AND TRACEABILITY</w:t>
      </w:r>
    </w:p>
    <w:p>
      <w:pPr>
        <w:spacing w:before="160" w:after="80"/>
        <w:jc w:val="left"/>
      </w:pPr>
      <w:r>
        <w:rPr>
          <w:rFonts w:ascii="Arial" w:hAnsi="Arial"/>
          <w:b/>
          <w:color w:val="1F3A68"/>
          <w:sz w:val="24"/>
        </w:rPr>
        <w:t>Generation Metadata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01"/>
        <w:gridCol w:w="4801"/>
      </w:tblGrid>
      <w:tr>
        <w:tc>
          <w:tcPr>
            <w:tcW w:type="dxa" w:w="48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48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Report generated at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2026-06-22 15:56:09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Operator identifier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QA Validator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Project ID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Project work name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High Traffic + Low CBR Demo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Report path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validation_reports\scenario_2_report.docx</w:t>
            </w:r>
          </w:p>
        </w:tc>
      </w:tr>
    </w:tbl>
    <w:p>
      <w:pPr>
        <w:spacing w:before="160" w:after="80"/>
        <w:jc w:val="left"/>
      </w:pPr>
      <w:r>
        <w:rPr>
          <w:rFonts w:ascii="Arial" w:hAnsi="Arial"/>
          <w:b/>
          <w:color w:val="1F3A68"/>
          <w:sz w:val="24"/>
        </w:rPr>
        <w:t>IITPAVE Schema-History Selection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01"/>
        <w:gridCol w:w="4801"/>
      </w:tblGrid>
      <w:tr>
        <w:tc>
          <w:tcPr>
            <w:tcW w:type="dxa" w:w="48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48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Selection status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all_available_history_selected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Available candidate IDs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None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Selected history IDs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None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Unknown requested IDs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None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Included history records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0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Propagated diagnostic rows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0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Engineering calculations allowed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No</w:t>
            </w:r>
          </w:p>
        </w:tc>
      </w:tr>
    </w:tbl>
    <w:p>
      <w:pPr>
        <w:spacing w:before="160" w:after="80"/>
        <w:jc w:val="left"/>
      </w:pPr>
      <w:r>
        <w:rPr>
          <w:rFonts w:ascii="Arial" w:hAnsi="Arial"/>
          <w:b/>
          <w:color w:val="1F3A68"/>
          <w:sz w:val="24"/>
        </w:rPr>
        <w:t>Validation Warning Summary</w:t>
      </w:r>
    </w:p>
    <w:p>
      <w:pPr>
        <w:jc w:val="left"/>
      </w:pPr>
      <w:r>
        <w:rPr>
          <w:rFonts w:ascii="Arial" w:hAnsi="Arial"/>
          <w:b w:val="0"/>
          <w:i w:val="0"/>
          <w:sz w:val="20"/>
        </w:rPr>
        <w:t>No report-time validation warnings recorded.</w:t>
      </w:r>
    </w:p>
    <w:p>
      <w:pPr>
        <w:spacing w:before="160" w:after="80"/>
        <w:jc w:val="left"/>
      </w:pPr>
      <w:r>
        <w:rPr>
          <w:rFonts w:ascii="Arial" w:hAnsi="Arial"/>
          <w:b/>
          <w:color w:val="1F3A68"/>
          <w:sz w:val="24"/>
        </w:rPr>
        <w:t>Export And Import Provenance</w:t>
      </w:r>
    </w:p>
    <w:p>
      <w:pPr>
        <w:jc w:val="left"/>
      </w:pPr>
      <w:r>
        <w:rPr>
          <w:rFonts w:ascii="Arial" w:hAnsi="Arial"/>
          <w:b w:val="0"/>
          <w:i w:val="0"/>
          <w:sz w:val="20"/>
        </w:rPr>
        <w:t>Project exchange format: sampave.project_export v1.0.</w:t>
      </w:r>
    </w:p>
    <w:p>
      <w:pPr>
        <w:jc w:val="left"/>
      </w:pPr>
      <w:r>
        <w:rPr>
          <w:rFonts w:ascii="Arial" w:hAnsi="Arial"/>
          <w:b w:val="0"/>
          <w:i w:val="0"/>
          <w:sz w:val="20"/>
        </w:rPr>
        <w:t>Project import creates new local rows; source record IDs are preserved only as provenance.</w:t>
      </w:r>
    </w:p>
    <w:p>
      <w:pPr>
        <w:jc w:val="left"/>
      </w:pPr>
      <w:r>
        <w:rPr>
          <w:rFonts w:ascii="Arial" w:hAnsi="Arial"/>
          <w:b w:val="0"/>
          <w:i w:val="0"/>
          <w:sz w:val="20"/>
        </w:rPr>
        <w:t>Imported IITPAVE schema-history audit IDs are shown exactly as recorded and are not remapped.</w:t>
      </w:r>
    </w:p>
    <w:p>
      <w:pPr>
        <w:spacing w:before="160" w:after="80"/>
        <w:jc w:val="left"/>
      </w:pPr>
      <w:r>
        <w:rPr>
          <w:rFonts w:ascii="Arial" w:hAnsi="Arial"/>
          <w:b/>
          <w:color w:val="1F3A68"/>
          <w:sz w:val="24"/>
        </w:rPr>
        <w:t>Report Environment Metadata</w:t>
      </w:r>
    </w:p>
    <w:p>
      <w:pPr>
        <w:jc w:val="left"/>
      </w:pPr>
      <w:r>
        <w:rPr>
          <w:rFonts w:ascii="Arial" w:hAnsi="Arial"/>
          <w:b w:val="0"/>
          <w:i w:val="0"/>
          <w:sz w:val="20"/>
        </w:rPr>
        <w:t>Application: SAMPAVE v1.0.0.</w:t>
      </w:r>
    </w:p>
    <w:p>
      <w:pPr>
        <w:jc w:val="left"/>
      </w:pPr>
      <w:r>
        <w:rPr>
          <w:rFonts w:ascii="Arial" w:hAnsi="Arial"/>
          <w:b w:val="0"/>
          <w:i w:val="0"/>
          <w:sz w:val="20"/>
        </w:rPr>
        <w:t>Runtime: Python 3.14.4.</w:t>
      </w:r>
    </w:p>
    <w:p>
      <w:pPr>
        <w:jc w:val="left"/>
      </w:pPr>
      <w:r>
        <w:rPr>
          <w:rFonts w:ascii="Arial" w:hAnsi="Arial"/>
          <w:b w:val="0"/>
          <w:i w:val="0"/>
          <w:sz w:val="20"/>
        </w:rPr>
        <w:t>Platform family: Windows 11</w:t>
      </w:r>
    </w:p>
    <w:p>
      <w:pPr>
        <w:jc w:val="left"/>
      </w:pPr>
      <w:r>
        <w:rPr>
          <w:rFonts w:ascii="Arial" w:hAnsi="Arial"/>
          <w:b w:val="0"/>
          <w:i/>
          <w:sz w:val="18"/>
        </w:rPr>
        <w:t>This provenance section is read-only audit metadata. It does not extract IITPAVE strains, run mechanistic calculations, evaluate fatigue or rutting, make IRC compliance claims, or issue engineering recommendations.</w:t>
      </w:r>
    </w:p>
    <w:p>
      <w:r>
        <w:br w:type="page"/>
      </w:r>
    </w:p>
    <w:p>
      <w:pPr>
        <w:spacing w:before="160" w:after="80"/>
        <w:jc w:val="center"/>
      </w:pPr>
      <w:r>
        <w:rPr>
          <w:rFonts w:ascii="Arial" w:hAnsi="Arial"/>
          <w:b/>
          <w:color w:val="1F3A68"/>
          <w:sz w:val="28"/>
        </w:rPr>
        <w:t>TRAFFIC / ESAL / MSA ANALYSIS</w:t>
      </w:r>
    </w:p>
    <w:p>
      <w:pPr>
        <w:jc w:val="center"/>
      </w:pPr>
      <w:r>
        <w:rPr>
          <w:rFonts w:ascii="Arial" w:hAnsi="Arial"/>
          <w:b/>
          <w:i w:val="0"/>
          <w:sz w:val="24"/>
        </w:rPr>
        <w:t>SamPave Report - High traffic + low CBR</w:t>
      </w:r>
    </w:p>
    <w:p>
      <w:pPr>
        <w:jc w:val="center"/>
      </w:pPr>
      <w:r>
        <w:rPr>
          <w:rFonts w:ascii="Arial" w:hAnsi="Arial"/>
          <w:b w:val="0"/>
          <w:i/>
          <w:sz w:val="20"/>
        </w:rPr>
        <w:t>Design basis: IRC:37-2018 (cl. 4.6 MSA, Table 1 VDF, cl. 4.4 LDF). AASHTO ESAL reported for cross-reference.</w:t>
      </w:r>
    </w:p>
    <w:p>
      <w:pPr>
        <w:jc w:val="center"/>
      </w:pPr>
      <w:r>
        <w:rPr>
          <w:rFonts w:ascii="Arial" w:hAnsi="Arial"/>
          <w:b w:val="0"/>
          <w:i w:val="0"/>
          <w:sz w:val="20"/>
        </w:rPr>
        <w:t>Pavement Laboratory  •  Report Date: 22-Jun-2026</w:t>
      </w:r>
    </w:p>
    <w:p>
      <w:pPr>
        <w:spacing w:before="160" w:after="80"/>
        <w:jc w:val="left"/>
      </w:pPr>
      <w:r>
        <w:rPr>
          <w:rFonts w:ascii="Arial" w:hAnsi="Arial"/>
          <w:b/>
          <w:color w:val="1F3A68"/>
          <w:sz w:val="24"/>
        </w:rPr>
        <w:t>Project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01"/>
        <w:gridCol w:w="4801"/>
      </w:tblGrid>
      <w:tr>
        <w:tc>
          <w:tcPr>
            <w:tcW w:type="dxa" w:w="48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48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Name of Work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High Traffic + Low CBR Demo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Client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Client DEF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Agency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Arcstone Infrastructure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Submitted By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QA Validator</w:t>
            </w:r>
          </w:p>
        </w:tc>
      </w:tr>
    </w:tbl>
    <w:p>
      <w:pPr>
        <w:spacing w:before="160" w:after="80"/>
        <w:jc w:val="left"/>
      </w:pPr>
      <w:r>
        <w:rPr>
          <w:rFonts w:ascii="Arial" w:hAnsi="Arial"/>
          <w:b/>
          <w:color w:val="1F3A68"/>
          <w:sz w:val="24"/>
        </w:rPr>
        <w:t>Inputs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01"/>
        <w:gridCol w:w="4801"/>
      </w:tblGrid>
      <w:tr>
        <w:tc>
          <w:tcPr>
            <w:tcW w:type="dxa" w:w="48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48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Road Category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NH / SH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Terrain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Plain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Lane Configuration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Two-lane carriageway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Initial Commercial Traffic (A)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3000 CVPD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Annual Growth Rate (r)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7.5 %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Design Life (n)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15 yr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VDF (F) — user / preset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4.5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LDF (D) — user / preset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0.75</w:t>
            </w:r>
          </w:p>
        </w:tc>
      </w:tr>
    </w:tbl>
    <w:p>
      <w:pPr>
        <w:spacing w:before="160" w:after="80"/>
        <w:jc w:val="left"/>
      </w:pPr>
      <w:r>
        <w:rPr>
          <w:rFonts w:ascii="Arial" w:hAnsi="Arial"/>
          <w:b/>
          <w:color w:val="1F3A68"/>
          <w:sz w:val="24"/>
        </w:rPr>
        <w:t>Computed Quantities</w:t>
      </w:r>
    </w:p>
    <w:p>
      <w:pPr>
        <w:jc w:val="left"/>
      </w:pPr>
      <w:r>
        <w:rPr>
          <w:rFonts w:ascii="Arial" w:hAnsi="Arial"/>
          <w:b w:val="0"/>
          <w:i/>
          <w:sz w:val="22"/>
        </w:rPr>
        <w:t>N = (365 · A · [(1+r)^n − 1]/r) · D · F · 10⁻⁶   (IRC:37 cl. 4.6)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</w:tblGrid>
      <w:tr>
        <w:tc>
          <w:tcPr>
            <w:tcW w:type="dxa" w:w="2400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Quantity</w:t>
            </w:r>
          </w:p>
        </w:tc>
        <w:tc>
          <w:tcPr>
            <w:tcW w:type="dxa" w:w="2400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Symbol</w:t>
            </w:r>
          </w:p>
        </w:tc>
        <w:tc>
          <w:tcPr>
            <w:tcW w:type="dxa" w:w="2400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Value</w:t>
            </w:r>
          </w:p>
        </w:tc>
        <w:tc>
          <w:tcPr>
            <w:tcW w:type="dxa" w:w="2400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Unit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Growth Factor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GF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26.1184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VDF used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F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4.5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LDF used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D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0.75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Cumulative Design Traffic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N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96.52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MSA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AASHTO ESAL (alias N × 10⁶)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96,523,682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ESAL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Traffic Category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Heavy (30–100 MSA)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</w:tr>
    </w:tbl>
    <w:p>
      <w:pPr>
        <w:spacing w:before="160" w:after="80"/>
        <w:jc w:val="left"/>
      </w:pPr>
      <w:r>
        <w:rPr>
          <w:rFonts w:ascii="Arial" w:hAnsi="Arial"/>
          <w:b/>
          <w:sz w:val="22"/>
        </w:rPr>
        <w:t>Reserved for Future Expansion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01"/>
        <w:gridCol w:w="4801"/>
      </w:tblGrid>
      <w:tr>
        <w:tc>
          <w:tcPr>
            <w:tcW w:type="dxa" w:w="48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48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Axle-Load Spectrum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Not provided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Weigh-In-Motion Records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Not provided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Traffic-Survey Source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Not provided</w:t>
            </w:r>
          </w:p>
        </w:tc>
      </w:tr>
    </w:tbl>
    <w:p>
      <w:pPr>
        <w:spacing w:before="160" w:after="80"/>
        <w:jc w:val="left"/>
      </w:pPr>
      <w:r>
        <w:rPr>
          <w:rFonts w:ascii="Arial" w:hAnsi="Arial"/>
          <w:b/>
          <w:sz w:val="22"/>
        </w:rPr>
        <w:t>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01"/>
        <w:gridCol w:w="3201"/>
        <w:gridCol w:w="3201"/>
      </w:tblGrid>
      <w:tr>
        <w:tc>
          <w:tcPr>
            <w:tcW w:type="dxa" w:w="32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32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Clause / Table</w:t>
            </w:r>
          </w:p>
        </w:tc>
        <w:tc>
          <w:tcPr>
            <w:tcW w:type="dxa" w:w="32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Title / Note</w:t>
            </w:r>
          </w:p>
        </w:tc>
      </w:tr>
      <w:tr>
        <w:tc>
          <w:tcPr>
            <w:tcW w:type="dxa" w:w="32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IRC:37-2018</w:t>
            </w:r>
          </w:p>
        </w:tc>
        <w:tc>
          <w:tcPr>
            <w:tcW w:type="dxa" w:w="32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cl. 4.6</w:t>
            </w:r>
          </w:p>
        </w:tc>
        <w:tc>
          <w:tcPr>
            <w:tcW w:type="dxa" w:w="32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Guidelines for the Design of Flexible Pavements</w:t>
            </w:r>
          </w:p>
        </w:tc>
      </w:tr>
      <w:tr>
        <w:tc>
          <w:tcPr>
            <w:tcW w:type="dxa" w:w="32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IRC:37-2018</w:t>
            </w:r>
          </w:p>
        </w:tc>
        <w:tc>
          <w:tcPr>
            <w:tcW w:type="dxa" w:w="32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Table 1</w:t>
            </w:r>
          </w:p>
        </w:tc>
        <w:tc>
          <w:tcPr>
            <w:tcW w:type="dxa" w:w="32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Guidelines for the Design of Flexible Pavements</w:t>
            </w:r>
          </w:p>
        </w:tc>
      </w:tr>
      <w:tr>
        <w:tc>
          <w:tcPr>
            <w:tcW w:type="dxa" w:w="32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IRC:37-2018</w:t>
            </w:r>
          </w:p>
        </w:tc>
        <w:tc>
          <w:tcPr>
            <w:tcW w:type="dxa" w:w="32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cl. 4.4</w:t>
            </w:r>
          </w:p>
        </w:tc>
        <w:tc>
          <w:tcPr>
            <w:tcW w:type="dxa" w:w="32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Guidelines for the Design of Flexible Pavements</w:t>
            </w:r>
          </w:p>
        </w:tc>
      </w:tr>
      <w:tr>
        <w:tc>
          <w:tcPr>
            <w:tcW w:type="dxa" w:w="32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IRC:37-2018</w:t>
            </w:r>
          </w:p>
        </w:tc>
        <w:tc>
          <w:tcPr>
            <w:tcW w:type="dxa" w:w="32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Plates 1-4</w:t>
            </w:r>
          </w:p>
        </w:tc>
        <w:tc>
          <w:tcPr>
            <w:tcW w:type="dxa" w:w="32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Guidelines for the Design of Flexible Pavements</w:t>
            </w:r>
          </w:p>
        </w:tc>
      </w:tr>
      <w:tr>
        <w:tc>
          <w:tcPr>
            <w:tcW w:type="dxa" w:w="32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AASHTO-1993</w:t>
            </w:r>
          </w:p>
        </w:tc>
        <w:tc>
          <w:tcPr>
            <w:tcW w:type="dxa" w:w="32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32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Guide for Design of Pavement Structures</w:t>
            </w:r>
          </w:p>
        </w:tc>
      </w:tr>
      <w:tr>
        <w:tc>
          <w:tcPr>
            <w:tcW w:type="dxa" w:w="32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AASHTO-T307</w:t>
            </w:r>
          </w:p>
        </w:tc>
        <w:tc>
          <w:tcPr>
            <w:tcW w:type="dxa" w:w="32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32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Determining the Resilient Modulus of Soils and Aggregate Materials</w:t>
            </w:r>
          </w:p>
        </w:tc>
      </w:tr>
    </w:tbl>
    <w:p>
      <w:pPr>
        <w:spacing w:before="40" w:after="120"/>
        <w:jc w:val="left"/>
      </w:pPr>
      <w:r>
        <w:rPr>
          <w:rFonts w:ascii="Arial" w:hAnsi="Arial"/>
          <w:i/>
          <w:color w:val="555B6E"/>
          <w:sz w:val="18"/>
        </w:rPr>
        <w:t>Cumulative MSA via IRC:37-2018 cl. 4.6. VDF/LDF from IRC:37 Table 1 / cl. 4.4 when not user-supplied. AASHTO ESAL = MSA × 10^6.</w:t>
      </w:r>
    </w:p>
    <w:p>
      <w:r>
        <w:br w:type="page"/>
      </w:r>
    </w:p>
    <w:p>
      <w:pPr>
        <w:spacing w:before="160" w:after="80"/>
        <w:jc w:val="center"/>
      </w:pPr>
      <w:r>
        <w:rPr>
          <w:rFonts w:ascii="Arial" w:hAnsi="Arial"/>
          <w:b/>
          <w:color w:val="1F3A68"/>
          <w:sz w:val="28"/>
        </w:rPr>
        <w:t>FLEXIBLE PAVEMENT STRUCTURAL DESIGN</w:t>
      </w:r>
    </w:p>
    <w:p>
      <w:pPr>
        <w:jc w:val="center"/>
      </w:pPr>
      <w:r>
        <w:rPr>
          <w:rFonts w:ascii="Arial" w:hAnsi="Arial"/>
          <w:b/>
          <w:i w:val="0"/>
          <w:sz w:val="24"/>
        </w:rPr>
        <w:t>SamPave Report - High traffic + low CBR</w:t>
      </w:r>
    </w:p>
    <w:p>
      <w:pPr>
        <w:jc w:val="center"/>
      </w:pPr>
      <w:r>
        <w:rPr>
          <w:rFonts w:ascii="Arial" w:hAnsi="Arial"/>
          <w:b w:val="0"/>
          <w:i/>
          <w:sz w:val="20"/>
        </w:rPr>
        <w:t>Design basis: IRC:37-2018 — Guidelines for the Design of Flexible Pavements (4th Revision).</w:t>
      </w:r>
    </w:p>
    <w:p>
      <w:pPr>
        <w:jc w:val="center"/>
      </w:pPr>
      <w:r>
        <w:rPr>
          <w:rFonts w:ascii="Arial" w:hAnsi="Arial"/>
          <w:b w:val="0"/>
          <w:i w:val="0"/>
          <w:sz w:val="20"/>
        </w:rPr>
        <w:t>Pavement Laboratory  •  Report Date: 22-Jun-2026</w:t>
      </w:r>
    </w:p>
    <w:p>
      <w:pPr>
        <w:spacing w:before="160" w:after="80"/>
        <w:jc w:val="left"/>
      </w:pPr>
      <w:r>
        <w:rPr>
          <w:rFonts w:ascii="Arial" w:hAnsi="Arial"/>
          <w:b/>
          <w:color w:val="1F3A68"/>
          <w:sz w:val="24"/>
        </w:rPr>
        <w:t>1. Project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01"/>
        <w:gridCol w:w="4801"/>
      </w:tblGrid>
      <w:tr>
        <w:tc>
          <w:tcPr>
            <w:tcW w:type="dxa" w:w="48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48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Name of Work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High Traffic + Low CBR Demo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Client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Client DEF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Agency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Arcstone Infrastructure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Submitted By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QA Validator</w:t>
            </w:r>
          </w:p>
        </w:tc>
      </w:tr>
    </w:tbl>
    <w:p>
      <w:pPr>
        <w:spacing w:before="160" w:after="80"/>
        <w:jc w:val="left"/>
      </w:pPr>
      <w:r>
        <w:rPr>
          <w:rFonts w:ascii="Arial" w:hAnsi="Arial"/>
          <w:b/>
          <w:color w:val="1F3A68"/>
          <w:sz w:val="24"/>
        </w:rPr>
        <w:t>2. Design Inputs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01"/>
        <w:gridCol w:w="4801"/>
      </w:tblGrid>
      <w:tr>
        <w:tc>
          <w:tcPr>
            <w:tcW w:type="dxa" w:w="48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48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Road Category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NH / SH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Design Life (years)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15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Initial Commercial Traffic (CVPD)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3000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Traffic Growth Rate (% / year)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7.5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Vehicle Damage Factor (VDF)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4.5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Lane Distribution Factor (LDF)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0.75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Subgrade CBR — 4-day soaked (%)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2.5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Resilient Modulus (user-supplied)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auto (from CBR)</w:t>
            </w:r>
          </w:p>
        </w:tc>
      </w:tr>
    </w:tbl>
    <w:p>
      <w:pPr>
        <w:spacing w:before="160" w:after="80"/>
        <w:jc w:val="left"/>
      </w:pPr>
      <w:r>
        <w:rPr>
          <w:rFonts w:ascii="Arial" w:hAnsi="Arial"/>
          <w:b/>
          <w:color w:val="1F3A68"/>
          <w:sz w:val="24"/>
        </w:rPr>
        <w:t>3. Cumulative Design Traffic</w:t>
      </w:r>
    </w:p>
    <w:p>
      <w:pPr>
        <w:jc w:val="left"/>
      </w:pPr>
      <w:r>
        <w:rPr>
          <w:rFonts w:ascii="Arial" w:hAnsi="Arial"/>
          <w:b w:val="0"/>
          <w:i w:val="0"/>
          <w:sz w:val="22"/>
        </w:rPr>
        <w:t>Per IRC:37-2018 cl. 4.6:</w:t>
      </w:r>
    </w:p>
    <w:p>
      <w:pPr>
        <w:jc w:val="left"/>
      </w:pPr>
      <w:r>
        <w:rPr>
          <w:rFonts w:ascii="Arial" w:hAnsi="Arial"/>
          <w:b w:val="0"/>
          <w:i/>
          <w:sz w:val="22"/>
        </w:rPr>
        <w:t>N = (365 · A · [(1 + r)^n − 1] / r) · D · F · 10⁻⁶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</w:tblGrid>
      <w:tr>
        <w:tc>
          <w:tcPr>
            <w:tcW w:type="dxa" w:w="2400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2400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Symbol</w:t>
            </w:r>
          </w:p>
        </w:tc>
        <w:tc>
          <w:tcPr>
            <w:tcW w:type="dxa" w:w="2400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Value</w:t>
            </w:r>
          </w:p>
        </w:tc>
        <w:tc>
          <w:tcPr>
            <w:tcW w:type="dxa" w:w="2400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Unit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Initial Commercial Traffic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A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3000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CVPD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Annual Growth Rate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r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0.0750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Design Life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n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15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years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Lane Distribution Factor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D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0.75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Vehicle Damage Factor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F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4.5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Growth Factor [(1+r)^n−1]/r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26.1184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Cumulative Design Traffic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N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96.52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MSA</w:t>
            </w:r>
          </w:p>
        </w:tc>
      </w:tr>
    </w:tbl>
    <w:p>
      <w:pPr>
        <w:spacing w:before="160" w:after="80"/>
        <w:jc w:val="left"/>
      </w:pPr>
      <w:r>
        <w:rPr>
          <w:rFonts w:ascii="Arial" w:hAnsi="Arial"/>
          <w:b/>
          <w:color w:val="1F3A68"/>
          <w:sz w:val="24"/>
        </w:rPr>
        <w:t>4. Subgrade Resilient Modulus</w:t>
      </w:r>
    </w:p>
    <w:p>
      <w:pPr>
        <w:jc w:val="left"/>
      </w:pPr>
      <w:r>
        <w:rPr>
          <w:rFonts w:ascii="Arial" w:hAnsi="Arial"/>
          <w:b w:val="0"/>
          <w:i w:val="0"/>
          <w:sz w:val="22"/>
        </w:rPr>
        <w:t>Per IRC:37-2018 Annex E:</w:t>
      </w:r>
    </w:p>
    <w:p>
      <w:pPr>
        <w:jc w:val="left"/>
      </w:pPr>
      <w:r>
        <w:rPr>
          <w:rFonts w:ascii="Arial" w:hAnsi="Arial"/>
          <w:b w:val="0"/>
          <w:i/>
          <w:sz w:val="22"/>
        </w:rPr>
        <w:t xml:space="preserve">  M_R = 10 · CBR              for CBR ≤ 5 %</w:t>
      </w:r>
    </w:p>
    <w:p>
      <w:pPr>
        <w:jc w:val="left"/>
      </w:pPr>
      <w:r>
        <w:rPr>
          <w:rFonts w:ascii="Arial" w:hAnsi="Arial"/>
          <w:b w:val="0"/>
          <w:i/>
          <w:sz w:val="22"/>
        </w:rPr>
        <w:t xml:space="preserve">  M_R = 17.6 · CBR^0.64       for CBR &gt; 5 %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01"/>
        <w:gridCol w:w="3201"/>
        <w:gridCol w:w="3201"/>
      </w:tblGrid>
      <w:tr>
        <w:tc>
          <w:tcPr>
            <w:tcW w:type="dxa" w:w="32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32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Value</w:t>
            </w:r>
          </w:p>
        </w:tc>
        <w:tc>
          <w:tcPr>
            <w:tcW w:type="dxa" w:w="32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Unit</w:t>
            </w:r>
          </w:p>
        </w:tc>
      </w:tr>
      <w:tr>
        <w:tc>
          <w:tcPr>
            <w:tcW w:type="dxa" w:w="32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CBR (4-day soaked)</w:t>
            </w:r>
          </w:p>
        </w:tc>
        <w:tc>
          <w:tcPr>
            <w:tcW w:type="dxa" w:w="32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2.5</w:t>
            </w:r>
          </w:p>
        </w:tc>
        <w:tc>
          <w:tcPr>
            <w:tcW w:type="dxa" w:w="32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%</w:t>
            </w:r>
          </w:p>
        </w:tc>
      </w:tr>
      <w:tr>
        <w:tc>
          <w:tcPr>
            <w:tcW w:type="dxa" w:w="32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Resilient Modulus (M_R)</w:t>
            </w:r>
          </w:p>
        </w:tc>
        <w:tc>
          <w:tcPr>
            <w:tcW w:type="dxa" w:w="32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25.0</w:t>
            </w:r>
          </w:p>
        </w:tc>
        <w:tc>
          <w:tcPr>
            <w:tcW w:type="dxa" w:w="32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MPa</w:t>
            </w:r>
          </w:p>
        </w:tc>
      </w:tr>
    </w:tbl>
    <w:p>
      <w:pPr>
        <w:spacing w:before="160" w:after="80"/>
        <w:jc w:val="left"/>
      </w:pPr>
      <w:r>
        <w:rPr>
          <w:rFonts w:ascii="Arial" w:hAnsi="Arial"/>
          <w:b/>
          <w:color w:val="1F3A68"/>
          <w:sz w:val="24"/>
        </w:rPr>
        <w:t>5. Suggested Pavement Composition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</w:tblGrid>
      <w:tr>
        <w:tc>
          <w:tcPr>
            <w:tcW w:type="dxa" w:w="2400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Layer</w:t>
            </w:r>
          </w:p>
        </w:tc>
        <w:tc>
          <w:tcPr>
            <w:tcW w:type="dxa" w:w="2400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Material</w:t>
            </w:r>
          </w:p>
        </w:tc>
        <w:tc>
          <w:tcPr>
            <w:tcW w:type="dxa" w:w="2400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Thickness (mm)</w:t>
            </w:r>
          </w:p>
        </w:tc>
        <w:tc>
          <w:tcPr>
            <w:tcW w:type="dxa" w:w="2400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Typical Modulus (MPa)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Bituminous Concrete (BC)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BC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40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3000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Dense Bituminous Macadam (DBM)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DBM-II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190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3000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Wet Mix Macadam (WMM)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WMM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250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450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Granular Sub-base (GSB)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GSB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300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200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TOTAL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780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</w:tr>
    </w:tbl>
    <w:p>
      <w:pPr>
        <w:spacing w:before="40" w:after="120"/>
        <w:jc w:val="left"/>
      </w:pPr>
      <w:r>
        <w:rPr>
          <w:rFonts w:ascii="Arial" w:hAnsi="Arial"/>
          <w:i/>
          <w:color w:val="555B6E"/>
          <w:sz w:val="18"/>
        </w:rPr>
        <w:t>Design selected from IRC:37 catalogue reference: Skeleton - CBR 3-5%, MSA &gt;= 50. Layer composition is a catalogue-style suggestion. Cross-check against IRC:37-2018 Plates 1–4 and run a mechanistic analysis (IITPAVE) for the fatigue and rutting limits in cl. 6.4 before adoption for construction.</w:t>
      </w:r>
    </w:p>
    <w:p>
      <w:pPr>
        <w:spacing w:before="160" w:after="80"/>
        <w:jc w:val="left"/>
      </w:pPr>
      <w:r>
        <w:rPr>
          <w:rFonts w:ascii="Arial" w:hAnsi="Arial"/>
          <w:b/>
          <w:color w:val="1F3A68"/>
          <w:sz w:val="24"/>
        </w:rPr>
        <w:t>6. Mechanistic Checks (IITPAVE)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01"/>
        <w:gridCol w:w="4801"/>
      </w:tblGrid>
      <w:tr>
        <w:tc>
          <w:tcPr>
            <w:tcW w:type="dxa" w:w="48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Check</w:t>
            </w:r>
          </w:p>
        </w:tc>
        <w:tc>
          <w:tcPr>
            <w:tcW w:type="dxa" w:w="48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Bituminous-layer fatigue (IRC:37-2018 cl. 6.4.1)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IITPAVE unavailable - mechanistic workflow has not run. Use Structural Design Compute to run local IITPAVE or configure SAMPAVE_IITPAVE_EXE.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Subgrade rutting (IRC:37-2018 cl. 6.4.2)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IITPAVE unavailable - mechanistic workflow has not run. Use Structural Design Compute to run local IITPAVE or configure SAMPAVE_IITPAVE_EXE.</w:t>
            </w:r>
          </w:p>
        </w:tc>
      </w:tr>
    </w:tbl>
    <w:p>
      <w:pPr>
        <w:spacing w:before="160" w:after="80"/>
        <w:jc w:val="left"/>
      </w:pPr>
      <w:r>
        <w:rPr>
          <w:rFonts w:ascii="Arial" w:hAnsi="Arial"/>
          <w:b/>
          <w:color w:val="1F3A68"/>
          <w:sz w:val="24"/>
        </w:rPr>
        <w:t>7. Designer Notes</w:t>
      </w:r>
    </w:p>
    <w:p>
      <w:pPr>
        <w:jc w:val="left"/>
      </w:pPr>
      <w:r>
        <w:rPr>
          <w:rFonts w:ascii="Arial" w:hAnsi="Arial"/>
          <w:b w:val="0"/>
          <w:i w:val="0"/>
          <w:sz w:val="20"/>
        </w:rPr>
        <w:t>IRC:37 catalogue reference: Skeleton - CBR 3-5%, MSA &gt;= 50 | Catalogue database incomplete — engineer verification required. | This catalogue entry is based on the legacy Phase-4 skeleton composition and has not been fully verified against the complete set of IRC:37 Plates. Engineer verification is required. | Subgrade CBR (2.5%) is below the minimum catalogue limit of 3.0%. Suggesting Plate 1 (CBR 3%) composition as baseline; borrow soil subgrade or stabilization is required.</w:t>
      </w:r>
    </w:p>
    <w:p>
      <w:pPr>
        <w:spacing w:before="40" w:after="120"/>
        <w:jc w:val="left"/>
      </w:pPr>
      <w:r>
        <w:rPr>
          <w:rFonts w:ascii="Arial" w:hAnsi="Arial"/>
          <w:i/>
          <w:color w:val="555B6E"/>
          <w:sz w:val="18"/>
        </w:rPr>
        <w:t>References: IRC:37-2018 'Guidelines for the Design of Flexible Pavements' (Indian Roads Congress, 4th Revision).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01"/>
        <w:gridCol w:w="4801"/>
      </w:tblGrid>
      <w:tr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Prepared By</w:t>
              <w:br/>
              <w:br/>
              <w:t>______________________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Approved By</w:t>
              <w:br/>
              <w:br/>
              <w:t>______________________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8"/>
      </w:rP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