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COMBINED PAVEMENT-DESIGN REPORT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SamPave Report - Very high MSA case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22-Jun-2026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Very High MSA Case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Client GHI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Contents of this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Governing Reference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 / ESAL / MSA Analysis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IRC:37-2018 / AASHTO-1993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Flexible Pavement Structural Design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Provenance and Traceability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Audit metadata; no engineering calculations</w:t>
            </w:r>
          </w:p>
        </w:tc>
      </w:tr>
    </w:tbl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REPORT PROVENANCE AND TRACEABILITY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Generation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generated at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2026-06-22 15:56:10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Operator identifier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Project ID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Project work name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Very High MSA Case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path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validation_reports\scenario_3_report.docx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IITPAVE Schema-History Selection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Selection status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all_available_history_selected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Available candidate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Selected history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Unknown requested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Included history records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Propagated diagnostic rows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Engineering calculations allowed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Validation Warning Summary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No report-time validation warnings recorded.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Export And Import Provenance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Project exchange format: sampave.project_export v1.0.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Project import creates new local rows; source record IDs are preserved only as provenance.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Imported IITPAVE schema-history audit IDs are shown exactly as recorded and are not remapped.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Report Environment Metadata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Application: SAMPAVE v1.0.0.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Runtime: Python 3.14.4.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Platform family: Windows 11</w:t>
      </w:r>
    </w:p>
    <w:p>
      <w:pPr>
        <w:jc w:val="left"/>
      </w:pPr>
      <w:r>
        <w:rPr>
          <w:rFonts w:ascii="Arial" w:hAnsi="Arial"/>
          <w:b w:val="0"/>
          <w:i/>
          <w:sz w:val="18"/>
        </w:rPr>
        <w:t>This provenance section is read-only audit metadata. It does not extract IITPAVE strains, run mechanistic calculations, evaluate fatigue or rutting, make IRC compliance claims, or issue engineering recommendations.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TRAFFIC / ESAL / MSA ANALYSIS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SamPave Report - Very high MSA case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Design basis: IRC:37-2018 (cl. 4.6 MSA, Table 1 VDF, cl. 4.4 LDF). AASHTO ESAL reported for cross-reference.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22-Jun-2026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Very High MSA Case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Client GHI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Road Category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NH / SH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Terrain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Plain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Lane Configuration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Two-lane carriageway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Initial Commercial Traffic (A)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8000 CVPD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Annual Growth Rate (r)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8 %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Design Life (n)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 yr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VDF (F) — user / preset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5.5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LDF (D) — user / preset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Computed Quantities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>N = (365 · A · [(1+r)^n − 1]/r) · D · F · 10⁻⁶   (IRC:37 cl. 4.6)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Growth Factor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GF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45.7620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VDF used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F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5.5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LDF used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Cumulative Design Traffic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551.20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MSA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AASHTO ESAL (alias N × 10⁶)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551,202,860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ESAL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 Category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Very Heavy (&gt; 100 MSA)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Reserved for Future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Axle-Load Spectrum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Not provided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Weigh-In-Motion Records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Not provided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Traffic-Survey Source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Not provided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Clause / Table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Title / Note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cl. 4.6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Table 1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cl. 4.4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Plates 1-4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AASHTO-1993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 for Design of Pavement Structures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AASHTO-T307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Determining the Resilient Modulus of Soils and Aggregate Materials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Cumulative MSA via IRC:37-2018 cl. 4.6. VDF/LDF from IRC:37 Table 1 / cl. 4.4 when not user-supplied. AASHTO ESAL = MSA × 10^6.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FLEXIBLE PAVEMENT STRUCTURAL DESIGN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SamPave Report - Very high MSA case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Design basis: IRC:37-2018 — Guidelines for the Design of Flexible Pavements (4th Revision).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22-Jun-2026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Very High MSA Case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Client GHI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2. Design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Road Category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NH / SH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Design Life (years)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Initial Commercial Traffic (CVPD)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8000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 Growth Rate (% / year)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Vehicle Damage Factor (VDF)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5.5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Lane Distribution Factor (LDF)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Subgrade CBR — 4-day soaked (%)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Resilient Modulus (user-supplied)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auto (from CBR)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3. Cumulative Design Traffic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Per IRC:37-2018 cl. 4.6: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>N = (365 · A · [(1 + r)^n − 1] / r) · D · F · 10⁻⁶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Initial Commercial Traffic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8000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CVPD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Annual Growth Rate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0.0800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Design Life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years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Lane Distribution Factor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Vehicle Damage Factor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F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5.5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Growth Factor [(1+r)^n−1]/r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45.7620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Cumulative Design Traffic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551.20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MSA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4. Subgrade Resilient Modulus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Per IRC:37-2018 Annex E: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 xml:space="preserve">  M_R = 10 · CBR              for CBR ≤ 5 %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 xml:space="preserve">  M_R = 17.6 · CBR^0.64       for CBR &gt; 5 %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CBR (4-day soaked)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%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Resilient Modulus (M_R)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40.0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MPa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5. Suggested Pavement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Thickness (mm)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Typical Modulus (MPa)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 Concrete (BC)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BC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Dense Bituminous Macadam (DBM)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DBM-II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190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Wet Mix Macadam (WMM)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WMM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250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450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Granular Sub-base (GSB)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GSB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780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Design selected from IRC:37 catalogue reference: Skeleton - CBR 3-5%, MSA &gt;= 50. Layer composition is a catalogue-style suggestion. Cross-check against IRC:37-2018 Plates 1–4 and run a mechanistic analysis (IITPAVE) for the fatigue and rutting limits in cl. 6.4 before adoption for construction.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6. Mechanistic Checks (IITPAVE)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Bituminous-layer fatigue (IRC:37-2018 cl. 6.4.1)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IITPAVE unavailable - mechanistic workflow has not run. Use Structural Design Compute to run local IITPAVE or configure SAMPAVE_IITPAVE_EXE.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Subgrade rutting (IRC:37-2018 cl. 6.4.2)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IITPAVE unavailable - mechanistic workflow has not run. Use Structural Design Compute to run local IITPAVE or configure SAMPAVE_IITPAVE_EXE.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7. Designer Notes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IRC:37 catalogue reference: Skeleton - CBR 3-5%, MSA &gt;= 50 | Catalogue database incomplete — engineer verification required. | This catalogue entry is based on the legacy Phase-4 skeleton composition and has not been fully verified against the complete set of IRC:37 Plates. Engineer verification is required. | Design traffic (551.20 MSA) exceeds the maximum catalogue limit of 150.0 MSA. Suggesting 150.0 MSA composition as baseline; mechanistic design must be verified in IITPAVE.</w:t>
      </w:r>
    </w:p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References: IRC:37-2018 'Guidelines for the Design of Flexible Pavements' (Indian Roads Congress, 4th Revision).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Prepared By</w:t>
              <w:br/>
              <w:br/>
              <w:t>______________________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Approved By</w:t>
              <w:br/>
              <w:br/>
              <w:t>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