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Arial" w:cs="Arial" w:eastAsia="Arial" w:hAnsi="Arial"/>
          <w:b/>
          <w:bCs/>
          <w:sz w:val="30"/>
          <w:szCs w:val="30"/>
        </w:rPr>
        <w:t xml:space="preserve">SC4016 Group Assignment: Data Findings</w:t>
      </w:r>
    </w:p>
    <w:p>
      <w:pPr>
        <w:spacing w:after="200"/>
        <w:jc w:val="center"/>
      </w:pPr>
      <w:r>
        <w:rPr>
          <w:rFonts w:ascii="Arial" w:cs="Arial" w:eastAsia="Arial" w:hAnsi="Arial"/>
          <w:i/>
          <w:iCs/>
          <w:sz w:val="20"/>
          <w:szCs w:val="20"/>
        </w:rPr>
        <w:t xml:space="preserve">Factual results from DLS_master.xlsx (5 DLS, victims posted 1 Jan to 30 Sep 2026). Interpretation, TTPs and insights to be added by the team.</w:t>
      </w:r>
    </w:p>
    <w:p>
      <w:pPr>
        <w:pStyle w:val="Heading1"/>
      </w:pPr>
      <w:r>
        <w:rPr>
          <w:rFonts w:ascii="Arial" w:cs="Arial" w:eastAsia="Arial" w:hAnsi="Arial"/>
        </w:rPr>
        <w:t xml:space="preserve">Dataset overview</w:t>
      </w:r>
    </w:p>
    <w:p>
      <w:pPr>
        <w:spacing w:after="100" w:line="252"/>
      </w:pPr>
      <w:r>
        <w:rPr>
          <w:rFonts w:ascii="Arial" w:cs="Arial" w:eastAsia="Arial" w:hAnsi="Arial"/>
          <w:sz w:val="22"/>
          <w:szCs w:val="22"/>
        </w:rPr>
        <w:t xml:space="preserve">The dataset contains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398 victims</w:t>
      </w:r>
      <w:r>
        <w:rPr>
          <w:rFonts w:ascii="Arial" w:cs="Arial" w:eastAsia="Arial" w:hAnsi="Arial"/>
          <w:sz w:val="22"/>
          <w:szCs w:val="22"/>
        </w:rPr>
        <w:t xml:space="preserve"> posted on 5 data leak sites between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2 January and 29 September 2026</w:t>
      </w:r>
      <w:r>
        <w:rPr>
          <w:rFonts w:ascii="Arial" w:cs="Arial" w:eastAsia="Arial" w:hAnsi="Arial"/>
          <w:sz w:val="22"/>
          <w:szCs w:val="22"/>
        </w:rPr>
        <w:t xml:space="preserve">, plus 48 posts that were still on countdown at the time of scraping (kept separately).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1100"/>
        <w:gridCol w:w="1100"/>
        <w:gridCol w:w="1300"/>
        <w:gridCol w:w="1300"/>
        <w:gridCol w:w="1426"/>
        <w:gridCol w:w="1300"/>
      </w:tblGrid>
      <w:tr>
        <w:trPr>
          <w:tblHeader/>
        </w:trP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Group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Victims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Share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First post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Last post</w:t>
            </w:r>
          </w:p>
        </w:tc>
        <w:tc>
          <w:tcPr>
            <w:tcW w:type="dxa" w:w="14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Posting days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Countries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Play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167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42.0%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2 Jan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21 Sep</w:t>
            </w:r>
          </w:p>
        </w:tc>
        <w:tc>
          <w:tcPr>
            <w:tcW w:type="dxa" w:w="14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58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11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SETTRA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68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17.1%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2 Jun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23 Sep</w:t>
            </w:r>
          </w:p>
        </w:tc>
        <w:tc>
          <w:tcPr>
            <w:tcW w:type="dxa" w:w="14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21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17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Anubis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65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16.3%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8 Jan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22 Sep</w:t>
            </w:r>
          </w:p>
        </w:tc>
        <w:tc>
          <w:tcPr>
            <w:tcW w:type="dxa" w:w="14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52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15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Chaos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55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13.8%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5 Jan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29 Sep</w:t>
            </w:r>
          </w:p>
        </w:tc>
        <w:tc>
          <w:tcPr>
            <w:tcW w:type="dxa" w:w="14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41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4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DireWolf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43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10.8%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4 Jan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8 Sep</w:t>
            </w:r>
          </w:p>
        </w:tc>
        <w:tc>
          <w:tcPr>
            <w:tcW w:type="dxa" w:w="14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12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19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Total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398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100%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2 Jan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29 Sep</w:t>
            </w:r>
          </w:p>
        </w:tc>
        <w:tc>
          <w:tcPr>
            <w:tcW w:type="dxa" w:w="14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center"/>
            </w:pP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38</w:t>
            </w:r>
          </w:p>
        </w:tc>
      </w:tr>
    </w:tbl>
    <w:p>
      <w:pPr>
        <w:spacing w:after="80"/>
      </w:pPr>
    </w:p>
    <w:p>
      <w:pPr>
        <w:keepNext/>
        <w:keepLines/>
        <w:spacing w:after="40" w:before="60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Field coverage by group (number of victims with the field filled)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26"/>
        <w:gridCol w:w="1300"/>
        <w:gridCol w:w="1300"/>
        <w:gridCol w:w="1300"/>
        <w:gridCol w:w="1300"/>
        <w:gridCol w:w="1300"/>
      </w:tblGrid>
      <w:tr>
        <w:trPr>
          <w:tblHeader/>
        </w:trPr>
        <w:tc>
          <w:tcPr>
            <w:tcW w:type="dxa" w:w="25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Field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Play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SETTRA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Anubis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Chaos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DireWolf</w:t>
            </w:r>
          </w:p>
        </w:tc>
      </w:tr>
      <w:tr>
        <w:tc>
          <w:tcPr>
            <w:tcW w:type="dxa" w:w="25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Country (known)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167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67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57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53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43</w:t>
            </w:r>
          </w:p>
        </w:tc>
      </w:tr>
      <w:tr>
        <w:tc>
          <w:tcPr>
            <w:tcW w:type="dxa" w:w="25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Industry (known)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154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68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65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55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40</w:t>
            </w:r>
          </w:p>
        </w:tc>
      </w:tr>
      <w:tr>
        <w:tc>
          <w:tcPr>
            <w:tcW w:type="dxa" w:w="25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Revenue band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0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68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0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0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0</w:t>
            </w:r>
          </w:p>
        </w:tc>
      </w:tr>
      <w:tr>
        <w:tc>
          <w:tcPr>
            <w:tcW w:type="dxa" w:w="25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Data types (specific)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0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68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45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0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32</w:t>
            </w:r>
          </w:p>
        </w:tc>
      </w:tr>
      <w:tr>
        <w:tc>
          <w:tcPr>
            <w:tcW w:type="dxa" w:w="25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Claimed leak size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0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63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48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55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34</w:t>
            </w:r>
          </w:p>
        </w:tc>
      </w:tr>
    </w:tbl>
    <w:p>
      <w:pPr>
        <w:pStyle w:val="Heading1"/>
      </w:pPr>
      <w:r>
        <w:rPr>
          <w:rFonts w:ascii="Arial" w:cs="Arial" w:eastAsia="Arial" w:hAnsi="Arial"/>
        </w:rPr>
        <w:t xml:space="preserve">Q1. Countries most targeted</w:t>
      </w:r>
    </w:p>
    <w:p>
      <w:pPr>
        <w:pStyle w:val="ListParagraph"/>
        <w:numPr>
          <w:ilvl w:val="0"/>
          <w:numId w:val="2"/>
        </w:numPr>
        <w:spacing w:after="40" w:line="252"/>
      </w:pPr>
      <w:r>
        <w:rPr>
          <w:rFonts w:ascii="Arial" w:cs="Arial" w:eastAsia="Arial" w:hAnsi="Arial"/>
          <w:sz w:val="22"/>
          <w:szCs w:val="22"/>
        </w:rPr>
        <w:t xml:space="preserve">Victims were located in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38 countries</w:t>
      </w:r>
      <w:r>
        <w:rPr>
          <w:rFonts w:ascii="Arial" w:cs="Arial" w:eastAsia="Arial" w:hAnsi="Arial"/>
          <w:sz w:val="22"/>
          <w:szCs w:val="22"/>
        </w:rPr>
        <w:t xml:space="preserve">; 11 victims (2.8%) have no identified country.</w:t>
      </w:r>
    </w:p>
    <w:p>
      <w:pPr>
        <w:pStyle w:val="ListParagraph"/>
        <w:numPr>
          <w:ilvl w:val="0"/>
          <w:numId w:val="2"/>
        </w:numPr>
        <w:spacing w:after="40" w:line="252"/>
      </w:pPr>
      <w:r>
        <w:rPr>
          <w:rFonts w:ascii="Arial" w:cs="Arial" w:eastAsia="Arial" w:hAnsi="Arial"/>
          <w:sz w:val="22"/>
          <w:szCs w:val="22"/>
        </w:rPr>
        <w:t xml:space="preserve">The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United States</w:t>
      </w:r>
      <w:r>
        <w:rPr>
          <w:rFonts w:ascii="Arial" w:cs="Arial" w:eastAsia="Arial" w:hAnsi="Arial"/>
          <w:sz w:val="22"/>
          <w:szCs w:val="22"/>
        </w:rPr>
        <w:t xml:space="preserve"> accounts for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262 victims (65.8%)</w:t>
      </w:r>
      <w:r>
        <w:rPr>
          <w:rFonts w:ascii="Arial" w:cs="Arial" w:eastAsia="Arial" w:hAnsi="Arial"/>
          <w:sz w:val="22"/>
          <w:szCs w:val="22"/>
        </w:rPr>
        <w:t xml:space="preserve">. The US and Canada together account for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291 victims (73.1%)</w:t>
      </w:r>
      <w:r>
        <w:rPr>
          <w:rFonts w:ascii="Arial" w:cs="Arial" w:eastAsia="Arial" w:hAnsi="Arial"/>
          <w:sz w:val="22"/>
          <w:szCs w:val="22"/>
        </w:rPr>
        <w:t xml:space="preserve">.</w:t>
      </w:r>
    </w:p>
    <w:p>
      <w:pPr>
        <w:pStyle w:val="ListParagraph"/>
        <w:numPr>
          <w:ilvl w:val="0"/>
          <w:numId w:val="2"/>
        </w:numPr>
        <w:spacing w:after="40" w:line="252"/>
      </w:pPr>
      <w:r>
        <w:rPr>
          <w:rFonts w:ascii="Arial" w:cs="Arial" w:eastAsia="Arial" w:hAnsi="Arial"/>
          <w:sz w:val="22"/>
          <w:szCs w:val="22"/>
        </w:rPr>
        <w:t xml:space="preserve">The next most targeted countries are Canada (29, 7.3%), the United Kingdom (21, 5.3%), Germany (9, 2.3%) and France (6, 1.5%).</w:t>
      </w:r>
    </w:p>
    <w:p>
      <w:pPr>
        <w:keepNext/>
        <w:keepLines/>
        <w:spacing w:after="40" w:before="60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Table 1. Top 12 countries (all groups)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26"/>
        <w:gridCol w:w="2500"/>
        <w:gridCol w:w="2500"/>
      </w:tblGrid>
      <w:tr>
        <w:trPr>
          <w:tblHeader/>
        </w:trPr>
        <w:tc>
          <w:tcPr>
            <w:tcW w:type="dxa" w:w="4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Country</w:t>
            </w:r>
          </w:p>
        </w:tc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Victims</w:t>
            </w:r>
          </w:p>
        </w:tc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% of 398</w:t>
            </w:r>
          </w:p>
        </w:tc>
      </w:tr>
      <w:tr>
        <w:tc>
          <w:tcPr>
            <w:tcW w:type="dxa" w:w="4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United States</w:t>
            </w:r>
          </w:p>
        </w:tc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262</w:t>
            </w:r>
          </w:p>
        </w:tc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65.8%</w:t>
            </w:r>
          </w:p>
        </w:tc>
      </w:tr>
      <w:tr>
        <w:tc>
          <w:tcPr>
            <w:tcW w:type="dxa" w:w="4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Canada</w:t>
            </w:r>
          </w:p>
        </w:tc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29</w:t>
            </w:r>
          </w:p>
        </w:tc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7.3%</w:t>
            </w:r>
          </w:p>
        </w:tc>
      </w:tr>
      <w:tr>
        <w:tc>
          <w:tcPr>
            <w:tcW w:type="dxa" w:w="4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United Kingdom</w:t>
            </w:r>
          </w:p>
        </w:tc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21</w:t>
            </w:r>
          </w:p>
        </w:tc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5.3%</w:t>
            </w:r>
          </w:p>
        </w:tc>
      </w:tr>
      <w:tr>
        <w:tc>
          <w:tcPr>
            <w:tcW w:type="dxa" w:w="4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Unknown</w:t>
            </w:r>
          </w:p>
        </w:tc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11</w:t>
            </w:r>
          </w:p>
        </w:tc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2.8%</w:t>
            </w:r>
          </w:p>
        </w:tc>
      </w:tr>
      <w:tr>
        <w:tc>
          <w:tcPr>
            <w:tcW w:type="dxa" w:w="4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Germany</w:t>
            </w:r>
          </w:p>
        </w:tc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9</w:t>
            </w:r>
          </w:p>
        </w:tc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2.3%</w:t>
            </w:r>
          </w:p>
        </w:tc>
      </w:tr>
      <w:tr>
        <w:tc>
          <w:tcPr>
            <w:tcW w:type="dxa" w:w="4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France</w:t>
            </w:r>
          </w:p>
        </w:tc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6</w:t>
            </w:r>
          </w:p>
        </w:tc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1.5%</w:t>
            </w:r>
          </w:p>
        </w:tc>
      </w:tr>
      <w:tr>
        <w:tc>
          <w:tcPr>
            <w:tcW w:type="dxa" w:w="4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Netherlands</w:t>
            </w:r>
          </w:p>
        </w:tc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5</w:t>
            </w:r>
          </w:p>
        </w:tc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1.3%</w:t>
            </w:r>
          </w:p>
        </w:tc>
      </w:tr>
      <w:tr>
        <w:tc>
          <w:tcPr>
            <w:tcW w:type="dxa" w:w="4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Australia</w:t>
            </w:r>
          </w:p>
        </w:tc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5</w:t>
            </w:r>
          </w:p>
        </w:tc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1.3%</w:t>
            </w:r>
          </w:p>
        </w:tc>
      </w:tr>
      <w:tr>
        <w:tc>
          <w:tcPr>
            <w:tcW w:type="dxa" w:w="4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Spain</w:t>
            </w:r>
          </w:p>
        </w:tc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5</w:t>
            </w:r>
          </w:p>
        </w:tc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1.3%</w:t>
            </w:r>
          </w:p>
        </w:tc>
      </w:tr>
      <w:tr>
        <w:tc>
          <w:tcPr>
            <w:tcW w:type="dxa" w:w="4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Malaysia</w:t>
            </w:r>
          </w:p>
        </w:tc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4</w:t>
            </w:r>
          </w:p>
        </w:tc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1.0%</w:t>
            </w:r>
          </w:p>
        </w:tc>
      </w:tr>
      <w:tr>
        <w:tc>
          <w:tcPr>
            <w:tcW w:type="dxa" w:w="4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Sweden</w:t>
            </w:r>
          </w:p>
        </w:tc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4</w:t>
            </w:r>
          </w:p>
        </w:tc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1.0%</w:t>
            </w:r>
          </w:p>
        </w:tc>
      </w:tr>
      <w:tr>
        <w:tc>
          <w:tcPr>
            <w:tcW w:type="dxa" w:w="4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Italy</w:t>
            </w:r>
          </w:p>
        </w:tc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3</w:t>
            </w:r>
          </w:p>
        </w:tc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0.8%</w:t>
            </w:r>
          </w:p>
        </w:tc>
      </w:tr>
    </w:tbl>
    <w:p>
      <w:pPr>
        <w:spacing w:after="80"/>
      </w:pPr>
    </w:p>
    <w:p>
      <w:pPr>
        <w:keepNext/>
        <w:keepLines/>
        <w:spacing w:after="40" w:before="60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Table 2. Country concentration by group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1700"/>
        <w:gridCol w:w="1500"/>
        <w:gridCol w:w="1200"/>
        <w:gridCol w:w="3226"/>
      </w:tblGrid>
      <w:tr>
        <w:trPr>
          <w:tblHeader/>
        </w:trPr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Group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US victims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US + Canada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Countries</w:t>
            </w:r>
          </w:p>
        </w:tc>
        <w:tc>
          <w:tcPr>
            <w:tcW w:type="dxa" w:w="32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Top non-US countries</w:t>
            </w:r>
          </w:p>
        </w:tc>
      </w:tr>
      <w:tr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Play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131 (78.4%)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88.0%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11</w:t>
            </w:r>
          </w:p>
        </w:tc>
        <w:tc>
          <w:tcPr>
            <w:tcW w:type="dxa" w:w="32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Canada 16, UK 7, Germany 4</w:t>
            </w:r>
          </w:p>
        </w:tc>
      </w:tr>
      <w:tr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SETTRA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43 (63.2%)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66.2%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17</w:t>
            </w:r>
          </w:p>
        </w:tc>
        <w:tc>
          <w:tcPr>
            <w:tcW w:type="dxa" w:w="32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UK 5, France 2, Australia 2</w:t>
            </w:r>
          </w:p>
        </w:tc>
      </w:tr>
      <w:tr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Anubis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34 (52.3%)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52.3%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15</w:t>
            </w:r>
          </w:p>
        </w:tc>
        <w:tc>
          <w:tcPr>
            <w:tcW w:type="dxa" w:w="32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UK 4, Germany 3 (8 unknown)</w:t>
            </w:r>
          </w:p>
        </w:tc>
      </w:tr>
      <w:tr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Chaos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41 (74.5%)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92.7%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4</w:t>
            </w:r>
          </w:p>
        </w:tc>
        <w:tc>
          <w:tcPr>
            <w:tcW w:type="dxa" w:w="32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Canada 10, UK 1, Taiwan 1</w:t>
            </w:r>
          </w:p>
        </w:tc>
      </w:tr>
      <w:tr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DireWolf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13 (30.2%)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32.6%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19</w:t>
            </w:r>
          </w:p>
        </w:tc>
        <w:tc>
          <w:tcPr>
            <w:tcW w:type="dxa" w:w="32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Malaysia 4, UK 4, Spain 3</w:t>
            </w:r>
          </w:p>
        </w:tc>
      </w:tr>
    </w:tbl>
    <w:p>
      <w:pPr>
        <w:pStyle w:val="Heading1"/>
      </w:pPr>
      <w:r>
        <w:rPr>
          <w:rFonts w:ascii="Arial" w:cs="Arial" w:eastAsia="Arial" w:hAnsi="Arial"/>
        </w:rPr>
        <w:t xml:space="preserve">Q2. Supporting data for why some countries are targeted more</w:t>
      </w:r>
    </w:p>
    <w:p>
      <w:pPr>
        <w:pStyle w:val="ListParagraph"/>
        <w:numPr>
          <w:ilvl w:val="0"/>
          <w:numId w:val="2"/>
        </w:numPr>
        <w:spacing w:after="40" w:line="252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DireWolf</w:t>
      </w:r>
      <w:r>
        <w:rPr>
          <w:rFonts w:ascii="Arial" w:cs="Arial" w:eastAsia="Arial" w:hAnsi="Arial"/>
          <w:sz w:val="22"/>
          <w:szCs w:val="22"/>
        </w:rPr>
        <w:t xml:space="preserve"> is the only group where US victims are a minority (30.2%); its victims span the most countries (19).</w:t>
      </w:r>
    </w:p>
    <w:p>
      <w:pPr>
        <w:pStyle w:val="ListParagraph"/>
        <w:numPr>
          <w:ilvl w:val="0"/>
          <w:numId w:val="2"/>
        </w:numPr>
        <w:spacing w:after="40" w:line="252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Chaos</w:t>
      </w:r>
      <w:r>
        <w:rPr>
          <w:rFonts w:ascii="Arial" w:cs="Arial" w:eastAsia="Arial" w:hAnsi="Arial"/>
          <w:sz w:val="22"/>
          <w:szCs w:val="22"/>
        </w:rPr>
        <w:t xml:space="preserve"> has the narrowest spread: 4 countries, with 92.7% of victims in the US or Canada.</w:t>
      </w:r>
    </w:p>
    <w:p>
      <w:pPr>
        <w:pStyle w:val="ListParagraph"/>
        <w:numPr>
          <w:ilvl w:val="0"/>
          <w:numId w:val="2"/>
        </w:numPr>
        <w:spacing w:after="40" w:line="252"/>
      </w:pPr>
      <w:r>
        <w:rPr>
          <w:rFonts w:ascii="Arial" w:cs="Arial" w:eastAsia="Arial" w:hAnsi="Arial"/>
          <w:sz w:val="22"/>
          <w:szCs w:val="22"/>
        </w:rPr>
        <w:t xml:space="preserve">Asia-Pacific victims (excluding Australia/NZ): 14 in total: Malaysia 4 (DireWolf), India 3 (DireWolf 2, SETTRA 1), South Korea 2 (Anubis), and 1 each in China (Anubis), Taiwan (Chaos), Thailand (DireWolf), Japan (SETTRA) and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Singapore (SETTRA)</w:t>
      </w:r>
      <w:r>
        <w:rPr>
          <w:rFonts w:ascii="Arial" w:cs="Arial" w:eastAsia="Arial" w:hAnsi="Arial"/>
          <w:sz w:val="22"/>
          <w:szCs w:val="22"/>
        </w:rPr>
        <w:t xml:space="preserve">.</w:t>
      </w:r>
    </w:p>
    <w:p>
      <w:pPr>
        <w:pStyle w:val="ListParagraph"/>
        <w:numPr>
          <w:ilvl w:val="0"/>
          <w:numId w:val="2"/>
        </w:numPr>
        <w:spacing w:after="40" w:line="252"/>
      </w:pPr>
      <w:r>
        <w:rPr>
          <w:rFonts w:ascii="Arial" w:cs="Arial" w:eastAsia="Arial" w:hAnsi="Arial"/>
          <w:sz w:val="22"/>
          <w:szCs w:val="22"/>
        </w:rPr>
        <w:t xml:space="preserve">Latin America: 10 victims (Colombia 2, Brazil 2, Chile, Peru, Argentina, Guatemala, Ecuador, Mexico).</w:t>
      </w:r>
    </w:p>
    <w:p>
      <w:pPr>
        <w:pStyle w:val="ListParagraph"/>
        <w:numPr>
          <w:ilvl w:val="0"/>
          <w:numId w:val="2"/>
        </w:numPr>
        <w:spacing w:after="40" w:line="252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No victims</w:t>
      </w:r>
      <w:r>
        <w:rPr>
          <w:rFonts w:ascii="Arial" w:cs="Arial" w:eastAsia="Arial" w:hAnsi="Arial"/>
          <w:sz w:val="22"/>
          <w:szCs w:val="22"/>
        </w:rPr>
        <w:t xml:space="preserve"> were located in Russia or any other CIS country.</w:t>
      </w:r>
    </w:p>
    <w:p>
      <w:pPr>
        <w:spacing w:after="100" w:line="252"/>
      </w:pPr>
      <w:r>
        <w:rPr>
          <w:rFonts w:ascii="Arial" w:cs="Arial" w:eastAsia="Arial" w:hAnsi="Arial"/>
          <w:sz w:val="22"/>
          <w:szCs w:val="22"/>
          <w:highlight w:val="yellow"/>
          <w:highlightCs w:val="yellow"/>
        </w:rPr>
        <w:t xml:space="preserve">Team to add: explanation of why (ability to pay, attack surface, regulation, language, CIS exclusion), with sources.</w:t>
      </w:r>
    </w:p>
    <w:p>
      <w:pPr>
        <w:pStyle w:val="Heading1"/>
      </w:pPr>
      <w:r>
        <w:rPr>
          <w:rFonts w:ascii="Arial" w:cs="Arial" w:eastAsia="Arial" w:hAnsi="Arial"/>
        </w:rPr>
        <w:t xml:space="preserve">Q3. Most prolific group</w:t>
      </w:r>
    </w:p>
    <w:p>
      <w:pPr>
        <w:pStyle w:val="ListParagraph"/>
        <w:numPr>
          <w:ilvl w:val="0"/>
          <w:numId w:val="2"/>
        </w:numPr>
        <w:spacing w:after="40" w:line="252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Play</w:t>
      </w:r>
      <w:r>
        <w:rPr>
          <w:rFonts w:ascii="Arial" w:cs="Arial" w:eastAsia="Arial" w:hAnsi="Arial"/>
          <w:sz w:val="22"/>
          <w:szCs w:val="22"/>
        </w:rPr>
        <w:t xml:space="preserve"> posted the most victims: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167 (42.0%)</w:t>
      </w:r>
      <w:r>
        <w:rPr>
          <w:rFonts w:ascii="Arial" w:cs="Arial" w:eastAsia="Arial" w:hAnsi="Arial"/>
          <w:sz w:val="22"/>
          <w:szCs w:val="22"/>
        </w:rPr>
        <w:t xml:space="preserve">, more than SETTRA and Anubis combined (133).</w:t>
      </w:r>
    </w:p>
    <w:p>
      <w:pPr>
        <w:pStyle w:val="ListParagraph"/>
        <w:numPr>
          <w:ilvl w:val="0"/>
          <w:numId w:val="2"/>
        </w:numPr>
        <w:spacing w:after="40" w:line="252"/>
      </w:pPr>
      <w:r>
        <w:rPr>
          <w:rFonts w:ascii="Arial" w:cs="Arial" w:eastAsia="Arial" w:hAnsi="Arial"/>
          <w:sz w:val="22"/>
          <w:szCs w:val="22"/>
        </w:rPr>
        <w:t xml:space="preserve">SETTRA was only active from June. Per active month, SETTRA (17.0 victims/month over 4 months) is close to Play (18.6/month over 9 months).</w:t>
      </w:r>
    </w:p>
    <w:p>
      <w:pPr>
        <w:pStyle w:val="ListParagraph"/>
        <w:numPr>
          <w:ilvl w:val="0"/>
          <w:numId w:val="2"/>
        </w:numPr>
        <w:spacing w:after="40" w:line="252"/>
      </w:pPr>
      <w:r>
        <w:rPr>
          <w:rFonts w:ascii="Arial" w:cs="Arial" w:eastAsia="Arial" w:hAnsi="Arial"/>
          <w:sz w:val="22"/>
          <w:szCs w:val="22"/>
        </w:rPr>
        <w:t xml:space="preserve">Play and Anubis both posted new victims in 32 of the 39 weeks; Chaos in 26; SETTRA in 11; DireWolf in 8.</w:t>
      </w:r>
    </w:p>
    <w:p>
      <w:pPr>
        <w:keepNext/>
        <w:keepLines/>
        <w:spacing w:after="40" w:before="60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Table 3. Activity and volume measures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26"/>
        <w:gridCol w:w="1200"/>
        <w:gridCol w:w="1300"/>
        <w:gridCol w:w="1200"/>
        <w:gridCol w:w="1200"/>
        <w:gridCol w:w="1300"/>
      </w:tblGrid>
      <w:tr>
        <w:trPr>
          <w:tblHeader/>
        </w:trPr>
        <w:tc>
          <w:tcPr>
            <w:tcW w:type="dxa" w:w="28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Measure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Play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SETTRA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Anubis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Chaos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DireWolf</w:t>
            </w:r>
          </w:p>
        </w:tc>
      </w:tr>
      <w:tr>
        <w:tc>
          <w:tcPr>
            <w:tcW w:type="dxa" w:w="28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Victims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167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68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65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55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43</w:t>
            </w:r>
          </w:p>
        </w:tc>
      </w:tr>
      <w:tr>
        <w:tc>
          <w:tcPr>
            <w:tcW w:type="dxa" w:w="28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Months with posts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9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4 (Jun–Sep)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9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9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4 (Jan, Jun, Aug, Sep)</w:t>
            </w:r>
          </w:p>
        </w:tc>
      </w:tr>
      <w:tr>
        <w:tc>
          <w:tcPr>
            <w:tcW w:type="dxa" w:w="28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Victims per active month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18.6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17.0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7.2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6.1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10.8</w:t>
            </w:r>
          </w:p>
        </w:tc>
      </w:tr>
      <w:tr>
        <w:tc>
          <w:tcPr>
            <w:tcW w:type="dxa" w:w="28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Posting days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58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21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52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41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12</w:t>
            </w:r>
          </w:p>
        </w:tc>
      </w:tr>
      <w:tr>
        <w:tc>
          <w:tcPr>
            <w:tcW w:type="dxa" w:w="28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Avg victims per posting day (max)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2.9 (9)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3.2 (9)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1.3 (3)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1.3 (4)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3.6 (7)</w:t>
            </w:r>
          </w:p>
        </w:tc>
      </w:tr>
      <w:tr>
        <w:tc>
          <w:tcPr>
            <w:tcW w:type="dxa" w:w="28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Weeks with posts (of 39)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32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11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32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26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8</w:t>
            </w:r>
          </w:p>
        </w:tc>
      </w:tr>
      <w:tr>
        <w:tc>
          <w:tcPr>
            <w:tcW w:type="dxa" w:w="28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Median claimed leak size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not disclosed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144 GB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199 GB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400 GB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66 GB</w:t>
            </w:r>
          </w:p>
        </w:tc>
      </w:tr>
      <w:tr>
        <w:tc>
          <w:tcPr>
            <w:tcW w:type="dxa" w:w="28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Total claimed data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not disclosed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21.3 TB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19.1 TB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28.2 TB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6.7 TB</w:t>
            </w:r>
          </w:p>
        </w:tc>
      </w:tr>
      <w:tr>
        <w:tc>
          <w:tcPr>
            <w:tcW w:type="dxa" w:w="28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Largest single claim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not disclosed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3.2 TB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3.6 TB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3.2 TB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1.15 TB</w:t>
            </w:r>
          </w:p>
        </w:tc>
      </w:tr>
      <w:tr>
        <w:tc>
          <w:tcPr>
            <w:tcW w:type="dxa" w:w="28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Posts on countdown at snapshot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0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7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0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41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0</w:t>
            </w:r>
          </w:p>
        </w:tc>
      </w:tr>
    </w:tbl>
    <w:p>
      <w:pPr>
        <w:spacing w:after="80"/>
      </w:pPr>
    </w:p>
    <w:p>
      <w:pPr>
        <w:keepNext/>
        <w:keepLines/>
        <w:spacing w:after="40" w:before="60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Table 4. Victims per month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26"/>
        <w:gridCol w:w="1200"/>
        <w:gridCol w:w="1200"/>
        <w:gridCol w:w="1200"/>
        <w:gridCol w:w="1200"/>
        <w:gridCol w:w="1200"/>
        <w:gridCol w:w="1500"/>
      </w:tblGrid>
      <w:tr>
        <w:trPr>
          <w:tblHeader/>
        </w:trPr>
        <w:tc>
          <w:tcPr>
            <w:tcW w:type="dxa" w:w="15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Month (2026)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Play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SETTRA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Anubis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Chaos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DireWolf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Total</w:t>
            </w:r>
          </w:p>
        </w:tc>
      </w:tr>
      <w:tr>
        <w:tc>
          <w:tcPr>
            <w:tcW w:type="dxa" w:w="15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Jan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17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0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4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2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12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35</w:t>
            </w:r>
          </w:p>
        </w:tc>
      </w:tr>
      <w:tr>
        <w:tc>
          <w:tcPr>
            <w:tcW w:type="dxa" w:w="15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Feb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36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0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11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3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0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50</w:t>
            </w:r>
          </w:p>
        </w:tc>
      </w:tr>
      <w:tr>
        <w:tc>
          <w:tcPr>
            <w:tcW w:type="dxa" w:w="15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Mar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41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0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8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6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0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55</w:t>
            </w:r>
          </w:p>
        </w:tc>
      </w:tr>
      <w:tr>
        <w:tc>
          <w:tcPr>
            <w:tcW w:type="dxa" w:w="15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Apr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2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0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8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3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0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13</w:t>
            </w:r>
          </w:p>
        </w:tc>
      </w:tr>
      <w:tr>
        <w:tc>
          <w:tcPr>
            <w:tcW w:type="dxa" w:w="15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May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17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0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3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8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0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28</w:t>
            </w:r>
          </w:p>
        </w:tc>
      </w:tr>
      <w:tr>
        <w:tc>
          <w:tcPr>
            <w:tcW w:type="dxa" w:w="15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Jun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13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17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9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5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4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48</w:t>
            </w:r>
          </w:p>
        </w:tc>
      </w:tr>
      <w:tr>
        <w:tc>
          <w:tcPr>
            <w:tcW w:type="dxa" w:w="15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Jul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15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8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9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14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0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46</w:t>
            </w:r>
          </w:p>
        </w:tc>
      </w:tr>
      <w:tr>
        <w:tc>
          <w:tcPr>
            <w:tcW w:type="dxa" w:w="15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Aug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17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22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7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6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23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75</w:t>
            </w:r>
          </w:p>
        </w:tc>
      </w:tr>
      <w:tr>
        <w:tc>
          <w:tcPr>
            <w:tcW w:type="dxa" w:w="15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Sep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9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21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6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8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4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48</w:t>
            </w:r>
          </w:p>
        </w:tc>
      </w:tr>
    </w:tbl>
    <w:p>
      <w:pPr>
        <w:spacing w:after="80"/>
      </w:pPr>
    </w:p>
    <w:p>
      <w:pPr>
        <w:pStyle w:val="ListParagraph"/>
        <w:numPr>
          <w:ilvl w:val="0"/>
          <w:numId w:val="2"/>
        </w:numPr>
        <w:spacing w:after="40" w:line="252"/>
      </w:pPr>
      <w:r>
        <w:rPr>
          <w:rFonts w:ascii="Arial" w:cs="Arial" w:eastAsia="Arial" w:hAnsi="Arial"/>
          <w:sz w:val="22"/>
          <w:szCs w:val="22"/>
        </w:rPr>
        <w:t xml:space="preserve">Peak months: Play in March (41), SETTRA in August (22), Chaos in July (14), Anubis in February (11), DireWolf in August (23).</w:t>
      </w:r>
    </w:p>
    <w:p>
      <w:pPr>
        <w:pStyle w:val="ListParagraph"/>
        <w:numPr>
          <w:ilvl w:val="0"/>
          <w:numId w:val="2"/>
        </w:numPr>
        <w:spacing w:after="40" w:line="252"/>
      </w:pPr>
      <w:r>
        <w:rPr>
          <w:rFonts w:ascii="Arial" w:cs="Arial" w:eastAsia="Arial" w:hAnsi="Arial"/>
          <w:sz w:val="22"/>
          <w:szCs w:val="22"/>
        </w:rPr>
        <w:t xml:space="preserve">DireWolf posted in bursts: 12 victims in January, none February to May, then 23 in August.</w:t>
      </w:r>
    </w:p>
    <w:p>
      <w:pPr>
        <w:pStyle w:val="ListParagraph"/>
        <w:numPr>
          <w:ilvl w:val="0"/>
          <w:numId w:val="2"/>
        </w:numPr>
        <w:spacing w:after="40" w:line="252"/>
      </w:pPr>
      <w:r>
        <w:rPr>
          <w:rFonts w:ascii="Arial" w:cs="Arial" w:eastAsia="Arial" w:hAnsi="Arial"/>
          <w:sz w:val="22"/>
          <w:szCs w:val="22"/>
        </w:rPr>
        <w:t xml:space="preserve">Play recorded 2 victims in April compared with 17 to 41 in the surrounding months. </w:t>
      </w:r>
      <w:r>
        <w:rPr>
          <w:rFonts w:ascii="Arial" w:cs="Arial" w:eastAsia="Arial" w:hAnsi="Arial"/>
          <w:sz w:val="22"/>
          <w:szCs w:val="22"/>
          <w:highlight w:val="yellow"/>
          <w:highlightCs w:val="yellow"/>
        </w:rPr>
        <w:t xml:space="preserve">Verify whether this is a scraping gap.</w:t>
      </w:r>
    </w:p>
    <w:p>
      <w:pPr>
        <w:pStyle w:val="Heading1"/>
      </w:pPr>
      <w:r>
        <w:rPr>
          <w:rFonts w:ascii="Arial" w:cs="Arial" w:eastAsia="Arial" w:hAnsi="Arial"/>
        </w:rPr>
        <w:t xml:space="preserve">Q4. TTPs</w:t>
      </w:r>
    </w:p>
    <w:p>
      <w:pPr>
        <w:spacing w:after="100" w:line="252"/>
      </w:pPr>
      <w:r>
        <w:rPr>
          <w:rFonts w:ascii="Arial" w:cs="Arial" w:eastAsia="Arial" w:hAnsi="Arial"/>
          <w:sz w:val="22"/>
          <w:szCs w:val="22"/>
        </w:rPr>
        <w:t xml:space="preserve">DLS posts do not describe attack methods, so this question relies on external threat reports. </w:t>
      </w:r>
      <w:r>
        <w:rPr>
          <w:rFonts w:ascii="Arial" w:cs="Arial" w:eastAsia="Arial" w:hAnsi="Arial"/>
          <w:sz w:val="22"/>
          <w:szCs w:val="22"/>
          <w:highlight w:val="yellow"/>
          <w:highlightCs w:val="yellow"/>
        </w:rPr>
        <w:t xml:space="preserve">Team to add: TTP comparison using CISA AA23-352A (Play), Trend Micro (Anubis), Cisco Talos (Chaos), CSA AL-2025-082 (Dire Wolf), MOXFIVE / Proven Data (SETTRA), and CSA AD-2026-006 / AD-2026-007.</w:t>
      </w:r>
    </w:p>
    <w:p>
      <w:pPr>
        <w:pStyle w:val="Heading1"/>
      </w:pPr>
      <w:r>
        <w:rPr>
          <w:rFonts w:ascii="Arial" w:cs="Arial" w:eastAsia="Arial" w:hAnsi="Arial"/>
        </w:rPr>
        <w:t xml:space="preserve">Q5. Re-branded or repurposed leaks</w:t>
      </w:r>
    </w:p>
    <w:p>
      <w:pPr>
        <w:pStyle w:val="ListParagraph"/>
        <w:numPr>
          <w:ilvl w:val="0"/>
          <w:numId w:val="2"/>
        </w:numPr>
        <w:spacing w:after="40" w:line="252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No victim was posted by more than one group.</w:t>
      </w:r>
      <w:r>
        <w:rPr>
          <w:rFonts w:ascii="Arial" w:cs="Arial" w:eastAsia="Arial" w:hAnsi="Arial"/>
          <w:sz w:val="22"/>
          <w:szCs w:val="22"/>
        </w:rPr>
        <w:t xml:space="preserve"> Checked by matching domains and normalised victim names across all 398 records.</w:t>
      </w:r>
    </w:p>
    <w:p>
      <w:pPr>
        <w:pStyle w:val="ListParagraph"/>
        <w:numPr>
          <w:ilvl w:val="0"/>
          <w:numId w:val="2"/>
        </w:numPr>
        <w:spacing w:after="40" w:line="252"/>
      </w:pPr>
      <w:r>
        <w:rPr>
          <w:rFonts w:ascii="Arial" w:cs="Arial" w:eastAsia="Arial" w:hAnsi="Arial"/>
          <w:sz w:val="22"/>
          <w:szCs w:val="22"/>
        </w:rPr>
        <w:t xml:space="preserve">No group posted the same victim twice under the same name or domain.</w:t>
      </w:r>
    </w:p>
    <w:p>
      <w:pPr>
        <w:pStyle w:val="ListParagraph"/>
        <w:numPr>
          <w:ilvl w:val="0"/>
          <w:numId w:val="2"/>
        </w:numPr>
        <w:spacing w:after="40" w:line="252"/>
      </w:pPr>
      <w:r>
        <w:rPr>
          <w:rFonts w:ascii="Arial" w:cs="Arial" w:eastAsia="Arial" w:hAnsi="Arial"/>
          <w:sz w:val="22"/>
          <w:szCs w:val="22"/>
        </w:rPr>
        <w:t xml:space="preserve">One victim was explicitly re-posted: Anubis listed a New Zealand law firm as "Part 2" on 9 February 2026 (1 of 398 records, 0.3%).</w:t>
      </w:r>
    </w:p>
    <w:p>
      <w:pPr>
        <w:spacing w:after="100" w:line="252"/>
      </w:pPr>
      <w:r>
        <w:rPr>
          <w:rFonts w:ascii="Arial" w:cs="Arial" w:eastAsia="Arial" w:hAnsi="Arial"/>
          <w:sz w:val="22"/>
          <w:szCs w:val="22"/>
          <w:highlight w:val="yellow"/>
          <w:highlightCs w:val="yellow"/>
        </w:rPr>
        <w:t xml:space="preserve">Team to add: comparison against earlier public breaches (e.g. ransomlook) and group-level rebranding history from sources.</w:t>
      </w:r>
    </w:p>
    <w:p>
      <w:pPr>
        <w:pStyle w:val="Heading1"/>
      </w:pPr>
      <w:r>
        <w:rPr>
          <w:rFonts w:ascii="Arial" w:cs="Arial" w:eastAsia="Arial" w:hAnsi="Arial"/>
        </w:rPr>
        <w:t xml:space="preserve">Q6. Company size and revenue</w:t>
      </w:r>
    </w:p>
    <w:p>
      <w:pPr>
        <w:pStyle w:val="ListParagraph"/>
        <w:numPr>
          <w:ilvl w:val="0"/>
          <w:numId w:val="2"/>
        </w:numPr>
        <w:spacing w:after="40" w:line="252"/>
      </w:pPr>
      <w:r>
        <w:rPr>
          <w:rFonts w:ascii="Arial" w:cs="Arial" w:eastAsia="Arial" w:hAnsi="Arial"/>
          <w:sz w:val="22"/>
          <w:szCs w:val="22"/>
        </w:rPr>
        <w:t xml:space="preserve">Revenue is only available for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SETTRA's 68 victims</w:t>
      </w:r>
      <w:r>
        <w:rPr>
          <w:rFonts w:ascii="Arial" w:cs="Arial" w:eastAsia="Arial" w:hAnsi="Arial"/>
          <w:sz w:val="22"/>
          <w:szCs w:val="22"/>
        </w:rPr>
        <w:t xml:space="preserve"> (taken from SETTRA's own posts). None of the other four DLS publish revenue. Employee counts are available for 3 victims only.</w:t>
      </w:r>
    </w:p>
    <w:p>
      <w:pPr>
        <w:keepNext/>
        <w:keepLines/>
        <w:spacing w:after="40" w:before="60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Table 5. SETTRA victims by revenue band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26"/>
        <w:gridCol w:w="2000"/>
        <w:gridCol w:w="2000"/>
        <w:gridCol w:w="2300"/>
      </w:tblGrid>
      <w:tr>
        <w:trPr>
          <w:tblHeader/>
        </w:trPr>
        <w:tc>
          <w:tcPr>
            <w:tcW w:type="dxa" w:w="27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Revenue band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Victims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% of 68</w:t>
            </w:r>
          </w:p>
        </w:tc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Median claimed leak size</w:t>
            </w:r>
          </w:p>
        </w:tc>
      </w:tr>
      <w:tr>
        <w:tc>
          <w:tcPr>
            <w:tcW w:type="dxa" w:w="27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&lt; $10M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25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36.8%</w:t>
            </w:r>
          </w:p>
        </w:tc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68 GB</w:t>
            </w:r>
          </w:p>
        </w:tc>
      </w:tr>
      <w:tr>
        <w:tc>
          <w:tcPr>
            <w:tcW w:type="dxa" w:w="27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$10M – $50M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23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33.8%</w:t>
            </w:r>
          </w:p>
        </w:tc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150 GB</w:t>
            </w:r>
          </w:p>
        </w:tc>
      </w:tr>
      <w:tr>
        <w:tc>
          <w:tcPr>
            <w:tcW w:type="dxa" w:w="27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$50M – $250M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14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20.6%</w:t>
            </w:r>
          </w:p>
        </w:tc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255 GB</w:t>
            </w:r>
          </w:p>
        </w:tc>
      </w:tr>
      <w:tr>
        <w:tc>
          <w:tcPr>
            <w:tcW w:type="dxa" w:w="27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$250M – $1B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4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5.9%</w:t>
            </w:r>
          </w:p>
        </w:tc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700 GB</w:t>
            </w:r>
          </w:p>
        </w:tc>
      </w:tr>
      <w:tr>
        <w:tc>
          <w:tcPr>
            <w:tcW w:type="dxa" w:w="27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&gt; $1B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2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2.9%</w:t>
            </w:r>
          </w:p>
        </w:tc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2,285 GB</w:t>
            </w:r>
          </w:p>
        </w:tc>
      </w:tr>
    </w:tbl>
    <w:p>
      <w:pPr>
        <w:spacing w:after="80"/>
      </w:pPr>
    </w:p>
    <w:p>
      <w:pPr>
        <w:pStyle w:val="ListParagraph"/>
        <w:numPr>
          <w:ilvl w:val="0"/>
          <w:numId w:val="2"/>
        </w:numPr>
        <w:spacing w:after="40" w:line="252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70.6%</w:t>
      </w:r>
      <w:r>
        <w:rPr>
          <w:rFonts w:ascii="Arial" w:cs="Arial" w:eastAsia="Arial" w:hAnsi="Arial"/>
          <w:sz w:val="22"/>
          <w:szCs w:val="22"/>
        </w:rPr>
        <w:t xml:space="preserve"> of SETTRA victims reported revenue under US$50M;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8.8%</w:t>
      </w:r>
      <w:r>
        <w:rPr>
          <w:rFonts w:ascii="Arial" w:cs="Arial" w:eastAsia="Arial" w:hAnsi="Arial"/>
          <w:sz w:val="22"/>
          <w:szCs w:val="22"/>
        </w:rPr>
        <w:t xml:space="preserve"> above US$250M.</w:t>
      </w:r>
    </w:p>
    <w:p>
      <w:pPr>
        <w:pStyle w:val="ListParagraph"/>
        <w:numPr>
          <w:ilvl w:val="0"/>
          <w:numId w:val="2"/>
        </w:numPr>
        <w:spacing w:after="40" w:line="252"/>
      </w:pPr>
      <w:r>
        <w:rPr>
          <w:rFonts w:ascii="Arial" w:cs="Arial" w:eastAsia="Arial" w:hAnsi="Arial"/>
          <w:sz w:val="22"/>
          <w:szCs w:val="22"/>
        </w:rPr>
        <w:t xml:space="preserve">Median claimed leak size rises with each revenue band, from 68 GB (&lt; $10M) to 2,285 GB (&gt; $1B).</w:t>
      </w:r>
    </w:p>
    <w:p>
      <w:pPr>
        <w:pStyle w:val="ListParagraph"/>
        <w:numPr>
          <w:ilvl w:val="0"/>
          <w:numId w:val="2"/>
        </w:numPr>
        <w:spacing w:after="40" w:line="252"/>
      </w:pPr>
      <w:r>
        <w:rPr>
          <w:rFonts w:ascii="Arial" w:cs="Arial" w:eastAsia="Arial" w:hAnsi="Arial"/>
          <w:sz w:val="22"/>
          <w:szCs w:val="22"/>
        </w:rPr>
        <w:t xml:space="preserve">Financial Services &amp; Insurance accounts for 11 of the 25 victims under $10M.</w:t>
      </w:r>
    </w:p>
    <w:p>
      <w:pPr>
        <w:spacing w:after="100" w:line="252"/>
      </w:pPr>
      <w:r>
        <w:rPr>
          <w:rFonts w:ascii="Arial" w:cs="Arial" w:eastAsia="Arial" w:hAnsi="Arial"/>
          <w:sz w:val="22"/>
          <w:szCs w:val="22"/>
          <w:highlight w:val="yellow"/>
          <w:highlightCs w:val="yellow"/>
        </w:rPr>
        <w:t xml:space="preserve">Team to add: revenue for the other four groups if looked up, plus interpretation.</w:t>
      </w:r>
    </w:p>
    <w:p>
      <w:pPr>
        <w:pStyle w:val="Heading1"/>
      </w:pPr>
      <w:r>
        <w:rPr>
          <w:rFonts w:ascii="Arial" w:cs="Arial" w:eastAsia="Arial" w:hAnsi="Arial"/>
        </w:rPr>
        <w:t xml:space="preserve">Q7. Industries targeted</w:t>
      </w:r>
    </w:p>
    <w:p>
      <w:pPr>
        <w:pStyle w:val="ListParagraph"/>
        <w:numPr>
          <w:ilvl w:val="0"/>
          <w:numId w:val="2"/>
        </w:numPr>
        <w:spacing w:after="40" w:line="252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Manufacturing</w:t>
      </w:r>
      <w:r>
        <w:rPr>
          <w:rFonts w:ascii="Arial" w:cs="Arial" w:eastAsia="Arial" w:hAnsi="Arial"/>
          <w:sz w:val="22"/>
          <w:szCs w:val="22"/>
        </w:rPr>
        <w:t xml:space="preserve"> is the most targeted industry: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72 victims (18.1%)</w:t>
      </w:r>
      <w:r>
        <w:rPr>
          <w:rFonts w:ascii="Arial" w:cs="Arial" w:eastAsia="Arial" w:hAnsi="Arial"/>
          <w:sz w:val="22"/>
          <w:szCs w:val="22"/>
        </w:rPr>
        <w:t xml:space="preserve">, followed by Construction &amp; Engineering (50, 12.6%), Financial Services &amp; Insurance (39, 9.8%) and Healthcare &amp; Pharma (37, 9.3%).</w:t>
      </w:r>
    </w:p>
    <w:p>
      <w:pPr>
        <w:pStyle w:val="ListParagraph"/>
        <w:numPr>
          <w:ilvl w:val="0"/>
          <w:numId w:val="2"/>
        </w:numPr>
        <w:spacing w:after="40" w:line="252"/>
      </w:pPr>
      <w:r>
        <w:rPr>
          <w:rFonts w:ascii="Arial" w:cs="Arial" w:eastAsia="Arial" w:hAnsi="Arial"/>
          <w:sz w:val="22"/>
          <w:szCs w:val="22"/>
        </w:rPr>
        <w:t xml:space="preserve">16 victims (4.0%) have no identified industry (Play 13, DireWolf 3).</w:t>
      </w:r>
    </w:p>
    <w:p>
      <w:pPr>
        <w:pStyle w:val="ListParagraph"/>
        <w:numPr>
          <w:ilvl w:val="0"/>
          <w:numId w:val="2"/>
        </w:numPr>
        <w:spacing w:after="40" w:line="252"/>
      </w:pPr>
      <w:r>
        <w:rPr>
          <w:rFonts w:ascii="Arial" w:cs="Arial" w:eastAsia="Arial" w:hAnsi="Arial"/>
          <w:sz w:val="22"/>
          <w:szCs w:val="22"/>
        </w:rPr>
        <w:t xml:space="preserve">Each group's largest industry differs: Play: Construction &amp; Engineering (22%); SETTRA: Financial Services &amp; Insurance (35%); Anubis: Healthcare &amp; Pharma (26%); Chaos: Manufacturing (31%); DireWolf: Technology &amp; Telecom (16%).</w:t>
      </w:r>
    </w:p>
    <w:p>
      <w:pPr>
        <w:pStyle w:val="ListParagraph"/>
        <w:numPr>
          <w:ilvl w:val="0"/>
          <w:numId w:val="2"/>
        </w:numPr>
        <w:spacing w:after="40" w:line="252"/>
      </w:pPr>
      <w:r>
        <w:rPr>
          <w:rFonts w:ascii="Arial" w:cs="Arial" w:eastAsia="Arial" w:hAnsi="Arial"/>
          <w:sz w:val="22"/>
          <w:szCs w:val="22"/>
        </w:rPr>
        <w:t xml:space="preserve">Healthcare is 26% of Anubis victims, 18% of Chaos, 14% of DireWolf, 3% of SETTRA and 1% of Play.</w:t>
      </w:r>
    </w:p>
    <w:p>
      <w:pPr>
        <w:pStyle w:val="ListParagraph"/>
        <w:numPr>
          <w:ilvl w:val="0"/>
          <w:numId w:val="2"/>
        </w:numPr>
        <w:spacing w:after="40" w:line="252"/>
      </w:pPr>
      <w:r>
        <w:rPr>
          <w:rFonts w:ascii="Arial" w:cs="Arial" w:eastAsia="Arial" w:hAnsi="Arial"/>
          <w:sz w:val="22"/>
          <w:szCs w:val="22"/>
        </w:rPr>
        <w:t xml:space="preserve">Financial Services is 35% of SETTRA victims and 9% or less for every other group.</w:t>
      </w:r>
    </w:p>
    <w:p>
      <w:pPr>
        <w:keepNext/>
        <w:keepLines/>
        <w:spacing w:after="40" w:before="60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Table 6. Victims by industry and group (count, % of that group's victims)</w:t>
      </w:r>
    </w:p>
    <w:tbl>
      <w:tblPr>
        <w:tblW w:type="dxa" w:w="897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26"/>
        <w:gridCol w:w="1050"/>
        <w:gridCol w:w="1050"/>
        <w:gridCol w:w="1050"/>
        <w:gridCol w:w="1050"/>
        <w:gridCol w:w="1050"/>
        <w:gridCol w:w="1200"/>
      </w:tblGrid>
      <w:tr>
        <w:trPr>
          <w:tblHeader/>
        </w:trPr>
        <w:tc>
          <w:tcPr>
            <w:tcW w:type="dxa" w:w="25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Industry</w:t>
            </w:r>
          </w:p>
        </w:tc>
        <w:tc>
          <w:tcPr>
            <w:tcW w:type="dxa" w:w="10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Play</w:t>
            </w:r>
          </w:p>
        </w:tc>
        <w:tc>
          <w:tcPr>
            <w:tcW w:type="dxa" w:w="10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SETTRA</w:t>
            </w:r>
          </w:p>
        </w:tc>
        <w:tc>
          <w:tcPr>
            <w:tcW w:type="dxa" w:w="10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Anubis</w:t>
            </w:r>
          </w:p>
        </w:tc>
        <w:tc>
          <w:tcPr>
            <w:tcW w:type="dxa" w:w="10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Chaos</w:t>
            </w:r>
          </w:p>
        </w:tc>
        <w:tc>
          <w:tcPr>
            <w:tcW w:type="dxa" w:w="10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DireWolf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Total</w:t>
            </w:r>
          </w:p>
        </w:tc>
      </w:tr>
      <w:tr>
        <w:tc>
          <w:tcPr>
            <w:tcW w:type="dxa" w:w="25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Manufacturing</w:t>
            </w:r>
          </w:p>
        </w:tc>
        <w:tc>
          <w:tcPr>
            <w:tcW w:type="dxa" w:w="10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32 (19%)</w:t>
            </w:r>
          </w:p>
        </w:tc>
        <w:tc>
          <w:tcPr>
            <w:tcW w:type="dxa" w:w="10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10 (15%)</w:t>
            </w:r>
          </w:p>
        </w:tc>
        <w:tc>
          <w:tcPr>
            <w:tcW w:type="dxa" w:w="10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7 (11%)</w:t>
            </w:r>
          </w:p>
        </w:tc>
        <w:tc>
          <w:tcPr>
            <w:tcW w:type="dxa" w:w="10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17 (31%)</w:t>
            </w:r>
          </w:p>
        </w:tc>
        <w:tc>
          <w:tcPr>
            <w:tcW w:type="dxa" w:w="10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6 (14%)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72 (18.1%)</w:t>
            </w:r>
          </w:p>
        </w:tc>
      </w:tr>
      <w:tr>
        <w:tc>
          <w:tcPr>
            <w:tcW w:type="dxa" w:w="25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Construction &amp; Engineering</w:t>
            </w:r>
          </w:p>
        </w:tc>
        <w:tc>
          <w:tcPr>
            <w:tcW w:type="dxa" w:w="10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36 (22%)</w:t>
            </w:r>
          </w:p>
        </w:tc>
        <w:tc>
          <w:tcPr>
            <w:tcW w:type="dxa" w:w="10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0 (0%)</w:t>
            </w:r>
          </w:p>
        </w:tc>
        <w:tc>
          <w:tcPr>
            <w:tcW w:type="dxa" w:w="10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6 (9%)</w:t>
            </w:r>
          </w:p>
        </w:tc>
        <w:tc>
          <w:tcPr>
            <w:tcW w:type="dxa" w:w="10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6 (11%)</w:t>
            </w:r>
          </w:p>
        </w:tc>
        <w:tc>
          <w:tcPr>
            <w:tcW w:type="dxa" w:w="10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2 (5%)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50 (12.6%)</w:t>
            </w:r>
          </w:p>
        </w:tc>
      </w:tr>
      <w:tr>
        <w:tc>
          <w:tcPr>
            <w:tcW w:type="dxa" w:w="25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Financial Services &amp; Insurance</w:t>
            </w:r>
          </w:p>
        </w:tc>
        <w:tc>
          <w:tcPr>
            <w:tcW w:type="dxa" w:w="10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5 (3%)</w:t>
            </w:r>
          </w:p>
        </w:tc>
        <w:tc>
          <w:tcPr>
            <w:tcW w:type="dxa" w:w="10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24 (35%)</w:t>
            </w:r>
          </w:p>
        </w:tc>
        <w:tc>
          <w:tcPr>
            <w:tcW w:type="dxa" w:w="10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6 (9%)</w:t>
            </w:r>
          </w:p>
        </w:tc>
        <w:tc>
          <w:tcPr>
            <w:tcW w:type="dxa" w:w="10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1 (2%)</w:t>
            </w:r>
          </w:p>
        </w:tc>
        <w:tc>
          <w:tcPr>
            <w:tcW w:type="dxa" w:w="10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3 (7%)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39 (9.8%)</w:t>
            </w:r>
          </w:p>
        </w:tc>
      </w:tr>
      <w:tr>
        <w:tc>
          <w:tcPr>
            <w:tcW w:type="dxa" w:w="25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Healthcare &amp; Pharma</w:t>
            </w:r>
          </w:p>
        </w:tc>
        <w:tc>
          <w:tcPr>
            <w:tcW w:type="dxa" w:w="10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2 (1%)</w:t>
            </w:r>
          </w:p>
        </w:tc>
        <w:tc>
          <w:tcPr>
            <w:tcW w:type="dxa" w:w="10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2 (3%)</w:t>
            </w:r>
          </w:p>
        </w:tc>
        <w:tc>
          <w:tcPr>
            <w:tcW w:type="dxa" w:w="10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17 (26%)</w:t>
            </w:r>
          </w:p>
        </w:tc>
        <w:tc>
          <w:tcPr>
            <w:tcW w:type="dxa" w:w="10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10 (18%)</w:t>
            </w:r>
          </w:p>
        </w:tc>
        <w:tc>
          <w:tcPr>
            <w:tcW w:type="dxa" w:w="10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6 (14%)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37 (9.3%)</w:t>
            </w:r>
          </w:p>
        </w:tc>
      </w:tr>
      <w:tr>
        <w:tc>
          <w:tcPr>
            <w:tcW w:type="dxa" w:w="25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Technology &amp; Telecom</w:t>
            </w:r>
          </w:p>
        </w:tc>
        <w:tc>
          <w:tcPr>
            <w:tcW w:type="dxa" w:w="10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10 (6%)</w:t>
            </w:r>
          </w:p>
        </w:tc>
        <w:tc>
          <w:tcPr>
            <w:tcW w:type="dxa" w:w="10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2 (3%)</w:t>
            </w:r>
          </w:p>
        </w:tc>
        <w:tc>
          <w:tcPr>
            <w:tcW w:type="dxa" w:w="10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4 (6%)</w:t>
            </w:r>
          </w:p>
        </w:tc>
        <w:tc>
          <w:tcPr>
            <w:tcW w:type="dxa" w:w="10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3 (5%)</w:t>
            </w:r>
          </w:p>
        </w:tc>
        <w:tc>
          <w:tcPr>
            <w:tcW w:type="dxa" w:w="10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7 (16%)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26 (6.5%)</w:t>
            </w:r>
          </w:p>
        </w:tc>
      </w:tr>
      <w:tr>
        <w:tc>
          <w:tcPr>
            <w:tcW w:type="dxa" w:w="25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Professional &amp; Business Services</w:t>
            </w:r>
          </w:p>
        </w:tc>
        <w:tc>
          <w:tcPr>
            <w:tcW w:type="dxa" w:w="10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9 (5%)</w:t>
            </w:r>
          </w:p>
        </w:tc>
        <w:tc>
          <w:tcPr>
            <w:tcW w:type="dxa" w:w="10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1 (1%)</w:t>
            </w:r>
          </w:p>
        </w:tc>
        <w:tc>
          <w:tcPr>
            <w:tcW w:type="dxa" w:w="10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6 (9%)</w:t>
            </w:r>
          </w:p>
        </w:tc>
        <w:tc>
          <w:tcPr>
            <w:tcW w:type="dxa" w:w="10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2 (4%)</w:t>
            </w:r>
          </w:p>
        </w:tc>
        <w:tc>
          <w:tcPr>
            <w:tcW w:type="dxa" w:w="10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5 (12%)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23 (5.8%)</w:t>
            </w:r>
          </w:p>
        </w:tc>
      </w:tr>
      <w:tr>
        <w:tc>
          <w:tcPr>
            <w:tcW w:type="dxa" w:w="25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Transportation &amp; Logistics</w:t>
            </w:r>
          </w:p>
        </w:tc>
        <w:tc>
          <w:tcPr>
            <w:tcW w:type="dxa" w:w="10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7 (4%)</w:t>
            </w:r>
          </w:p>
        </w:tc>
        <w:tc>
          <w:tcPr>
            <w:tcW w:type="dxa" w:w="10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4 (6%)</w:t>
            </w:r>
          </w:p>
        </w:tc>
        <w:tc>
          <w:tcPr>
            <w:tcW w:type="dxa" w:w="10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4 (6%)</w:t>
            </w:r>
          </w:p>
        </w:tc>
        <w:tc>
          <w:tcPr>
            <w:tcW w:type="dxa" w:w="10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4 (7%)</w:t>
            </w:r>
          </w:p>
        </w:tc>
        <w:tc>
          <w:tcPr>
            <w:tcW w:type="dxa" w:w="10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2 (5%)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21 (5.3%)</w:t>
            </w:r>
          </w:p>
        </w:tc>
      </w:tr>
      <w:tr>
        <w:tc>
          <w:tcPr>
            <w:tcW w:type="dxa" w:w="25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Retail &amp; Wholesale</w:t>
            </w:r>
          </w:p>
        </w:tc>
        <w:tc>
          <w:tcPr>
            <w:tcW w:type="dxa" w:w="10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12 (7%)</w:t>
            </w:r>
          </w:p>
        </w:tc>
        <w:tc>
          <w:tcPr>
            <w:tcW w:type="dxa" w:w="10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2 (3%)</w:t>
            </w:r>
          </w:p>
        </w:tc>
        <w:tc>
          <w:tcPr>
            <w:tcW w:type="dxa" w:w="10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3 (5%)</w:t>
            </w:r>
          </w:p>
        </w:tc>
        <w:tc>
          <w:tcPr>
            <w:tcW w:type="dxa" w:w="10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3 (5%)</w:t>
            </w:r>
          </w:p>
        </w:tc>
        <w:tc>
          <w:tcPr>
            <w:tcW w:type="dxa" w:w="10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0 (0%)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20 (5.0%)</w:t>
            </w:r>
          </w:p>
        </w:tc>
      </w:tr>
      <w:tr>
        <w:tc>
          <w:tcPr>
            <w:tcW w:type="dxa" w:w="25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Legal Services</w:t>
            </w:r>
          </w:p>
        </w:tc>
        <w:tc>
          <w:tcPr>
            <w:tcW w:type="dxa" w:w="10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7 (4%)</w:t>
            </w:r>
          </w:p>
        </w:tc>
        <w:tc>
          <w:tcPr>
            <w:tcW w:type="dxa" w:w="10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3 (4%)</w:t>
            </w:r>
          </w:p>
        </w:tc>
        <w:tc>
          <w:tcPr>
            <w:tcW w:type="dxa" w:w="10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8 (12%)</w:t>
            </w:r>
          </w:p>
        </w:tc>
        <w:tc>
          <w:tcPr>
            <w:tcW w:type="dxa" w:w="10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1 (2%)</w:t>
            </w:r>
          </w:p>
        </w:tc>
        <w:tc>
          <w:tcPr>
            <w:tcW w:type="dxa" w:w="10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1 (2%)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20 (5.0%)</w:t>
            </w:r>
          </w:p>
        </w:tc>
      </w:tr>
      <w:tr>
        <w:tc>
          <w:tcPr>
            <w:tcW w:type="dxa" w:w="25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Unknown</w:t>
            </w:r>
          </w:p>
        </w:tc>
        <w:tc>
          <w:tcPr>
            <w:tcW w:type="dxa" w:w="10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13 (8%)</w:t>
            </w:r>
          </w:p>
        </w:tc>
        <w:tc>
          <w:tcPr>
            <w:tcW w:type="dxa" w:w="10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0 (0%)</w:t>
            </w:r>
          </w:p>
        </w:tc>
        <w:tc>
          <w:tcPr>
            <w:tcW w:type="dxa" w:w="10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0 (0%)</w:t>
            </w:r>
          </w:p>
        </w:tc>
        <w:tc>
          <w:tcPr>
            <w:tcW w:type="dxa" w:w="10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0 (0%)</w:t>
            </w:r>
          </w:p>
        </w:tc>
        <w:tc>
          <w:tcPr>
            <w:tcW w:type="dxa" w:w="10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3 (7%)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16 (4.0%)</w:t>
            </w:r>
          </w:p>
        </w:tc>
      </w:tr>
      <w:tr>
        <w:tc>
          <w:tcPr>
            <w:tcW w:type="dxa" w:w="25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Energy &amp; Resources</w:t>
            </w:r>
          </w:p>
        </w:tc>
        <w:tc>
          <w:tcPr>
            <w:tcW w:type="dxa" w:w="10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3 (2%)</w:t>
            </w:r>
          </w:p>
        </w:tc>
        <w:tc>
          <w:tcPr>
            <w:tcW w:type="dxa" w:w="10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3 (4%)</w:t>
            </w:r>
          </w:p>
        </w:tc>
        <w:tc>
          <w:tcPr>
            <w:tcW w:type="dxa" w:w="10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3 (5%)</w:t>
            </w:r>
          </w:p>
        </w:tc>
        <w:tc>
          <w:tcPr>
            <w:tcW w:type="dxa" w:w="10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3 (5%)</w:t>
            </w:r>
          </w:p>
        </w:tc>
        <w:tc>
          <w:tcPr>
            <w:tcW w:type="dxa" w:w="10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1 (2%)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13 (3.3%)</w:t>
            </w:r>
          </w:p>
        </w:tc>
      </w:tr>
      <w:tr>
        <w:tc>
          <w:tcPr>
            <w:tcW w:type="dxa" w:w="25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Food &amp; Beverage</w:t>
            </w:r>
          </w:p>
        </w:tc>
        <w:tc>
          <w:tcPr>
            <w:tcW w:type="dxa" w:w="10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6 (4%)</w:t>
            </w:r>
          </w:p>
        </w:tc>
        <w:tc>
          <w:tcPr>
            <w:tcW w:type="dxa" w:w="10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4 (6%)</w:t>
            </w:r>
          </w:p>
        </w:tc>
        <w:tc>
          <w:tcPr>
            <w:tcW w:type="dxa" w:w="10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1 (2%)</w:t>
            </w:r>
          </w:p>
        </w:tc>
        <w:tc>
          <w:tcPr>
            <w:tcW w:type="dxa" w:w="10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1 (2%)</w:t>
            </w:r>
          </w:p>
        </w:tc>
        <w:tc>
          <w:tcPr>
            <w:tcW w:type="dxa" w:w="10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1 (2%)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13 (3.3%)</w:t>
            </w:r>
          </w:p>
        </w:tc>
      </w:tr>
      <w:tr>
        <w:tc>
          <w:tcPr>
            <w:tcW w:type="dxa" w:w="25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Media, Publishing &amp; Advertising</w:t>
            </w:r>
          </w:p>
        </w:tc>
        <w:tc>
          <w:tcPr>
            <w:tcW w:type="dxa" w:w="10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5 (3%)</w:t>
            </w:r>
          </w:p>
        </w:tc>
        <w:tc>
          <w:tcPr>
            <w:tcW w:type="dxa" w:w="10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2 (3%)</w:t>
            </w:r>
          </w:p>
        </w:tc>
        <w:tc>
          <w:tcPr>
            <w:tcW w:type="dxa" w:w="10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0 (0%)</w:t>
            </w:r>
          </w:p>
        </w:tc>
        <w:tc>
          <w:tcPr>
            <w:tcW w:type="dxa" w:w="10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2 (4%)</w:t>
            </w:r>
          </w:p>
        </w:tc>
        <w:tc>
          <w:tcPr>
            <w:tcW w:type="dxa" w:w="10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3 (7%)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12 (3.0%)</w:t>
            </w:r>
          </w:p>
        </w:tc>
      </w:tr>
      <w:tr>
        <w:tc>
          <w:tcPr>
            <w:tcW w:type="dxa" w:w="25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Real Estate</w:t>
            </w:r>
          </w:p>
        </w:tc>
        <w:tc>
          <w:tcPr>
            <w:tcW w:type="dxa" w:w="10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8 (5%)</w:t>
            </w:r>
          </w:p>
        </w:tc>
        <w:tc>
          <w:tcPr>
            <w:tcW w:type="dxa" w:w="10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0 (0%)</w:t>
            </w:r>
          </w:p>
        </w:tc>
        <w:tc>
          <w:tcPr>
            <w:tcW w:type="dxa" w:w="10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0 (0%)</w:t>
            </w:r>
          </w:p>
        </w:tc>
        <w:tc>
          <w:tcPr>
            <w:tcW w:type="dxa" w:w="10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1 (2%)</w:t>
            </w:r>
          </w:p>
        </w:tc>
        <w:tc>
          <w:tcPr>
            <w:tcW w:type="dxa" w:w="10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1 (2%)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10 (2.5%)</w:t>
            </w:r>
          </w:p>
        </w:tc>
      </w:tr>
      <w:tr>
        <w:tc>
          <w:tcPr>
            <w:tcW w:type="dxa" w:w="25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Automotive</w:t>
            </w:r>
          </w:p>
        </w:tc>
        <w:tc>
          <w:tcPr>
            <w:tcW w:type="dxa" w:w="10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5 (3%)</w:t>
            </w:r>
          </w:p>
        </w:tc>
        <w:tc>
          <w:tcPr>
            <w:tcW w:type="dxa" w:w="10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1 (1%)</w:t>
            </w:r>
          </w:p>
        </w:tc>
        <w:tc>
          <w:tcPr>
            <w:tcW w:type="dxa" w:w="10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0 (0%)</w:t>
            </w:r>
          </w:p>
        </w:tc>
        <w:tc>
          <w:tcPr>
            <w:tcW w:type="dxa" w:w="10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1 (2%)</w:t>
            </w:r>
          </w:p>
        </w:tc>
        <w:tc>
          <w:tcPr>
            <w:tcW w:type="dxa" w:w="10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1 (2%)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8 (2.0%)</w:t>
            </w:r>
          </w:p>
        </w:tc>
      </w:tr>
      <w:tr>
        <w:tc>
          <w:tcPr>
            <w:tcW w:type="dxa" w:w="25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Construction &amp; Real Estate</w:t>
            </w:r>
          </w:p>
        </w:tc>
        <w:tc>
          <w:tcPr>
            <w:tcW w:type="dxa" w:w="10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0 (0%)</w:t>
            </w:r>
          </w:p>
        </w:tc>
        <w:tc>
          <w:tcPr>
            <w:tcW w:type="dxa" w:w="10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8 (12%)</w:t>
            </w:r>
          </w:p>
        </w:tc>
        <w:tc>
          <w:tcPr>
            <w:tcW w:type="dxa" w:w="10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0 (0%)</w:t>
            </w:r>
          </w:p>
        </w:tc>
        <w:tc>
          <w:tcPr>
            <w:tcW w:type="dxa" w:w="10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0 (0%)</w:t>
            </w:r>
          </w:p>
        </w:tc>
        <w:tc>
          <w:tcPr>
            <w:tcW w:type="dxa" w:w="10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0 (0%)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8 (2.0%)</w:t>
            </w:r>
          </w:p>
        </w:tc>
      </w:tr>
      <w:tr>
        <w:tc>
          <w:tcPr>
            <w:tcW w:type="dxa" w:w="25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Hospitality &amp; Leisure</w:t>
            </w:r>
          </w:p>
        </w:tc>
        <w:tc>
          <w:tcPr>
            <w:tcW w:type="dxa" w:w="10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4 (2%)</w:t>
            </w:r>
          </w:p>
        </w:tc>
        <w:tc>
          <w:tcPr>
            <w:tcW w:type="dxa" w:w="10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1 (1%)</w:t>
            </w:r>
          </w:p>
        </w:tc>
        <w:tc>
          <w:tcPr>
            <w:tcW w:type="dxa" w:w="10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0 (0%)</w:t>
            </w:r>
          </w:p>
        </w:tc>
        <w:tc>
          <w:tcPr>
            <w:tcW w:type="dxa" w:w="10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0 (0%)</w:t>
            </w:r>
          </w:p>
        </w:tc>
        <w:tc>
          <w:tcPr>
            <w:tcW w:type="dxa" w:w="10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0 (0%)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5 (1.3%)</w:t>
            </w:r>
          </w:p>
        </w:tc>
      </w:tr>
      <w:tr>
        <w:tc>
          <w:tcPr>
            <w:tcW w:type="dxa" w:w="25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Non-profit &amp; Religious</w:t>
            </w:r>
          </w:p>
        </w:tc>
        <w:tc>
          <w:tcPr>
            <w:tcW w:type="dxa" w:w="10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2 (1%)</w:t>
            </w:r>
          </w:p>
        </w:tc>
        <w:tc>
          <w:tcPr>
            <w:tcW w:type="dxa" w:w="10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0 (0%)</w:t>
            </w:r>
          </w:p>
        </w:tc>
        <w:tc>
          <w:tcPr>
            <w:tcW w:type="dxa" w:w="10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0 (0%)</w:t>
            </w:r>
          </w:p>
        </w:tc>
        <w:tc>
          <w:tcPr>
            <w:tcW w:type="dxa" w:w="10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0 (0%)</w:t>
            </w:r>
          </w:p>
        </w:tc>
        <w:tc>
          <w:tcPr>
            <w:tcW w:type="dxa" w:w="10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0 (0%)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2 (0.5%)</w:t>
            </w:r>
          </w:p>
        </w:tc>
      </w:tr>
      <w:tr>
        <w:tc>
          <w:tcPr>
            <w:tcW w:type="dxa" w:w="25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Defense &amp; Aerospace</w:t>
            </w:r>
          </w:p>
        </w:tc>
        <w:tc>
          <w:tcPr>
            <w:tcW w:type="dxa" w:w="10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0 (0%)</w:t>
            </w:r>
          </w:p>
        </w:tc>
        <w:tc>
          <w:tcPr>
            <w:tcW w:type="dxa" w:w="10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1 (1%)</w:t>
            </w:r>
          </w:p>
        </w:tc>
        <w:tc>
          <w:tcPr>
            <w:tcW w:type="dxa" w:w="10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0 (0%)</w:t>
            </w:r>
          </w:p>
        </w:tc>
        <w:tc>
          <w:tcPr>
            <w:tcW w:type="dxa" w:w="10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0 (0%)</w:t>
            </w:r>
          </w:p>
        </w:tc>
        <w:tc>
          <w:tcPr>
            <w:tcW w:type="dxa" w:w="10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0 (0%)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1 (0.3%)</w:t>
            </w:r>
          </w:p>
        </w:tc>
      </w:tr>
      <w:tr>
        <w:tc>
          <w:tcPr>
            <w:tcW w:type="dxa" w:w="25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Education</w:t>
            </w:r>
          </w:p>
        </w:tc>
        <w:tc>
          <w:tcPr>
            <w:tcW w:type="dxa" w:w="10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0 (0%)</w:t>
            </w:r>
          </w:p>
        </w:tc>
        <w:tc>
          <w:tcPr>
            <w:tcW w:type="dxa" w:w="10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0 (0%)</w:t>
            </w:r>
          </w:p>
        </w:tc>
        <w:tc>
          <w:tcPr>
            <w:tcW w:type="dxa" w:w="10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0 (0%)</w:t>
            </w:r>
          </w:p>
        </w:tc>
        <w:tc>
          <w:tcPr>
            <w:tcW w:type="dxa" w:w="10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0 (0%)</w:t>
            </w:r>
          </w:p>
        </w:tc>
        <w:tc>
          <w:tcPr>
            <w:tcW w:type="dxa" w:w="10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1 (2%)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1 (0.3%)</w:t>
            </w:r>
          </w:p>
        </w:tc>
      </w:tr>
      <w:tr>
        <w:tc>
          <w:tcPr>
            <w:tcW w:type="dxa" w:w="25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Government &amp; Public Sector</w:t>
            </w:r>
          </w:p>
        </w:tc>
        <w:tc>
          <w:tcPr>
            <w:tcW w:type="dxa" w:w="10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1 (1%)</w:t>
            </w:r>
          </w:p>
        </w:tc>
        <w:tc>
          <w:tcPr>
            <w:tcW w:type="dxa" w:w="10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0 (0%)</w:t>
            </w:r>
          </w:p>
        </w:tc>
        <w:tc>
          <w:tcPr>
            <w:tcW w:type="dxa" w:w="10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0 (0%)</w:t>
            </w:r>
          </w:p>
        </w:tc>
        <w:tc>
          <w:tcPr>
            <w:tcW w:type="dxa" w:w="10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0 (0%)</w:t>
            </w:r>
          </w:p>
        </w:tc>
        <w:tc>
          <w:tcPr>
            <w:tcW w:type="dxa" w:w="10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0 (0%)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1 (0.3%)</w:t>
            </w:r>
          </w:p>
        </w:tc>
      </w:tr>
    </w:tbl>
    <w:p>
      <w:pPr>
        <w:spacing w:after="100" w:line="252"/>
      </w:pPr>
      <w:r>
        <w:rPr>
          <w:rFonts w:ascii="Arial" w:cs="Arial" w:eastAsia="Arial" w:hAnsi="Arial"/>
          <w:sz w:val="22"/>
          <w:szCs w:val="22"/>
        </w:rPr>
        <w:t xml:space="preserve">Note: SETTRA uses "Construction &amp; Real Estate" (8 victims), which is not split into the shared categories "Construction &amp; Engineering" and "Real Estate".</w:t>
      </w:r>
    </w:p>
    <w:p>
      <w:pPr>
        <w:pStyle w:val="Heading1"/>
      </w:pPr>
      <w:r>
        <w:rPr>
          <w:rFonts w:ascii="Arial" w:cs="Arial" w:eastAsia="Arial" w:hAnsi="Arial"/>
        </w:rPr>
        <w:t xml:space="preserve">Q8. Types of data targeted</w:t>
      </w:r>
    </w:p>
    <w:p>
      <w:pPr>
        <w:pStyle w:val="ListParagraph"/>
        <w:numPr>
          <w:ilvl w:val="0"/>
          <w:numId w:val="2"/>
        </w:numPr>
        <w:spacing w:after="40" w:line="252"/>
      </w:pPr>
      <w:r>
        <w:rPr>
          <w:rFonts w:ascii="Arial" w:cs="Arial" w:eastAsia="Arial" w:hAnsi="Arial"/>
          <w:sz w:val="22"/>
          <w:szCs w:val="22"/>
        </w:rPr>
        <w:t xml:space="preserve">Specific data types are available for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145 victims</w:t>
      </w:r>
      <w:r>
        <w:rPr>
          <w:rFonts w:ascii="Arial" w:cs="Arial" w:eastAsia="Arial" w:hAnsi="Arial"/>
          <w:sz w:val="22"/>
          <w:szCs w:val="22"/>
        </w:rPr>
        <w:t xml:space="preserve">: SETTRA 68, Anubis 45, DireWolf 32. Play (167) and Chaos (55) posts did not state data types; a further 31 Anubis/DireWolf posts said data was stolen without naming the type.</w:t>
      </w:r>
    </w:p>
    <w:p>
      <w:pPr>
        <w:pStyle w:val="ListParagraph"/>
        <w:numPr>
          <w:ilvl w:val="0"/>
          <w:numId w:val="2"/>
        </w:numPr>
        <w:spacing w:after="40" w:line="252"/>
      </w:pPr>
      <w:r>
        <w:rPr>
          <w:rFonts w:ascii="Arial" w:cs="Arial" w:eastAsia="Arial" w:hAnsi="Arial"/>
          <w:sz w:val="22"/>
          <w:szCs w:val="22"/>
        </w:rPr>
        <w:t xml:space="preserve">SETTRA posts list more data types per victim (average 6.1) than DireWolf (3.2) or Anubis (1.7), so SETTRA makes up the majority of tagged data types.</w:t>
      </w:r>
    </w:p>
    <w:p>
      <w:pPr>
        <w:pStyle w:val="ListParagraph"/>
        <w:numPr>
          <w:ilvl w:val="0"/>
          <w:numId w:val="2"/>
        </w:numPr>
        <w:spacing w:after="40" w:line="252"/>
      </w:pPr>
      <w:r>
        <w:rPr>
          <w:rFonts w:ascii="Arial" w:cs="Arial" w:eastAsia="Arial" w:hAnsi="Arial"/>
          <w:sz w:val="22"/>
          <w:szCs w:val="22"/>
        </w:rPr>
        <w:t xml:space="preserve">SETTRA's labels were mapped to the shared categories for this table (e.g. "Financial records" to Financial, "PII (SSN/ID/passport)" to PII, "Contracts &amp; legal" plus Legal and Contracts to Legal &amp; Contracts). Emails and Insurance records appear only in SETTRA's data.</w:t>
      </w:r>
    </w:p>
    <w:p>
      <w:pPr>
        <w:keepNext/>
        <w:keepLines/>
        <w:spacing w:after="40" w:before="60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Table 7. Victims by data type claimed (145 victims with specific data types)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26"/>
        <w:gridCol w:w="1100"/>
        <w:gridCol w:w="1200"/>
        <w:gridCol w:w="1300"/>
        <w:gridCol w:w="1300"/>
        <w:gridCol w:w="1300"/>
      </w:tblGrid>
      <w:tr>
        <w:trPr>
          <w:tblHeader/>
        </w:trPr>
        <w:tc>
          <w:tcPr>
            <w:tcW w:type="dxa" w:w="28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Data type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Victims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% of 145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SETTRA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Anubis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DireWolf</w:t>
            </w:r>
          </w:p>
        </w:tc>
      </w:tr>
      <w:tr>
        <w:tc>
          <w:tcPr>
            <w:tcW w:type="dxa" w:w="28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Financial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102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70.3%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67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10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25</w:t>
            </w:r>
          </w:p>
        </w:tc>
      </w:tr>
      <w:tr>
        <w:tc>
          <w:tcPr>
            <w:tcW w:type="dxa" w:w="28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Employee/HR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87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60.0%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67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10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10</w:t>
            </w:r>
          </w:p>
        </w:tc>
      </w:tr>
      <w:tr>
        <w:tc>
          <w:tcPr>
            <w:tcW w:type="dxa" w:w="28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Legal &amp; Contracts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86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59.3%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66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6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14</w:t>
            </w:r>
          </w:p>
        </w:tc>
      </w:tr>
      <w:tr>
        <w:tc>
          <w:tcPr>
            <w:tcW w:type="dxa" w:w="28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PII (SSN, ID, passport, DOB)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74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51.0%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45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11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18</w:t>
            </w:r>
          </w:p>
        </w:tc>
      </w:tr>
      <w:tr>
        <w:tc>
          <w:tcPr>
            <w:tcW w:type="dxa" w:w="28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Client/Customer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59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40.7%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16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17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26</w:t>
            </w:r>
          </w:p>
        </w:tc>
      </w:tr>
      <w:tr>
        <w:tc>
          <w:tcPr>
            <w:tcW w:type="dxa" w:w="28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Medical/PHI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56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38.6%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40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14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2</w:t>
            </w:r>
          </w:p>
        </w:tc>
      </w:tr>
      <w:tr>
        <w:tc>
          <w:tcPr>
            <w:tcW w:type="dxa" w:w="28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IP/Engineering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49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33.8%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33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8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8</w:t>
            </w:r>
          </w:p>
        </w:tc>
      </w:tr>
      <w:tr>
        <w:tc>
          <w:tcPr>
            <w:tcW w:type="dxa" w:w="28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Emails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45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31.0%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45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0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0</w:t>
            </w:r>
          </w:p>
        </w:tc>
      </w:tr>
      <w:tr>
        <w:tc>
          <w:tcPr>
            <w:tcW w:type="dxa" w:w="28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Credentials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18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12.4%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17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0</w:t>
            </w:r>
          </w:p>
        </w:tc>
      </w:tr>
      <w:tr>
        <w:tc>
          <w:tcPr>
            <w:tcW w:type="dxa" w:w="28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Insurance records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16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11.0%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16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0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0</w:t>
            </w:r>
          </w:p>
        </w:tc>
      </w:tr>
    </w:tbl>
    <w:p>
      <w:pPr>
        <w:spacing w:after="80"/>
      </w:pPr>
    </w:p>
    <w:p>
      <w:pPr>
        <w:keepNext/>
        <w:keepLines/>
        <w:spacing w:after="40" w:before="60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Table 8. Share of victims in each industry whose posts claimed each data type (industries with 5 or more victims)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26"/>
        <w:gridCol w:w="920"/>
        <w:gridCol w:w="920"/>
        <w:gridCol w:w="920"/>
        <w:gridCol w:w="920"/>
        <w:gridCol w:w="920"/>
        <w:gridCol w:w="920"/>
        <w:gridCol w:w="980"/>
      </w:tblGrid>
      <w:tr>
        <w:trPr>
          <w:tblHeader/>
        </w:trPr>
        <w:tc>
          <w:tcPr>
            <w:tcW w:type="dxa" w:w="25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Industry (victims)</w:t>
            </w:r>
          </w:p>
        </w:tc>
        <w:tc>
          <w:tcPr>
            <w:tcW w:type="dxa" w:w="9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Financial</w:t>
            </w:r>
          </w:p>
        </w:tc>
        <w:tc>
          <w:tcPr>
            <w:tcW w:type="dxa" w:w="9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Employee/ HR</w:t>
            </w:r>
          </w:p>
        </w:tc>
        <w:tc>
          <w:tcPr>
            <w:tcW w:type="dxa" w:w="9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Legal &amp; Contracts</w:t>
            </w:r>
          </w:p>
        </w:tc>
        <w:tc>
          <w:tcPr>
            <w:tcW w:type="dxa" w:w="9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PII</w:t>
            </w:r>
          </w:p>
        </w:tc>
        <w:tc>
          <w:tcPr>
            <w:tcW w:type="dxa" w:w="9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Client/ Customer</w:t>
            </w:r>
          </w:p>
        </w:tc>
        <w:tc>
          <w:tcPr>
            <w:tcW w:type="dxa" w:w="9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Medical/ PHI</w:t>
            </w:r>
          </w:p>
        </w:tc>
        <w:tc>
          <w:tcPr>
            <w:tcW w:type="dxa" w:w="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IP/ Eng.</w:t>
            </w:r>
          </w:p>
        </w:tc>
      </w:tr>
      <w:tr>
        <w:tc>
          <w:tcPr>
            <w:tcW w:type="dxa" w:w="25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Financial Services (32)</w:t>
            </w:r>
          </w:p>
        </w:tc>
        <w:tc>
          <w:tcPr>
            <w:tcW w:type="dxa" w:w="9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88%</w:t>
            </w:r>
          </w:p>
        </w:tc>
        <w:tc>
          <w:tcPr>
            <w:tcW w:type="dxa" w:w="9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75%</w:t>
            </w:r>
          </w:p>
        </w:tc>
        <w:tc>
          <w:tcPr>
            <w:tcW w:type="dxa" w:w="9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78%</w:t>
            </w:r>
          </w:p>
        </w:tc>
        <w:tc>
          <w:tcPr>
            <w:tcW w:type="dxa" w:w="9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59%</w:t>
            </w:r>
          </w:p>
        </w:tc>
        <w:tc>
          <w:tcPr>
            <w:tcW w:type="dxa" w:w="9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34%</w:t>
            </w:r>
          </w:p>
        </w:tc>
        <w:tc>
          <w:tcPr>
            <w:tcW w:type="dxa" w:w="9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47%</w:t>
            </w:r>
          </w:p>
        </w:tc>
        <w:tc>
          <w:tcPr>
            <w:tcW w:type="dxa" w:w="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34%</w:t>
            </w:r>
          </w:p>
        </w:tc>
      </w:tr>
      <w:tr>
        <w:tc>
          <w:tcPr>
            <w:tcW w:type="dxa" w:w="25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Healthcare &amp; Pharma (19)</w:t>
            </w:r>
          </w:p>
        </w:tc>
        <w:tc>
          <w:tcPr>
            <w:tcW w:type="dxa" w:w="9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37%</w:t>
            </w:r>
          </w:p>
        </w:tc>
        <w:tc>
          <w:tcPr>
            <w:tcW w:type="dxa" w:w="9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32%</w:t>
            </w:r>
          </w:p>
        </w:tc>
        <w:tc>
          <w:tcPr>
            <w:tcW w:type="dxa" w:w="9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16%</w:t>
            </w:r>
          </w:p>
        </w:tc>
        <w:tc>
          <w:tcPr>
            <w:tcW w:type="dxa" w:w="9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42%</w:t>
            </w:r>
          </w:p>
        </w:tc>
        <w:tc>
          <w:tcPr>
            <w:tcW w:type="dxa" w:w="9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37%</w:t>
            </w:r>
          </w:p>
        </w:tc>
        <w:tc>
          <w:tcPr>
            <w:tcW w:type="dxa" w:w="9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95%</w:t>
            </w:r>
          </w:p>
        </w:tc>
        <w:tc>
          <w:tcPr>
            <w:tcW w:type="dxa" w:w="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0%</w:t>
            </w:r>
          </w:p>
        </w:tc>
      </w:tr>
      <w:tr>
        <w:tc>
          <w:tcPr>
            <w:tcW w:type="dxa" w:w="25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Manufacturing (18)</w:t>
            </w:r>
          </w:p>
        </w:tc>
        <w:tc>
          <w:tcPr>
            <w:tcW w:type="dxa" w:w="9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89%</w:t>
            </w:r>
          </w:p>
        </w:tc>
        <w:tc>
          <w:tcPr>
            <w:tcW w:type="dxa" w:w="9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72%</w:t>
            </w:r>
          </w:p>
        </w:tc>
        <w:tc>
          <w:tcPr>
            <w:tcW w:type="dxa" w:w="9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78%</w:t>
            </w:r>
          </w:p>
        </w:tc>
        <w:tc>
          <w:tcPr>
            <w:tcW w:type="dxa" w:w="9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61%</w:t>
            </w:r>
          </w:p>
        </w:tc>
        <w:tc>
          <w:tcPr>
            <w:tcW w:type="dxa" w:w="9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44%</w:t>
            </w:r>
          </w:p>
        </w:tc>
        <w:tc>
          <w:tcPr>
            <w:tcW w:type="dxa" w:w="9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39%</w:t>
            </w:r>
          </w:p>
        </w:tc>
        <w:tc>
          <w:tcPr>
            <w:tcW w:type="dxa" w:w="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56%</w:t>
            </w:r>
          </w:p>
        </w:tc>
      </w:tr>
      <w:tr>
        <w:tc>
          <w:tcPr>
            <w:tcW w:type="dxa" w:w="25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Legal Services (12)</w:t>
            </w:r>
          </w:p>
        </w:tc>
        <w:tc>
          <w:tcPr>
            <w:tcW w:type="dxa" w:w="9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33%</w:t>
            </w:r>
          </w:p>
        </w:tc>
        <w:tc>
          <w:tcPr>
            <w:tcW w:type="dxa" w:w="9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33%</w:t>
            </w:r>
          </w:p>
        </w:tc>
        <w:tc>
          <w:tcPr>
            <w:tcW w:type="dxa" w:w="9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75%</w:t>
            </w:r>
          </w:p>
        </w:tc>
        <w:tc>
          <w:tcPr>
            <w:tcW w:type="dxa" w:w="9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67%</w:t>
            </w:r>
          </w:p>
        </w:tc>
        <w:tc>
          <w:tcPr>
            <w:tcW w:type="dxa" w:w="9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67%</w:t>
            </w:r>
          </w:p>
        </w:tc>
        <w:tc>
          <w:tcPr>
            <w:tcW w:type="dxa" w:w="9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17%</w:t>
            </w:r>
          </w:p>
        </w:tc>
        <w:tc>
          <w:tcPr>
            <w:tcW w:type="dxa" w:w="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8%</w:t>
            </w:r>
          </w:p>
        </w:tc>
      </w:tr>
      <w:tr>
        <w:tc>
          <w:tcPr>
            <w:tcW w:type="dxa" w:w="25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Professional Services (9)</w:t>
            </w:r>
          </w:p>
        </w:tc>
        <w:tc>
          <w:tcPr>
            <w:tcW w:type="dxa" w:w="9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78%</w:t>
            </w:r>
          </w:p>
        </w:tc>
        <w:tc>
          <w:tcPr>
            <w:tcW w:type="dxa" w:w="9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44%</w:t>
            </w:r>
          </w:p>
        </w:tc>
        <w:tc>
          <w:tcPr>
            <w:tcW w:type="dxa" w:w="9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33%</w:t>
            </w:r>
          </w:p>
        </w:tc>
        <w:tc>
          <w:tcPr>
            <w:tcW w:type="dxa" w:w="9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44%</w:t>
            </w:r>
          </w:p>
        </w:tc>
        <w:tc>
          <w:tcPr>
            <w:tcW w:type="dxa" w:w="9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56%</w:t>
            </w:r>
          </w:p>
        </w:tc>
        <w:tc>
          <w:tcPr>
            <w:tcW w:type="dxa" w:w="9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11%</w:t>
            </w:r>
          </w:p>
        </w:tc>
        <w:tc>
          <w:tcPr>
            <w:tcW w:type="dxa" w:w="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11%</w:t>
            </w:r>
          </w:p>
        </w:tc>
      </w:tr>
      <w:tr>
        <w:tc>
          <w:tcPr>
            <w:tcW w:type="dxa" w:w="25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Technology &amp; Telecom (8)</w:t>
            </w:r>
          </w:p>
        </w:tc>
        <w:tc>
          <w:tcPr>
            <w:tcW w:type="dxa" w:w="9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50%</w:t>
            </w:r>
          </w:p>
        </w:tc>
        <w:tc>
          <w:tcPr>
            <w:tcW w:type="dxa" w:w="9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25%</w:t>
            </w:r>
          </w:p>
        </w:tc>
        <w:tc>
          <w:tcPr>
            <w:tcW w:type="dxa" w:w="9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25%</w:t>
            </w:r>
          </w:p>
        </w:tc>
        <w:tc>
          <w:tcPr>
            <w:tcW w:type="dxa" w:w="9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50%</w:t>
            </w:r>
          </w:p>
        </w:tc>
        <w:tc>
          <w:tcPr>
            <w:tcW w:type="dxa" w:w="9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75%</w:t>
            </w:r>
          </w:p>
        </w:tc>
        <w:tc>
          <w:tcPr>
            <w:tcW w:type="dxa" w:w="9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25%</w:t>
            </w:r>
          </w:p>
        </w:tc>
        <w:tc>
          <w:tcPr>
            <w:tcW w:type="dxa" w:w="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25%</w:t>
            </w:r>
          </w:p>
        </w:tc>
      </w:tr>
      <w:tr>
        <w:tc>
          <w:tcPr>
            <w:tcW w:type="dxa" w:w="25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Construction &amp; Real Estate (8)</w:t>
            </w:r>
          </w:p>
        </w:tc>
        <w:tc>
          <w:tcPr>
            <w:tcW w:type="dxa" w:w="9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100%</w:t>
            </w:r>
          </w:p>
        </w:tc>
        <w:tc>
          <w:tcPr>
            <w:tcW w:type="dxa" w:w="9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88%</w:t>
            </w:r>
          </w:p>
        </w:tc>
        <w:tc>
          <w:tcPr>
            <w:tcW w:type="dxa" w:w="9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100%</w:t>
            </w:r>
          </w:p>
        </w:tc>
        <w:tc>
          <w:tcPr>
            <w:tcW w:type="dxa" w:w="9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38%</w:t>
            </w:r>
          </w:p>
        </w:tc>
        <w:tc>
          <w:tcPr>
            <w:tcW w:type="dxa" w:w="9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12%</w:t>
            </w:r>
          </w:p>
        </w:tc>
        <w:tc>
          <w:tcPr>
            <w:tcW w:type="dxa" w:w="9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38%</w:t>
            </w:r>
          </w:p>
        </w:tc>
        <w:tc>
          <w:tcPr>
            <w:tcW w:type="dxa" w:w="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62%</w:t>
            </w:r>
          </w:p>
        </w:tc>
      </w:tr>
      <w:tr>
        <w:tc>
          <w:tcPr>
            <w:tcW w:type="dxa" w:w="25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Construction &amp; Engineering (7)</w:t>
            </w:r>
          </w:p>
        </w:tc>
        <w:tc>
          <w:tcPr>
            <w:tcW w:type="dxa" w:w="9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43%</w:t>
            </w:r>
          </w:p>
        </w:tc>
        <w:tc>
          <w:tcPr>
            <w:tcW w:type="dxa" w:w="9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43%</w:t>
            </w:r>
          </w:p>
        </w:tc>
        <w:tc>
          <w:tcPr>
            <w:tcW w:type="dxa" w:w="9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29%</w:t>
            </w:r>
          </w:p>
        </w:tc>
        <w:tc>
          <w:tcPr>
            <w:tcW w:type="dxa" w:w="9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29%</w:t>
            </w:r>
          </w:p>
        </w:tc>
        <w:tc>
          <w:tcPr>
            <w:tcW w:type="dxa" w:w="9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29%</w:t>
            </w:r>
          </w:p>
        </w:tc>
        <w:tc>
          <w:tcPr>
            <w:tcW w:type="dxa" w:w="9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0%</w:t>
            </w:r>
          </w:p>
        </w:tc>
        <w:tc>
          <w:tcPr>
            <w:tcW w:type="dxa" w:w="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71%</w:t>
            </w:r>
          </w:p>
        </w:tc>
      </w:tr>
      <w:tr>
        <w:tc>
          <w:tcPr>
            <w:tcW w:type="dxa" w:w="25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Transportation &amp; Logistics (7)</w:t>
            </w:r>
          </w:p>
        </w:tc>
        <w:tc>
          <w:tcPr>
            <w:tcW w:type="dxa" w:w="9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71%</w:t>
            </w:r>
          </w:p>
        </w:tc>
        <w:tc>
          <w:tcPr>
            <w:tcW w:type="dxa" w:w="9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86%</w:t>
            </w:r>
          </w:p>
        </w:tc>
        <w:tc>
          <w:tcPr>
            <w:tcW w:type="dxa" w:w="9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57%</w:t>
            </w:r>
          </w:p>
        </w:tc>
        <w:tc>
          <w:tcPr>
            <w:tcW w:type="dxa" w:w="9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29%</w:t>
            </w:r>
          </w:p>
        </w:tc>
        <w:tc>
          <w:tcPr>
            <w:tcW w:type="dxa" w:w="9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14%</w:t>
            </w:r>
          </w:p>
        </w:tc>
        <w:tc>
          <w:tcPr>
            <w:tcW w:type="dxa" w:w="9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14%</w:t>
            </w:r>
          </w:p>
        </w:tc>
        <w:tc>
          <w:tcPr>
            <w:tcW w:type="dxa" w:w="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57%</w:t>
            </w:r>
          </w:p>
        </w:tc>
      </w:tr>
      <w:tr>
        <w:tc>
          <w:tcPr>
            <w:tcW w:type="dxa" w:w="25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Media &amp; Advertising (5)</w:t>
            </w:r>
          </w:p>
        </w:tc>
        <w:tc>
          <w:tcPr>
            <w:tcW w:type="dxa" w:w="9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60%</w:t>
            </w:r>
          </w:p>
        </w:tc>
        <w:tc>
          <w:tcPr>
            <w:tcW w:type="dxa" w:w="9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60%</w:t>
            </w:r>
          </w:p>
        </w:tc>
        <w:tc>
          <w:tcPr>
            <w:tcW w:type="dxa" w:w="9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60%</w:t>
            </w:r>
          </w:p>
        </w:tc>
        <w:tc>
          <w:tcPr>
            <w:tcW w:type="dxa" w:w="9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20%</w:t>
            </w:r>
          </w:p>
        </w:tc>
        <w:tc>
          <w:tcPr>
            <w:tcW w:type="dxa" w:w="9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40%</w:t>
            </w:r>
          </w:p>
        </w:tc>
        <w:tc>
          <w:tcPr>
            <w:tcW w:type="dxa" w:w="9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20%</w:t>
            </w:r>
          </w:p>
        </w:tc>
        <w:tc>
          <w:tcPr>
            <w:tcW w:type="dxa" w:w="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60%</w:t>
            </w:r>
          </w:p>
        </w:tc>
      </w:tr>
      <w:tr>
        <w:tc>
          <w:tcPr>
            <w:tcW w:type="dxa" w:w="25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Food &amp; Beverage (5)</w:t>
            </w:r>
          </w:p>
        </w:tc>
        <w:tc>
          <w:tcPr>
            <w:tcW w:type="dxa" w:w="9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100%</w:t>
            </w:r>
          </w:p>
        </w:tc>
        <w:tc>
          <w:tcPr>
            <w:tcW w:type="dxa" w:w="9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100%</w:t>
            </w:r>
          </w:p>
        </w:tc>
        <w:tc>
          <w:tcPr>
            <w:tcW w:type="dxa" w:w="9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60%</w:t>
            </w:r>
          </w:p>
        </w:tc>
        <w:tc>
          <w:tcPr>
            <w:tcW w:type="dxa" w:w="9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80%</w:t>
            </w:r>
          </w:p>
        </w:tc>
        <w:tc>
          <w:tcPr>
            <w:tcW w:type="dxa" w:w="9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20%</w:t>
            </w:r>
          </w:p>
        </w:tc>
        <w:tc>
          <w:tcPr>
            <w:tcW w:type="dxa" w:w="9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20%</w:t>
            </w:r>
          </w:p>
        </w:tc>
        <w:tc>
          <w:tcPr>
            <w:tcW w:type="dxa" w:w="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60%</w:t>
            </w:r>
          </w:p>
        </w:tc>
      </w:tr>
    </w:tbl>
    <w:p>
      <w:pPr>
        <w:spacing w:after="80"/>
      </w:pPr>
    </w:p>
    <w:p>
      <w:pPr>
        <w:pStyle w:val="ListParagraph"/>
        <w:numPr>
          <w:ilvl w:val="0"/>
          <w:numId w:val="2"/>
        </w:numPr>
        <w:spacing w:after="40" w:line="252"/>
      </w:pPr>
      <w:r>
        <w:rPr>
          <w:rFonts w:ascii="Arial" w:cs="Arial" w:eastAsia="Arial" w:hAnsi="Arial"/>
          <w:sz w:val="22"/>
          <w:szCs w:val="22"/>
        </w:rPr>
        <w:t xml:space="preserve">Medical/PHI was claimed for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95%</w:t>
      </w:r>
      <w:r>
        <w:rPr>
          <w:rFonts w:ascii="Arial" w:cs="Arial" w:eastAsia="Arial" w:hAnsi="Arial"/>
          <w:sz w:val="22"/>
          <w:szCs w:val="22"/>
        </w:rPr>
        <w:t xml:space="preserve"> of healthcare victims; IP/Engineering for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71%</w:t>
      </w:r>
      <w:r>
        <w:rPr>
          <w:rFonts w:ascii="Arial" w:cs="Arial" w:eastAsia="Arial" w:hAnsi="Arial"/>
          <w:sz w:val="22"/>
          <w:szCs w:val="22"/>
        </w:rPr>
        <w:t xml:space="preserve"> of construction &amp; engineering victims; Legal &amp; Contracts for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75%</w:t>
      </w:r>
      <w:r>
        <w:rPr>
          <w:rFonts w:ascii="Arial" w:cs="Arial" w:eastAsia="Arial" w:hAnsi="Arial"/>
          <w:sz w:val="22"/>
          <w:szCs w:val="22"/>
        </w:rPr>
        <w:t xml:space="preserve"> of legal-services victims; Client/Customer for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75%</w:t>
      </w:r>
      <w:r>
        <w:rPr>
          <w:rFonts w:ascii="Arial" w:cs="Arial" w:eastAsia="Arial" w:hAnsi="Arial"/>
          <w:sz w:val="22"/>
          <w:szCs w:val="22"/>
        </w:rPr>
        <w:t xml:space="preserve"> of technology victims.</w:t>
      </w:r>
    </w:p>
    <w:p>
      <w:pPr>
        <w:pStyle w:val="ListParagraph"/>
        <w:numPr>
          <w:ilvl w:val="0"/>
          <w:numId w:val="2"/>
        </w:numPr>
        <w:spacing w:after="40" w:line="252"/>
      </w:pPr>
      <w:r>
        <w:rPr>
          <w:rFonts w:ascii="Arial" w:cs="Arial" w:eastAsia="Arial" w:hAnsi="Arial"/>
          <w:sz w:val="22"/>
          <w:szCs w:val="22"/>
        </w:rPr>
        <w:t xml:space="preserve">Financial data was the most frequently claimed type (or joint most frequent) in 6 of the 11 industries shown.</w:t>
      </w:r>
    </w:p>
    <w:p>
      <w:pPr>
        <w:pStyle w:val="Heading1"/>
      </w:pPr>
      <w:r>
        <w:rPr>
          <w:rFonts w:ascii="Arial" w:cs="Arial" w:eastAsia="Arial" w:hAnsi="Arial"/>
        </w:rPr>
        <w:t xml:space="preserve">Additional data points (for Q9)</w:t>
      </w:r>
    </w:p>
    <w:p>
      <w:pPr>
        <w:pStyle w:val="Heading2"/>
      </w:pPr>
      <w:r>
        <w:rPr>
          <w:rFonts w:ascii="Arial" w:cs="Arial" w:eastAsia="Arial" w:hAnsi="Arial"/>
        </w:rPr>
        <w:t xml:space="preserve">Play listing-to-publication timing</w:t>
      </w:r>
    </w:p>
    <w:p>
      <w:pPr>
        <w:pStyle w:val="ListParagraph"/>
        <w:numPr>
          <w:ilvl w:val="0"/>
          <w:numId w:val="2"/>
        </w:numPr>
        <w:spacing w:after="40" w:line="252"/>
      </w:pPr>
      <w:r>
        <w:rPr>
          <w:rFonts w:ascii="Arial" w:cs="Arial" w:eastAsia="Arial" w:hAnsi="Arial"/>
          <w:sz w:val="22"/>
          <w:szCs w:val="22"/>
        </w:rPr>
        <w:t xml:space="preserve">Play's DLS shows both the listing date and the publication date.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111 of 167 victims (66.5%)</w:t>
      </w:r>
      <w:r>
        <w:rPr>
          <w:rFonts w:ascii="Arial" w:cs="Arial" w:eastAsia="Arial" w:hAnsi="Arial"/>
          <w:sz w:val="22"/>
          <w:szCs w:val="22"/>
        </w:rPr>
        <w:t xml:space="preserve"> were published exactly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4 days</w:t>
      </w:r>
      <w:r>
        <w:rPr>
          <w:rFonts w:ascii="Arial" w:cs="Arial" w:eastAsia="Arial" w:hAnsi="Arial"/>
          <w:sz w:val="22"/>
          <w:szCs w:val="22"/>
        </w:rPr>
        <w:t xml:space="preserve"> after listing;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157 (94.0%)</w:t>
      </w:r>
      <w:r>
        <w:rPr>
          <w:rFonts w:ascii="Arial" w:cs="Arial" w:eastAsia="Arial" w:hAnsi="Arial"/>
          <w:sz w:val="22"/>
          <w:szCs w:val="22"/>
        </w:rPr>
        <w:t xml:space="preserve"> within 3 to 5 days. Range: 2 to 8 days.</w:t>
      </w:r>
    </w:p>
    <w:p>
      <w:pPr>
        <w:pStyle w:val="ListParagraph"/>
        <w:numPr>
          <w:ilvl w:val="0"/>
          <w:numId w:val="2"/>
        </w:numPr>
        <w:spacing w:after="40" w:line="252"/>
      </w:pPr>
      <w:r>
        <w:rPr>
          <w:rFonts w:ascii="Arial" w:cs="Arial" w:eastAsia="Arial" w:hAnsi="Arial"/>
          <w:sz w:val="22"/>
          <w:szCs w:val="22"/>
        </w:rPr>
        <w:t xml:space="preserve">145 of 167 Play victims (86.8%) were marked "Published Full"; 22 (13.2%) "Published".</w:t>
      </w:r>
    </w:p>
    <w:p>
      <w:pPr>
        <w:pStyle w:val="Heading2"/>
      </w:pPr>
      <w:r>
        <w:rPr>
          <w:rFonts w:ascii="Arial" w:cs="Arial" w:eastAsia="Arial" w:hAnsi="Arial"/>
        </w:rPr>
        <w:t xml:space="preserve">Posting days of the week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26"/>
        <w:gridCol w:w="1200"/>
        <w:gridCol w:w="1200"/>
        <w:gridCol w:w="1200"/>
        <w:gridCol w:w="1200"/>
        <w:gridCol w:w="1200"/>
        <w:gridCol w:w="1500"/>
      </w:tblGrid>
      <w:tr>
        <w:trPr>
          <w:tblHeader/>
        </w:trPr>
        <w:tc>
          <w:tcPr>
            <w:tcW w:type="dxa" w:w="15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Day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Play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SETTRA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Anubis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Chaos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DireWolf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Total</w:t>
            </w:r>
          </w:p>
        </w:tc>
      </w:tr>
      <w:tr>
        <w:tc>
          <w:tcPr>
            <w:tcW w:type="dxa" w:w="15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Monday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36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8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16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11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13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84</w:t>
            </w:r>
          </w:p>
        </w:tc>
      </w:tr>
      <w:tr>
        <w:tc>
          <w:tcPr>
            <w:tcW w:type="dxa" w:w="15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Tuesday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31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33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10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15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5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94</w:t>
            </w:r>
          </w:p>
        </w:tc>
      </w:tr>
      <w:tr>
        <w:tc>
          <w:tcPr>
            <w:tcW w:type="dxa" w:w="15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Wednesday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11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9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5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4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30</w:t>
            </w:r>
          </w:p>
        </w:tc>
      </w:tr>
      <w:tr>
        <w:tc>
          <w:tcPr>
            <w:tcW w:type="dxa" w:w="15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Thursday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35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24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9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11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0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79</w:t>
            </w:r>
          </w:p>
        </w:tc>
      </w:tr>
      <w:tr>
        <w:tc>
          <w:tcPr>
            <w:tcW w:type="dxa" w:w="15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Friday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17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2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12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6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9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46</w:t>
            </w:r>
          </w:p>
        </w:tc>
      </w:tr>
      <w:tr>
        <w:tc>
          <w:tcPr>
            <w:tcW w:type="dxa" w:w="15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Saturday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21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0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3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5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30</w:t>
            </w:r>
          </w:p>
        </w:tc>
      </w:tr>
      <w:tr>
        <w:tc>
          <w:tcPr>
            <w:tcW w:type="dxa" w:w="15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Sunday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16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0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6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6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7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35</w:t>
            </w:r>
          </w:p>
        </w:tc>
      </w:tr>
    </w:tbl>
    <w:p>
      <w:pPr>
        <w:spacing w:after="80"/>
      </w:pPr>
    </w:p>
    <w:p>
      <w:pPr>
        <w:pStyle w:val="ListParagraph"/>
        <w:numPr>
          <w:ilvl w:val="0"/>
          <w:numId w:val="2"/>
        </w:numPr>
        <w:spacing w:after="40" w:line="252"/>
      </w:pPr>
      <w:r>
        <w:rPr>
          <w:rFonts w:ascii="Arial" w:cs="Arial" w:eastAsia="Arial" w:hAnsi="Arial"/>
          <w:sz w:val="22"/>
          <w:szCs w:val="22"/>
        </w:rPr>
        <w:t xml:space="preserve">SETTRA posted 57 of its 68 victims (83.8%) on Tuesdays and Thursdays and none on weekends.</w:t>
      </w:r>
    </w:p>
    <w:p>
      <w:pPr>
        <w:pStyle w:val="ListParagraph"/>
        <w:numPr>
          <w:ilvl w:val="0"/>
          <w:numId w:val="2"/>
        </w:numPr>
        <w:spacing w:after="40" w:line="252"/>
      </w:pPr>
      <w:r>
        <w:rPr>
          <w:rFonts w:ascii="Arial" w:cs="Arial" w:eastAsia="Arial" w:hAnsi="Arial"/>
          <w:sz w:val="22"/>
          <w:szCs w:val="22"/>
        </w:rPr>
        <w:t xml:space="preserve">65 victims (16.3%) were posted on weekends, 37 of them by Play.</w:t>
      </w:r>
    </w:p>
    <w:p>
      <w:pPr>
        <w:pStyle w:val="Heading2"/>
      </w:pPr>
      <w:r>
        <w:rPr>
          <w:rFonts w:ascii="Arial" w:cs="Arial" w:eastAsia="Arial" w:hAnsi="Arial"/>
        </w:rPr>
        <w:t xml:space="preserve">Batch posting</w:t>
      </w:r>
    </w:p>
    <w:p>
      <w:pPr>
        <w:pStyle w:val="ListParagraph"/>
        <w:numPr>
          <w:ilvl w:val="0"/>
          <w:numId w:val="2"/>
        </w:numPr>
        <w:spacing w:after="40" w:line="252"/>
      </w:pPr>
      <w:r>
        <w:rPr>
          <w:rFonts w:ascii="Arial" w:cs="Arial" w:eastAsia="Arial" w:hAnsi="Arial"/>
          <w:sz w:val="22"/>
          <w:szCs w:val="22"/>
        </w:rPr>
        <w:t xml:space="preserve">Average victims per posting day: DireWolf 3.6, SETTRA 3.2, Play 2.9, Chaos 1.3, Anubis 1.3. The largest single-day batches were 9 victims (Play, SETTRA) and 7 (DireWolf).</w:t>
      </w:r>
    </w:p>
    <w:p>
      <w:pPr>
        <w:pStyle w:val="Heading2"/>
      </w:pPr>
      <w:r>
        <w:rPr>
          <w:rFonts w:ascii="Arial" w:cs="Arial" w:eastAsia="Arial" w:hAnsi="Arial"/>
        </w:rPr>
        <w:t xml:space="preserve">Countdown posts at snapshot</w:t>
      </w:r>
    </w:p>
    <w:p>
      <w:pPr>
        <w:pStyle w:val="ListParagraph"/>
        <w:numPr>
          <w:ilvl w:val="0"/>
          <w:numId w:val="2"/>
        </w:numPr>
        <w:spacing w:after="40" w:line="252"/>
      </w:pPr>
      <w:r>
        <w:rPr>
          <w:rFonts w:ascii="Arial" w:cs="Arial" w:eastAsia="Arial" w:hAnsi="Arial"/>
          <w:sz w:val="22"/>
          <w:szCs w:val="22"/>
        </w:rPr>
        <w:t xml:space="preserve">48 posts were still on countdown when scraped: Chaos 41 (victim names hidden by the site; median claimed size 600 GB) and SETTRA 7 (median claimed size 304 GB).</w:t>
      </w:r>
    </w:p>
    <w:p>
      <w:pPr>
        <w:pStyle w:val="Heading1"/>
      </w:pPr>
      <w:r>
        <w:rPr>
          <w:rFonts w:ascii="Arial" w:cs="Arial" w:eastAsia="Arial" w:hAnsi="Arial"/>
        </w:rPr>
        <w:t xml:space="preserve">Data limitations</w:t>
      </w:r>
    </w:p>
    <w:p>
      <w:pPr>
        <w:pStyle w:val="ListParagraph"/>
        <w:numPr>
          <w:ilvl w:val="0"/>
          <w:numId w:val="2"/>
        </w:numPr>
        <w:spacing w:after="40" w:line="252"/>
      </w:pPr>
      <w:r>
        <w:rPr>
          <w:rFonts w:ascii="Arial" w:cs="Arial" w:eastAsia="Arial" w:hAnsi="Arial"/>
          <w:sz w:val="22"/>
          <w:szCs w:val="22"/>
        </w:rPr>
        <w:t xml:space="preserve">Chaos does not display post dates; dates were taken from ransomware.live.</w:t>
      </w:r>
    </w:p>
    <w:p>
      <w:pPr>
        <w:pStyle w:val="ListParagraph"/>
        <w:numPr>
          <w:ilvl w:val="0"/>
          <w:numId w:val="2"/>
        </w:numPr>
        <w:spacing w:after="40" w:line="252"/>
      </w:pPr>
      <w:r>
        <w:rPr>
          <w:rFonts w:ascii="Arial" w:cs="Arial" w:eastAsia="Arial" w:hAnsi="Arial"/>
          <w:sz w:val="22"/>
          <w:szCs w:val="22"/>
        </w:rPr>
        <w:t xml:space="preserve">Play data types and Chaos data types were not available from the DLS posts.</w:t>
      </w:r>
    </w:p>
    <w:p>
      <w:pPr>
        <w:pStyle w:val="ListParagraph"/>
        <w:numPr>
          <w:ilvl w:val="0"/>
          <w:numId w:val="2"/>
        </w:numPr>
        <w:spacing w:after="40" w:line="252"/>
      </w:pPr>
      <w:r>
        <w:rPr>
          <w:rFonts w:ascii="Arial" w:cs="Arial" w:eastAsia="Arial" w:hAnsi="Arial"/>
          <w:sz w:val="22"/>
          <w:szCs w:val="22"/>
        </w:rPr>
        <w:t xml:space="preserve">Revenue is only available for SETTRA; employee size for 3 victims.</w:t>
      </w:r>
    </w:p>
    <w:p>
      <w:pPr>
        <w:pStyle w:val="ListParagraph"/>
        <w:numPr>
          <w:ilvl w:val="0"/>
          <w:numId w:val="2"/>
        </w:numPr>
        <w:spacing w:after="40" w:line="252"/>
      </w:pPr>
      <w:r>
        <w:rPr>
          <w:rFonts w:ascii="Arial" w:cs="Arial" w:eastAsia="Arial" w:hAnsi="Arial"/>
          <w:sz w:val="22"/>
          <w:szCs w:val="22"/>
        </w:rPr>
        <w:t xml:space="preserve">Claimed leak sizes are the threat actors' own figures and are unverified.</w:t>
      </w:r>
    </w:p>
    <w:p>
      <w:pPr>
        <w:pStyle w:val="ListParagraph"/>
        <w:numPr>
          <w:ilvl w:val="0"/>
          <w:numId w:val="2"/>
        </w:numPr>
        <w:spacing w:after="40" w:line="252"/>
      </w:pPr>
      <w:r>
        <w:rPr>
          <w:rFonts w:ascii="Arial" w:cs="Arial" w:eastAsia="Arial" w:hAnsi="Arial"/>
          <w:sz w:val="22"/>
          <w:szCs w:val="22"/>
        </w:rPr>
        <w:t xml:space="preserve">SETTRA was only active from June 2026, so totals understate its rate of activity compared with groups active all 9 months.</w:t>
      </w:r>
    </w:p>
    <w:p>
      <w:pPr>
        <w:pStyle w:val="ListParagraph"/>
        <w:numPr>
          <w:ilvl w:val="0"/>
          <w:numId w:val="2"/>
        </w:numPr>
        <w:spacing w:after="40" w:line="252"/>
      </w:pPr>
      <w:r>
        <w:rPr>
          <w:rFonts w:ascii="Arial" w:cs="Arial" w:eastAsia="Arial" w:hAnsi="Arial"/>
          <w:sz w:val="22"/>
          <w:szCs w:val="22"/>
          <w:highlight w:val="yellow"/>
          <w:highlightCs w:val="yellow"/>
        </w:rPr>
        <w:t xml:space="preserve">Play and Chaos industries/countries were inferred; verify before submission per the prof's guidance.</w:t>
      </w:r>
    </w:p>
    <w:sectPr>
      <w:footerReference w:type="default" r:id="rId7"/>
      <w:pgSz w:w="11906" w:h="16838" w:orient="portrait"/>
      <w:pgMar w:top="1134" w:right="1440" w:bottom="1134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00" w:before="240"/>
      <w:outlineLvl w:val="0"/>
    </w:pPr>
    <w:rPr>
      <w:rFonts w:ascii="Arial" w:cs="Arial" w:eastAsia="Arial" w:hAnsi="Arial"/>
      <w:b/>
      <w:bCs/>
      <w:color w:val="1F3864"/>
      <w:sz w:val="26"/>
      <w:szCs w:val="26"/>
    </w:rPr>
  </w:style>
  <w:style w:type="paragraph" w:styleId="Heading2">
    <w:name w:val="Heading 2"/>
    <w:basedOn w:val="Normal"/>
    <w:next w:val="Normal"/>
    <w:qFormat/>
    <w:pPr>
      <w:spacing w:after="60" w:before="140"/>
      <w:outlineLvl w:val="1"/>
    </w:pPr>
    <w:rPr>
      <w:rFonts w:ascii="Arial" w:cs="Arial" w:eastAsia="Arial" w:hAnsi="Arial"/>
      <w:b/>
      <w:bCs/>
      <w:color w:val="2E5597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2026-10-05T17:41:22.818Z</dcterms:created>
  <dcterms:modified xsi:type="dcterms:W3CDTF">2026-10-05T17:41:22.820Z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