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0"/>
          <w:szCs w:val="30"/>
        </w:rPr>
        <w:t xml:space="preserve">SC4016 Group Assignment: Interpretation of Findings</w:t>
      </w:r>
    </w:p>
    <w:p>
      <w:pPr>
        <w:spacing w:after="160"/>
        <w:jc w:val="center"/>
      </w:pPr>
      <w:r>
        <w:rPr>
          <w:rFonts w:ascii="Arial" w:cs="Arial" w:eastAsia="Arial" w:hAnsi="Arial"/>
          <w:i/>
          <w:iCs/>
          <w:sz w:val="20"/>
          <w:szCs w:val="20"/>
        </w:rPr>
        <w:t xml:space="preserve">Companion to SC4016_Data_Findings.docx. Each section restates the key data point, then interprets it. Statements without a citation are the team's own reading of the data; statements drawn from external sources are cited in APA 7th edition style.</w:t>
      </w:r>
    </w:p>
    <w:p>
      <w:pPr>
        <w:spacing w:after="100" w:line="252"/>
      </w:pPr>
      <w:r>
        <w:rPr>
          <w:rFonts w:ascii="Arial" w:cs="Arial" w:eastAsia="Arial" w:hAnsi="Arial"/>
          <w:i/>
          <w:iCs/>
          <w:sz w:val="22"/>
          <w:szCs w:val="22"/>
        </w:rPr>
        <w:t xml:space="preserve">Note on sources:</w:t>
      </w:r>
      <w:r>
        <w:rPr>
          <w:rFonts w:ascii="Arial" w:cs="Arial" w:eastAsia="Arial" w:hAnsi="Arial"/>
          <w:sz w:val="22"/>
          <w:szCs w:val="22"/>
        </w:rPr>
        <w:t xml:space="preserve"> external reports dated before 2026 are used only to describe how the groups operate (TTPs) or for general background, never as victim data, in line with the brief's requirement that the dataset is limited to January–September 2026.</w:t>
      </w:r>
    </w:p>
    <w:p>
      <w:pPr>
        <w:pStyle w:val="Heading1"/>
      </w:pPr>
      <w:r>
        <w:rPr>
          <w:rFonts w:ascii="Arial" w:cs="Arial" w:eastAsia="Arial" w:hAnsi="Arial"/>
        </w:rPr>
        <w:t xml:space="preserve">Q1. Countries most targeted</w:t>
      </w:r>
    </w:p>
    <w:p>
      <w:pPr>
        <w:shd w:fill="EAF0F8" w:color="auto" w:val="clear"/>
        <w:spacing w:after="100"/>
      </w:pPr>
      <w:r>
        <w:rPr>
          <w:rFonts w:ascii="Arial" w:cs="Arial" w:eastAsia="Arial" w:hAnsi="Arial"/>
          <w:b/>
          <w:bCs/>
          <w:sz w:val="20"/>
          <w:szCs w:val="20"/>
        </w:rPr>
        <w:t xml:space="preserve">Data: </w:t>
      </w:r>
      <w:r>
        <w:rPr>
          <w:rFonts w:ascii="Arial" w:cs="Arial" w:eastAsia="Arial" w:hAnsi="Arial"/>
          <w:sz w:val="20"/>
          <w:szCs w:val="20"/>
        </w:rPr>
        <w:t xml:space="preserve">US 262 of 398 victims (65.8%); US + Canada 73.1%; 38 countries in total. Chaos 92.7% North America; DireWolf 30.2% US across 19 countries.</w:t>
      </w:r>
    </w:p>
    <w:p>
      <w:pPr>
        <w:spacing w:after="100" w:line="252"/>
      </w:pPr>
      <w:r>
        <w:rPr>
          <w:rFonts w:ascii="Arial" w:cs="Arial" w:eastAsia="Arial" w:hAnsi="Arial"/>
          <w:sz w:val="22"/>
          <w:szCs w:val="22"/>
        </w:rPr>
        <w:t xml:space="preserve">Ransomware victimisation in 2026 remains heavily concentrated in North America, with English-speaking, high-income economies (the US, Canada, the UK and Australia) making up the large majority of victims. The degree of concentration, however, depends strongly on the group, which suggests that each group's method of gaining access shapes where its victims are.</w:t>
      </w:r>
    </w:p>
    <w:p>
      <w:pPr>
        <w:spacing w:after="100" w:line="252"/>
      </w:pPr>
      <w:r>
        <w:rPr>
          <w:rFonts w:ascii="Arial" w:cs="Arial" w:eastAsia="Arial" w:hAnsi="Arial"/>
          <w:sz w:val="22"/>
          <w:szCs w:val="22"/>
        </w:rPr>
        <w:t xml:space="preserve">Chaos is the most North-American-focused group (92.7%). This is consistent with its reported access method: flooding staff with spam, then phoning them while posing as IT support and talking them into opening Microsoft Quick Assist (Bennett et al., 2025). Social engineering by phone depends on the attacker speaking the victim's language, which naturally limits Chaos to English-speaking targets.</w:t>
      </w:r>
    </w:p>
    <w:p>
      <w:pPr>
        <w:spacing w:after="100" w:line="252"/>
      </w:pPr>
      <w:r>
        <w:rPr>
          <w:rFonts w:ascii="Arial" w:cs="Arial" w:eastAsia="Arial" w:hAnsi="Arial"/>
          <w:sz w:val="22"/>
          <w:szCs w:val="22"/>
        </w:rPr>
        <w:t xml:space="preserve">DireWolf shows the opposite pattern. Halcyon (2025) reported that around 60% of Dire Wolf's victims in 2025 were in the Asia-Pacific region, yet only 7 of its 43 victims in our 2026 data (16%) are in Asia (Malaysia, India, Thailand), while the US is now its single largest country. This suggests Dire Wolf has shifted toward Western targets in 2026, although differences in how sources assign countries could also contribute.</w:t>
      </w:r>
    </w:p>
    <w:p>
      <w:pPr>
        <w:pStyle w:val="Heading1"/>
      </w:pPr>
      <w:r>
        <w:rPr>
          <w:rFonts w:ascii="Arial" w:cs="Arial" w:eastAsia="Arial" w:hAnsi="Arial"/>
        </w:rPr>
        <w:t xml:space="preserve">Q2. Why some countries are more targeted than others</w:t>
      </w:r>
    </w:p>
    <w:p>
      <w:pPr>
        <w:shd w:fill="EAF0F8" w:color="auto" w:val="clear"/>
        <w:spacing w:after="100"/>
      </w:pPr>
      <w:r>
        <w:rPr>
          <w:rFonts w:ascii="Arial" w:cs="Arial" w:eastAsia="Arial" w:hAnsi="Arial"/>
          <w:b/>
          <w:bCs/>
          <w:sz w:val="20"/>
          <w:szCs w:val="20"/>
        </w:rPr>
        <w:t xml:space="preserve">Data: </w:t>
      </w:r>
      <w:r>
        <w:rPr>
          <w:rFonts w:ascii="Arial" w:cs="Arial" w:eastAsia="Arial" w:hAnsi="Arial"/>
          <w:sz w:val="20"/>
          <w:szCs w:val="20"/>
        </w:rPr>
        <w:t xml:space="preserve">No victims in Russia or other CIS countries; 14 Asia-Pacific and 10 Latin American victims; SETTRA's larger victims carry larger claimed leaks.</w:t>
      </w:r>
    </w:p>
    <w:p>
      <w:pPr>
        <w:pStyle w:val="ListParagraph"/>
        <w:numPr>
          <w:ilvl w:val="0"/>
          <w:numId w:val="2"/>
        </w:numPr>
        <w:spacing w:after="50" w:line="252"/>
      </w:pPr>
      <w:r>
        <w:rPr>
          <w:rFonts w:ascii="Arial" w:cs="Arial" w:eastAsia="Arial" w:hAnsi="Arial"/>
          <w:b/>
          <w:bCs/>
          <w:sz w:val="22"/>
          <w:szCs w:val="22"/>
        </w:rPr>
        <w:t xml:space="preserve">Exposed remote-access infrastructure.</w:t>
      </w:r>
      <w:r>
        <w:rPr>
          <w:rFonts w:ascii="Arial" w:cs="Arial" w:eastAsia="Arial" w:hAnsi="Arial"/>
          <w:sz w:val="22"/>
          <w:szCs w:val="22"/>
        </w:rPr>
        <w:t xml:space="preserve"> Play's documented entry points are internet-facing systems: Fortinet FortiOS and Microsoft Exchange vulnerabilities, plus RDP and VPN accounts (Cybersecurity and Infrastructure Security Agency [CISA] et al., 2025). SETTRA also gains entry through compromised VPN credentials (MOXFIVE, 2026). In June 2026, during our study period, Singapore's Cyber Security Agency (CSA) warned that over 70,000 FortiGate device credentials had been compromised through brute-force and credential-stuffing attacks, which could give attackers VPN access and a route into the internal network (Cyber Security Agency of Singapore [CSA], 2026). Economies with very large numbers of small and mid-sized firms running such devices therefore offer the largest pool of easy targets.</w:t>
      </w:r>
    </w:p>
    <w:p>
      <w:pPr>
        <w:pStyle w:val="ListParagraph"/>
        <w:numPr>
          <w:ilvl w:val="0"/>
          <w:numId w:val="2"/>
        </w:numPr>
        <w:spacing w:after="50" w:line="252"/>
      </w:pPr>
      <w:r>
        <w:rPr>
          <w:rFonts w:ascii="Arial" w:cs="Arial" w:eastAsia="Arial" w:hAnsi="Arial"/>
          <w:b/>
          <w:bCs/>
          <w:sz w:val="22"/>
          <w:szCs w:val="22"/>
        </w:rPr>
        <w:t xml:space="preserve">Language-dependent social engineering.</w:t>
      </w:r>
      <w:r>
        <w:rPr>
          <w:rFonts w:ascii="Arial" w:cs="Arial" w:eastAsia="Arial" w:hAnsi="Arial"/>
          <w:sz w:val="22"/>
          <w:szCs w:val="22"/>
        </w:rPr>
        <w:t xml:space="preserve"> As noted in Q1, phone-based intrusion (Bennett et al., 2025) favours English-speaking countries. CSA and the Singapore Police Force also warned in June 2026 about technical-support scams impersonating Microsoft, showing that this style of deception remained active during the study period (Singapore Police Force &amp; CSA, 2026).</w:t>
      </w:r>
    </w:p>
    <w:p>
      <w:pPr>
        <w:pStyle w:val="ListParagraph"/>
        <w:numPr>
          <w:ilvl w:val="0"/>
          <w:numId w:val="2"/>
        </w:numPr>
        <w:spacing w:after="50" w:line="252"/>
      </w:pPr>
      <w:r>
        <w:rPr>
          <w:rFonts w:ascii="Arial" w:cs="Arial" w:eastAsia="Arial" w:hAnsi="Arial"/>
          <w:b/>
          <w:bCs/>
          <w:sz w:val="22"/>
          <w:szCs w:val="22"/>
        </w:rPr>
        <w:t xml:space="preserve">Deliberate avoidance of CIS countries.</w:t>
      </w:r>
      <w:r>
        <w:rPr>
          <w:rFonts w:ascii="Arial" w:cs="Arial" w:eastAsia="Arial" w:hAnsi="Arial"/>
          <w:sz w:val="22"/>
          <w:szCs w:val="22"/>
        </w:rPr>
        <w:t xml:space="preserve"> Our dataset contains no victims in Russia or other CIS countries. Blockchain-analysis research reported that over 90% of ransom payments since 2020 went to ransomware strains designed to avoid CIS and Russian-speaking countries, often by checking for a Cyrillic keyboard (Uchill, 2021). The absence of CIS victims in all five groups is consistent with this long-standing pattern.</w:t>
      </w:r>
    </w:p>
    <w:p>
      <w:pPr>
        <w:pStyle w:val="ListParagraph"/>
        <w:numPr>
          <w:ilvl w:val="0"/>
          <w:numId w:val="2"/>
        </w:numPr>
        <w:spacing w:after="50" w:line="252"/>
      </w:pPr>
      <w:r>
        <w:rPr>
          <w:rFonts w:ascii="Arial" w:cs="Arial" w:eastAsia="Arial" w:hAnsi="Arial"/>
          <w:b/>
          <w:bCs/>
          <w:sz w:val="22"/>
          <w:szCs w:val="22"/>
        </w:rPr>
        <w:t xml:space="preserve">Ability to pay.</w:t>
      </w:r>
      <w:r>
        <w:rPr>
          <w:rFonts w:ascii="Arial" w:cs="Arial" w:eastAsia="Arial" w:hAnsi="Arial"/>
          <w:sz w:val="22"/>
          <w:szCs w:val="22"/>
        </w:rPr>
        <w:t xml:space="preserve"> Wealthier economies host more companies able to pay large ransoms. Within our data, SETTRA's claimed leak sizes rise with victim revenue (Q6), indicating that larger firms are also worth more to the attacker.</w:t>
      </w:r>
    </w:p>
    <w:p>
      <w:pPr>
        <w:pStyle w:val="ListParagraph"/>
        <w:numPr>
          <w:ilvl w:val="0"/>
          <w:numId w:val="2"/>
        </w:numPr>
        <w:spacing w:after="50" w:line="252"/>
      </w:pPr>
      <w:r>
        <w:rPr>
          <w:rFonts w:ascii="Arial" w:cs="Arial" w:eastAsia="Arial" w:hAnsi="Arial"/>
          <w:b/>
          <w:bCs/>
          <w:sz w:val="22"/>
          <w:szCs w:val="22"/>
        </w:rPr>
        <w:t xml:space="preserve">Visibility bias.</w:t>
      </w:r>
      <w:r>
        <w:rPr>
          <w:rFonts w:ascii="Arial" w:cs="Arial" w:eastAsia="Arial" w:hAnsi="Arial"/>
          <w:sz w:val="22"/>
          <w:szCs w:val="22"/>
        </w:rPr>
        <w:t xml:space="preserve"> A DLS only shows victims who have not (yet) paid, so countries where victims tend to pay quickly may be under-represented in leak-site data.</w:t>
      </w:r>
    </w:p>
    <w:p>
      <w:pPr>
        <w:pStyle w:val="Heading1"/>
      </w:pPr>
      <w:r>
        <w:rPr>
          <w:rFonts w:ascii="Arial" w:cs="Arial" w:eastAsia="Arial" w:hAnsi="Arial"/>
        </w:rPr>
        <w:t xml:space="preserve">Q3. Most prolific or successful group</w:t>
      </w:r>
    </w:p>
    <w:p>
      <w:pPr>
        <w:shd w:fill="EAF0F8" w:color="auto" w:val="clear"/>
        <w:spacing w:after="100"/>
      </w:pPr>
      <w:r>
        <w:rPr>
          <w:rFonts w:ascii="Arial" w:cs="Arial" w:eastAsia="Arial" w:hAnsi="Arial"/>
          <w:b/>
          <w:bCs/>
          <w:sz w:val="20"/>
          <w:szCs w:val="20"/>
        </w:rPr>
        <w:t xml:space="preserve">Data: </w:t>
      </w:r>
      <w:r>
        <w:rPr>
          <w:rFonts w:ascii="Arial" w:cs="Arial" w:eastAsia="Arial" w:hAnsi="Arial"/>
          <w:sz w:val="20"/>
          <w:szCs w:val="20"/>
        </w:rPr>
        <w:t xml:space="preserve">Play 167 victims (42.0%), 18.6 per month, posts in 32 of 39 weeks. SETTRA 17.0 per month since June. Chaos largest total claimed data (28.2 TB) and 41 posts on countdown.</w:t>
      </w:r>
    </w:p>
    <w:p>
      <w:pPr>
        <w:spacing w:after="100" w:line="252"/>
      </w:pPr>
      <w:r>
        <w:rPr>
          <w:rFonts w:ascii="Arial" w:cs="Arial" w:eastAsia="Arial" w:hAnsi="Arial"/>
          <w:b/>
          <w:bCs/>
          <w:sz w:val="22"/>
          <w:szCs w:val="22"/>
        </w:rPr>
        <w:t xml:space="preserve">Play is the most prolific group</w:t>
      </w:r>
      <w:r>
        <w:rPr>
          <w:rFonts w:ascii="Arial" w:cs="Arial" w:eastAsia="Arial" w:hAnsi="Arial"/>
          <w:sz w:val="22"/>
          <w:szCs w:val="22"/>
        </w:rPr>
        <w:t xml:space="preserve"> by every volume measure: total victims, victims per month and consistency across the nine months. This continues the scale reported by US and Australian authorities, who counted about 900 organisations affected by Play by May 2025 (CISA et al., 2025). Play operates as a closed group rather than an affiliate program and recompiles its malware for every attack so that each sample has a different file hash, which defeats signature-based antivirus (CISA et al., 2025). A tightly controlled, repeatable operation fits the steady posting pattern seen in our data.</w:t>
      </w:r>
    </w:p>
    <w:p>
      <w:pPr>
        <w:spacing w:after="100" w:line="252"/>
      </w:pPr>
      <w:r>
        <w:rPr>
          <w:rFonts w:ascii="Arial" w:cs="Arial" w:eastAsia="Arial" w:hAnsi="Arial"/>
          <w:b/>
          <w:bCs/>
          <w:sz w:val="22"/>
          <w:szCs w:val="22"/>
        </w:rPr>
        <w:t xml:space="preserve">SETTRA is the fastest-rising group.</w:t>
      </w:r>
      <w:r>
        <w:rPr>
          <w:rFonts w:ascii="Arial" w:cs="Arial" w:eastAsia="Arial" w:hAnsi="Arial"/>
          <w:sz w:val="22"/>
          <w:szCs w:val="22"/>
        </w:rPr>
        <w:t xml:space="preserve"> Although it first posted in June 2026, its monthly rate (17.0) almost matches Play's. Proven Data (2026) and MOXFIVE (2026) both describe SETTRA as a new operation that emerged in June 2026 with no confirmed links to earlier groups. Its total is therefore not comparable to groups active all year, and per-month rate is the fairer measure.</w:t>
      </w:r>
    </w:p>
    <w:p>
      <w:pPr>
        <w:spacing w:after="100" w:line="252"/>
      </w:pPr>
      <w:r>
        <w:rPr>
          <w:rFonts w:ascii="Arial" w:cs="Arial" w:eastAsia="Arial" w:hAnsi="Arial"/>
          <w:b/>
          <w:bCs/>
          <w:sz w:val="22"/>
          <w:szCs w:val="22"/>
        </w:rPr>
        <w:t xml:space="preserve">Chaos claims the largest thefts.</w:t>
      </w:r>
      <w:r>
        <w:rPr>
          <w:rFonts w:ascii="Arial" w:cs="Arial" w:eastAsia="Arial" w:hAnsi="Arial"/>
          <w:sz w:val="22"/>
          <w:szCs w:val="22"/>
        </w:rPr>
        <w:t xml:space="preserve"> Its median claimed leak (400 GB) is the highest of the five groups and it had 41 posts on countdown at once when scraped, more than all other groups combined. Cisco Talos observed Chaos demanding ransoms of up to US$300,000 and threatening DDoS attacks and notification of clients and competitors to increase pressure (Bennett et al., 2025).</w:t>
      </w:r>
    </w:p>
    <w:p>
      <w:pPr>
        <w:spacing w:after="100" w:line="252"/>
      </w:pPr>
      <w:r>
        <w:rPr>
          <w:rFonts w:ascii="Arial" w:cs="Arial" w:eastAsia="Arial" w:hAnsi="Arial"/>
          <w:sz w:val="22"/>
          <w:szCs w:val="22"/>
        </w:rPr>
        <w:t xml:space="preserve">"Success" therefore depends on the measure: Play leads on volume and consistency, SETTRA on growth rate, and Chaos on the scale of each theft. Because victims who pay are usually never listed, the number of listed (non-paying) victims reflects how many intrusions a group carries out rather than how much it earns.</w:t>
      </w:r>
    </w:p>
    <w:p>
      <w:pPr>
        <w:pStyle w:val="Heading1"/>
      </w:pPr>
      <w:r>
        <w:rPr>
          <w:rFonts w:ascii="Arial" w:cs="Arial" w:eastAsia="Arial" w:hAnsi="Arial"/>
        </w:rPr>
        <w:t xml:space="preserve">Q4. What makes their TTPs successful</w:t>
      </w:r>
    </w:p>
    <w:p>
      <w:pPr>
        <w:spacing w:after="100" w:line="252"/>
      </w:pPr>
      <w:r>
        <w:rPr>
          <w:rFonts w:ascii="Arial" w:cs="Arial" w:eastAsia="Arial" w:hAnsi="Arial"/>
          <w:sz w:val="22"/>
          <w:szCs w:val="22"/>
        </w:rPr>
        <w:t xml:space="preserve">DLS posts do not describe attack methods, so this section is drawn entirely from external threat reporting.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1700"/>
        <w:gridCol w:w="1826"/>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tcPr>
          <w:p>
            <w:r>
              <w:rPr>
                <w:rFonts w:ascii="Arial" w:cs="Arial" w:eastAsia="Arial" w:hAnsi="Arial"/>
                <w:b/>
                <w:bCs/>
                <w:color w:val="FFFFFF"/>
                <w:sz w:val="16"/>
                <w:szCs w:val="16"/>
              </w:rPr>
              <w:t xml:space="preserve">Group</w:t>
            </w:r>
          </w:p>
        </w:tc>
        <w:tc>
          <w:tcPr>
            <w:tcW w:type="dxa" w:w="2000"/>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tcPr>
          <w:p>
            <w:r>
              <w:rPr>
                <w:rFonts w:ascii="Arial" w:cs="Arial" w:eastAsia="Arial" w:hAnsi="Arial"/>
                <w:b/>
                <w:bCs/>
                <w:color w:val="FFFFFF"/>
                <w:sz w:val="16"/>
                <w:szCs w:val="16"/>
              </w:rPr>
              <w:t xml:space="preserve">Initial access</w:t>
            </w:r>
          </w:p>
        </w:tc>
        <w:tc>
          <w:tcPr>
            <w:tcW w:type="dxa" w:w="2000"/>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tcPr>
          <w:p>
            <w:r>
              <w:rPr>
                <w:rFonts w:ascii="Arial" w:cs="Arial" w:eastAsia="Arial" w:hAnsi="Arial"/>
                <w:b/>
                <w:bCs/>
                <w:color w:val="FFFFFF"/>
                <w:sz w:val="16"/>
                <w:szCs w:val="16"/>
              </w:rPr>
              <w:t xml:space="preserve">Execution and evasion</w:t>
            </w:r>
          </w:p>
        </w:tc>
        <w:tc>
          <w:tcPr>
            <w:tcW w:type="dxa" w:w="1700"/>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tcPr>
          <w:p>
            <w:r>
              <w:rPr>
                <w:rFonts w:ascii="Arial" w:cs="Arial" w:eastAsia="Arial" w:hAnsi="Arial"/>
                <w:b/>
                <w:bCs/>
                <w:color w:val="FFFFFF"/>
                <w:sz w:val="16"/>
                <w:szCs w:val="16"/>
              </w:rPr>
              <w:t xml:space="preserve">Encryption / impact</w:t>
            </w:r>
          </w:p>
        </w:tc>
        <w:tc>
          <w:tcPr>
            <w:tcW w:type="dxa" w:w="1826"/>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tcPr>
          <w:p>
            <w:r>
              <w:rPr>
                <w:rFonts w:ascii="Arial" w:cs="Arial" w:eastAsia="Arial" w:hAnsi="Arial"/>
                <w:b/>
                <w:bCs/>
                <w:color w:val="FFFFFF"/>
                <w:sz w:val="16"/>
                <w:szCs w:val="16"/>
              </w:rPr>
              <w:t xml:space="preserve">Extortion</w:t>
            </w:r>
          </w:p>
        </w:tc>
      </w:tr>
      <w:tr>
        <w:tc>
          <w:tcPr>
            <w:tcW w:type="dxa" w:w="15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sz w:val="16"/>
                <w:szCs w:val="16"/>
              </w:rPr>
              <w:t xml:space="preserve">Play (CISA et al., 2025; The Hacker News, 2025a)</w:t>
            </w:r>
          </w:p>
        </w:tc>
        <w:tc>
          <w:tcPr>
            <w:tcW w:type="dxa" w:w="20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sz w:val="16"/>
                <w:szCs w:val="16"/>
              </w:rPr>
              <w:t xml:space="preserve">Exploits known flaws in FortiOS (CVE-2018-13379, CVE-2020-12812), Exchange (CVE-2022-41040/41082) and SimpleHelp (CVE-2024-57727); valid RDP/VPN accounts; also used Windows zero-day CVE-2025-29824</w:t>
            </w:r>
          </w:p>
        </w:tc>
        <w:tc>
          <w:tcPr>
            <w:tcW w:type="dxa" w:w="20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sz w:val="16"/>
                <w:szCs w:val="16"/>
              </w:rPr>
              <w:t xml:space="preserve">AdFind, Grixba, Cobalt Strike, SystemBC, PsExec, Mimikatz; disables antivirus; new binary compiled per victim</w:t>
            </w:r>
          </w:p>
        </w:tc>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sz w:val="16"/>
                <w:szCs w:val="16"/>
              </w:rPr>
              <w:t xml:space="preserve">Intermittent encryption; ESXi variant for virtual machines</w:t>
            </w:r>
          </w:p>
        </w:tc>
        <w:tc>
          <w:tcPr>
            <w:tcW w:type="dxa" w:w="1826"/>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sz w:val="16"/>
                <w:szCs w:val="16"/>
              </w:rPr>
              <w:t xml:space="preserve">Closed group; email contact; phone calls to pressure victims</w:t>
            </w:r>
          </w:p>
        </w:tc>
      </w:tr>
      <w:tr>
        <w:tc>
          <w:tcPr>
            <w:tcW w:type="dxa" w:w="15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sz w:val="16"/>
                <w:szCs w:val="16"/>
              </w:rPr>
              <w:t xml:space="preserve">Anubis (Policarpio et al., 2025)</w:t>
            </w:r>
          </w:p>
        </w:tc>
        <w:tc>
          <w:tcPr>
            <w:tcW w:type="dxa" w:w="20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sz w:val="16"/>
                <w:szCs w:val="16"/>
              </w:rPr>
              <w:t xml:space="preserve">Spear-phishing emails</w:t>
            </w:r>
          </w:p>
        </w:tc>
        <w:tc>
          <w:tcPr>
            <w:tcW w:type="dxa" w:w="20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sz w:val="16"/>
                <w:szCs w:val="16"/>
              </w:rPr>
              <w:t xml:space="preserve">Checks for admin rights; deletes shadow copies</w:t>
            </w:r>
          </w:p>
        </w:tc>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sz w:val="16"/>
                <w:szCs w:val="16"/>
              </w:rPr>
              <w:t xml:space="preserve">Optional /WIPEMODE permanently destroys files</w:t>
            </w:r>
          </w:p>
        </w:tc>
        <w:tc>
          <w:tcPr>
            <w:tcW w:type="dxa" w:w="1826"/>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sz w:val="16"/>
                <w:szCs w:val="16"/>
              </w:rPr>
              <w:t xml:space="preserve">RaaS with affiliate streams for encryption, data-only extortion and access sales</w:t>
            </w:r>
          </w:p>
        </w:tc>
      </w:tr>
      <w:tr>
        <w:tc>
          <w:tcPr>
            <w:tcW w:type="dxa" w:w="15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sz w:val="16"/>
                <w:szCs w:val="16"/>
              </w:rPr>
              <w:t xml:space="preserve">Chaos (Bennett et al., 2025)</w:t>
            </w:r>
          </w:p>
        </w:tc>
        <w:tc>
          <w:tcPr>
            <w:tcW w:type="dxa" w:w="20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sz w:val="16"/>
                <w:szCs w:val="16"/>
              </w:rPr>
              <w:t xml:space="preserve">Spam flooding, then phone call posing as IT support; victim opens Microsoft Quick Assist</w:t>
            </w:r>
          </w:p>
        </w:tc>
        <w:tc>
          <w:tcPr>
            <w:tcW w:type="dxa" w:w="20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sz w:val="16"/>
                <w:szCs w:val="16"/>
              </w:rPr>
              <w:t xml:space="preserve">Legitimate remote tools (AnyDesk, ScreenConnect, Splashtop); GoodSync for data theft</w:t>
            </w:r>
          </w:p>
        </w:tc>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sz w:val="16"/>
                <w:szCs w:val="16"/>
              </w:rPr>
              <w:t xml:space="preserve">Fast, selective, multi-threaded encryption</w:t>
            </w:r>
          </w:p>
        </w:tc>
        <w:tc>
          <w:tcPr>
            <w:tcW w:type="dxa" w:w="1826"/>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sz w:val="16"/>
                <w:szCs w:val="16"/>
              </w:rPr>
              <w:t xml:space="preserve">Demands up to US$300K; threats of DDoS and of notifying clients/competitors</w:t>
            </w:r>
          </w:p>
        </w:tc>
      </w:tr>
      <w:tr>
        <w:tc>
          <w:tcPr>
            <w:tcW w:type="dxa" w:w="15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sz w:val="16"/>
                <w:szCs w:val="16"/>
              </w:rPr>
              <w:t xml:space="preserve">Dire Wolf (CSA, 2025; Halcyon, 2025)</w:t>
            </w:r>
          </w:p>
        </w:tc>
        <w:tc>
          <w:tcPr>
            <w:tcW w:type="dxa" w:w="20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sz w:val="16"/>
                <w:szCs w:val="16"/>
              </w:rPr>
              <w:t xml:space="preserve">Not confirmed; suspected phishing and exposed RDP/VPN</w:t>
            </w:r>
          </w:p>
        </w:tc>
        <w:tc>
          <w:tcPr>
            <w:tcW w:type="dxa" w:w="20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sz w:val="16"/>
                <w:szCs w:val="16"/>
              </w:rPr>
              <w:t xml:space="preserve">Stops about 75 security and backup services; kills event logging; deletes shadow copies and backups</w:t>
            </w:r>
          </w:p>
        </w:tc>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sz w:val="16"/>
                <w:szCs w:val="16"/>
              </w:rPr>
              <w:t xml:space="preserve">Curve25519 + ChaCha20; files over 1 MB only partly encrypted</w:t>
            </w:r>
          </w:p>
        </w:tc>
        <w:tc>
          <w:tcPr>
            <w:tcW w:type="dxa" w:w="1826"/>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sz w:val="16"/>
                <w:szCs w:val="16"/>
              </w:rPr>
              <w:t xml:space="preserve">Double extortion; demands up to US$500K; 30-day negotiation deadline</w:t>
            </w:r>
          </w:p>
        </w:tc>
      </w:tr>
      <w:tr>
        <w:tc>
          <w:tcPr>
            <w:tcW w:type="dxa" w:w="15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sz w:val="16"/>
                <w:szCs w:val="16"/>
              </w:rPr>
              <w:t xml:space="preserve">SETTRA (MOXFIVE, 2026; Proven Data, 2026)</w:t>
            </w:r>
          </w:p>
        </w:tc>
        <w:tc>
          <w:tcPr>
            <w:tcW w:type="dxa" w:w="20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sz w:val="16"/>
                <w:szCs w:val="16"/>
              </w:rPr>
              <w:t xml:space="preserve">Compromised VPN credentials, often from infostealer infections</w:t>
            </w:r>
          </w:p>
        </w:tc>
        <w:tc>
          <w:tcPr>
            <w:tcW w:type="dxa" w:w="20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sz w:val="16"/>
                <w:szCs w:val="16"/>
              </w:rPr>
              <w:t xml:space="preserve">NetExec, Mimikatz, PAExec, Mesh Agent; disables EDR via vulnerable driver; clears event logs</w:t>
            </w:r>
          </w:p>
        </w:tc>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sz w:val="16"/>
                <w:szCs w:val="16"/>
              </w:rPr>
              <w:t xml:space="preserve">Encryption not yet documented; behaves as a "data broker"</w:t>
            </w:r>
          </w:p>
        </w:tc>
        <w:tc>
          <w:tcPr>
            <w:tcW w:type="dxa" w:w="1826"/>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sz w:val="16"/>
                <w:szCs w:val="16"/>
              </w:rPr>
              <w:t xml:space="preserve">Long-form "exposé" leak posts on Tor site</w:t>
            </w:r>
          </w:p>
        </w:tc>
      </w:tr>
    </w:tbl>
    <w:p>
      <w:pPr>
        <w:spacing w:after="80"/>
      </w:pPr>
    </w:p>
    <w:p>
      <w:pPr>
        <w:spacing w:after="100" w:line="252"/>
      </w:pPr>
      <w:r>
        <w:rPr>
          <w:rFonts w:ascii="Arial" w:cs="Arial" w:eastAsia="Arial" w:hAnsi="Arial"/>
          <w:sz w:val="22"/>
          <w:szCs w:val="22"/>
        </w:rPr>
        <w:t xml:space="preserve">Four features are shared across the five groups:</w:t>
      </w:r>
    </w:p>
    <w:p>
      <w:pPr>
        <w:pStyle w:val="ListParagraph"/>
        <w:numPr>
          <w:ilvl w:val="0"/>
          <w:numId w:val="2"/>
        </w:numPr>
        <w:spacing w:after="50" w:line="252"/>
      </w:pPr>
      <w:r>
        <w:rPr>
          <w:rFonts w:ascii="Arial" w:cs="Arial" w:eastAsia="Arial" w:hAnsi="Arial"/>
          <w:b/>
          <w:bCs/>
          <w:sz w:val="22"/>
          <w:szCs w:val="22"/>
        </w:rPr>
        <w:t xml:space="preserve">Cheap, scalable entry.</w:t>
      </w:r>
      <w:r>
        <w:rPr>
          <w:rFonts w:ascii="Arial" w:cs="Arial" w:eastAsia="Arial" w:hAnsi="Arial"/>
          <w:sz w:val="22"/>
          <w:szCs w:val="22"/>
        </w:rPr>
        <w:t xml:space="preserve"> Most access comes from known but unpatched vulnerabilities, stolen or weak credentials, and people rather than technical exploits (CISA et al., 2025; Bennett et al., 2025; MOXFIVE, 2026). The FortiBleed advisory shows such credential weaknesses were still being exploited at scale in June 2026 (CSA, 2026). Play's use of a Windows zero-day (The Hacker News, 2025a) shows that the most prolific group can also escalate to advanced techniques when needed.</w:t>
      </w:r>
    </w:p>
    <w:p>
      <w:pPr>
        <w:pStyle w:val="ListParagraph"/>
        <w:numPr>
          <w:ilvl w:val="0"/>
          <w:numId w:val="2"/>
        </w:numPr>
        <w:spacing w:after="50" w:line="252"/>
      </w:pPr>
      <w:r>
        <w:rPr>
          <w:rFonts w:ascii="Arial" w:cs="Arial" w:eastAsia="Arial" w:hAnsi="Arial"/>
          <w:b/>
          <w:bCs/>
          <w:sz w:val="22"/>
          <w:szCs w:val="22"/>
        </w:rPr>
        <w:t xml:space="preserve">Hiding in legitimate activity.</w:t>
      </w:r>
      <w:r>
        <w:rPr>
          <w:rFonts w:ascii="Arial" w:cs="Arial" w:eastAsia="Arial" w:hAnsi="Arial"/>
          <w:sz w:val="22"/>
          <w:szCs w:val="22"/>
        </w:rPr>
        <w:t xml:space="preserve"> All five rely on legitimate admin and remote-access tools, and several disable security software or clear logs (CISA et al., 2025; Halcyon, 2025; MOXFIVE, 2026), which makes detection harder.</w:t>
      </w:r>
    </w:p>
    <w:p>
      <w:pPr>
        <w:pStyle w:val="ListParagraph"/>
        <w:numPr>
          <w:ilvl w:val="0"/>
          <w:numId w:val="2"/>
        </w:numPr>
        <w:spacing w:after="50" w:line="252"/>
      </w:pPr>
      <w:r>
        <w:rPr>
          <w:rFonts w:ascii="Arial" w:cs="Arial" w:eastAsia="Arial" w:hAnsi="Arial"/>
          <w:b/>
          <w:bCs/>
          <w:sz w:val="22"/>
          <w:szCs w:val="22"/>
        </w:rPr>
        <w:t xml:space="preserve">Speed.</w:t>
      </w:r>
      <w:r>
        <w:rPr>
          <w:rFonts w:ascii="Arial" w:cs="Arial" w:eastAsia="Arial" w:hAnsi="Arial"/>
          <w:sz w:val="22"/>
          <w:szCs w:val="22"/>
        </w:rPr>
        <w:t xml:space="preserve"> Play's intermittent encryption and Dire Wolf's partial encryption of large files lock systems in a fraction of the time full encryption would take (CISA et al., 2025; Halcyon, 2025).</w:t>
      </w:r>
    </w:p>
    <w:p>
      <w:pPr>
        <w:pStyle w:val="ListParagraph"/>
        <w:numPr>
          <w:ilvl w:val="0"/>
          <w:numId w:val="2"/>
        </w:numPr>
        <w:spacing w:after="50" w:line="252"/>
      </w:pPr>
      <w:r>
        <w:rPr>
          <w:rFonts w:ascii="Arial" w:cs="Arial" w:eastAsia="Arial" w:hAnsi="Arial"/>
          <w:b/>
          <w:bCs/>
          <w:sz w:val="22"/>
          <w:szCs w:val="22"/>
        </w:rPr>
        <w:t xml:space="preserve">Layered pressure.</w:t>
      </w:r>
      <w:r>
        <w:rPr>
          <w:rFonts w:ascii="Arial" w:cs="Arial" w:eastAsia="Arial" w:hAnsi="Arial"/>
          <w:sz w:val="22"/>
          <w:szCs w:val="22"/>
        </w:rPr>
        <w:t xml:space="preserve"> Data theft is combined with encryption, file destruction (Policarpio et al., 2025), backup deletion (Halcyon, 2025) and direct harassment (Bennett et al., 2025). Our data shows the follow-through: Play published 66.5% of its victims exactly four days after listing and 86.8% in full.</w:t>
      </w:r>
    </w:p>
    <w:p>
      <w:pPr>
        <w:pStyle w:val="Heading1"/>
      </w:pPr>
      <w:r>
        <w:rPr>
          <w:rFonts w:ascii="Arial" w:cs="Arial" w:eastAsia="Arial" w:hAnsi="Arial"/>
        </w:rPr>
        <w:t xml:space="preserve">Q5. Re-branding and repurposed leaks</w:t>
      </w:r>
    </w:p>
    <w:p>
      <w:pPr>
        <w:shd w:fill="EAF0F8" w:color="auto" w:val="clear"/>
        <w:spacing w:after="100"/>
      </w:pPr>
      <w:r>
        <w:rPr>
          <w:rFonts w:ascii="Arial" w:cs="Arial" w:eastAsia="Arial" w:hAnsi="Arial"/>
          <w:b/>
          <w:bCs/>
          <w:sz w:val="20"/>
          <w:szCs w:val="20"/>
        </w:rPr>
        <w:t xml:space="preserve">Data: </w:t>
      </w:r>
      <w:r>
        <w:rPr>
          <w:rFonts w:ascii="Arial" w:cs="Arial" w:eastAsia="Arial" w:hAnsi="Arial"/>
          <w:sz w:val="20"/>
          <w:szCs w:val="20"/>
        </w:rPr>
        <w:t xml:space="preserve">No victim posted by more than one group; one "Part 2" repost (Anubis) among 398 records.</w:t>
      </w:r>
    </w:p>
    <w:p>
      <w:pPr>
        <w:spacing w:after="100" w:line="252"/>
      </w:pPr>
      <w:r>
        <w:rPr>
          <w:rFonts w:ascii="Arial" w:cs="Arial" w:eastAsia="Arial" w:hAnsi="Arial"/>
          <w:sz w:val="22"/>
          <w:szCs w:val="22"/>
        </w:rPr>
        <w:t xml:space="preserve">Within our 2026 data, recycling of old leaks to inflate reputation is </w:t>
      </w:r>
      <w:r>
        <w:rPr>
          <w:rFonts w:ascii="Arial" w:cs="Arial" w:eastAsia="Arial" w:hAnsi="Arial"/>
          <w:b/>
          <w:bCs/>
          <w:sz w:val="22"/>
          <w:szCs w:val="22"/>
        </w:rPr>
        <w:t xml:space="preserve">not common</w:t>
      </w:r>
      <w:r>
        <w:rPr>
          <w:rFonts w:ascii="Arial" w:cs="Arial" w:eastAsia="Arial" w:hAnsi="Arial"/>
          <w:sz w:val="22"/>
          <w:szCs w:val="22"/>
        </w:rPr>
        <w:t xml:space="preserve">: no victim appears on two groups' sites, and the only repost is a second release of data from the same attack. Each listing appears to represent a distinct intrusion.</w:t>
      </w:r>
    </w:p>
    <w:p>
      <w:pPr>
        <w:spacing w:after="100" w:line="252"/>
      </w:pPr>
      <w:r>
        <w:rPr>
          <w:rFonts w:ascii="Arial" w:cs="Arial" w:eastAsia="Arial" w:hAnsi="Arial"/>
          <w:sz w:val="22"/>
          <w:szCs w:val="22"/>
        </w:rPr>
        <w:t xml:space="preserve">Re-branding of the </w:t>
      </w:r>
      <w:r>
        <w:rPr>
          <w:rFonts w:ascii="Arial" w:cs="Arial" w:eastAsia="Arial" w:hAnsi="Arial"/>
          <w:b/>
          <w:bCs/>
          <w:sz w:val="22"/>
          <w:szCs w:val="22"/>
        </w:rPr>
        <w:t xml:space="preserve">groups themselves</w:t>
      </w:r>
      <w:r>
        <w:rPr>
          <w:rFonts w:ascii="Arial" w:cs="Arial" w:eastAsia="Arial" w:hAnsi="Arial"/>
          <w:sz w:val="22"/>
          <w:szCs w:val="22"/>
        </w:rPr>
        <w:t xml:space="preserve">, however, is common. Cisco Talos assesses Chaos as likely made up of former members of BlackSuit, itself a successor of Royal, based on similarities in encryption and ransom notes (Bennett et al., 2025); Chaos appeared shortly after BlackSuit's leak sites were seized (The Hacker News, 2025b). Anubis began as a development-stage variant called Sphinx (Policarpio et al., 2025). Proven Data (2026) notes that SETTRA may be a new operation or a re-branded affiliate cluster. Dire Wolf, by contrast, was assessed as a new actor with its own infrastructure (Halcyon, 2025).</w:t>
      </w:r>
    </w:p>
    <w:p>
      <w:pPr>
        <w:spacing w:after="100" w:line="252"/>
      </w:pPr>
      <w:r>
        <w:rPr>
          <w:rFonts w:ascii="Arial" w:cs="Arial" w:eastAsia="Arial" w:hAnsi="Arial"/>
          <w:sz w:val="22"/>
          <w:szCs w:val="22"/>
        </w:rPr>
        <w:t xml:space="preserve">The pattern is that groups re-brand their identity, usually after law-enforcement disruption, while keeping their people and tools, rather than recycling other groups' victims.</w:t>
      </w:r>
    </w:p>
    <w:p>
      <w:pPr>
        <w:pStyle w:val="Heading1"/>
      </w:pPr>
      <w:r>
        <w:rPr>
          <w:rFonts w:ascii="Arial" w:cs="Arial" w:eastAsia="Arial" w:hAnsi="Arial"/>
        </w:rPr>
        <w:t xml:space="preserve">Q6. Company size and revenue</w:t>
      </w:r>
    </w:p>
    <w:p>
      <w:pPr>
        <w:shd w:fill="EAF0F8" w:color="auto" w:val="clear"/>
        <w:spacing w:after="100"/>
      </w:pPr>
      <w:r>
        <w:rPr>
          <w:rFonts w:ascii="Arial" w:cs="Arial" w:eastAsia="Arial" w:hAnsi="Arial"/>
          <w:b/>
          <w:bCs/>
          <w:sz w:val="20"/>
          <w:szCs w:val="20"/>
        </w:rPr>
        <w:t xml:space="preserve">Data: </w:t>
      </w:r>
      <w:r>
        <w:rPr>
          <w:rFonts w:ascii="Arial" w:cs="Arial" w:eastAsia="Arial" w:hAnsi="Arial"/>
          <w:sz w:val="20"/>
          <w:szCs w:val="20"/>
        </w:rPr>
        <w:t xml:space="preserve">SETTRA only (68 victims): 70.6% under US$50M revenue; 8.8% above US$250M. Median claimed leak 68 GB for under $10M, 2,285 GB for over $1B.</w:t>
      </w:r>
    </w:p>
    <w:p>
      <w:pPr>
        <w:spacing w:after="100" w:line="252"/>
      </w:pPr>
      <w:r>
        <w:rPr>
          <w:rFonts w:ascii="Arial" w:cs="Arial" w:eastAsia="Arial" w:hAnsi="Arial"/>
          <w:sz w:val="22"/>
          <w:szCs w:val="22"/>
        </w:rPr>
        <w:t xml:space="preserve">Smaller companies make up most of SETTRA's victims, suggesting that </w:t>
      </w:r>
      <w:r>
        <w:rPr>
          <w:rFonts w:ascii="Arial" w:cs="Arial" w:eastAsia="Arial" w:hAnsi="Arial"/>
          <w:b/>
          <w:bCs/>
          <w:sz w:val="22"/>
          <w:szCs w:val="22"/>
        </w:rPr>
        <w:t xml:space="preserve">smaller firms face a higher risk of being attacked</w:t>
      </w:r>
      <w:r>
        <w:rPr>
          <w:rFonts w:ascii="Arial" w:cs="Arial" w:eastAsia="Arial" w:hAnsi="Arial"/>
          <w:sz w:val="22"/>
          <w:szCs w:val="22"/>
        </w:rPr>
        <w:t xml:space="preserve">. Small and mid-sized firms are far more numerous and typically have fewer security staff. In Sophos's 2025 survey of manufacturing organisations hit by ransomware, a lack of expertise (42.5%) and unknown security gaps (41.6%) were the most commonly cited organisational weaknesses (Sophos, 2025). Access methods based on stolen credentials and unpatched devices (Q4) succeed most often against exactly these organisations.</w:t>
      </w:r>
    </w:p>
    <w:p>
      <w:pPr>
        <w:spacing w:after="100" w:line="252"/>
      </w:pPr>
      <w:r>
        <w:rPr>
          <w:rFonts w:ascii="Arial" w:cs="Arial" w:eastAsia="Arial" w:hAnsi="Arial"/>
          <w:sz w:val="22"/>
          <w:szCs w:val="22"/>
        </w:rPr>
        <w:t xml:space="preserve">Larger companies, while fewer, are </w:t>
      </w:r>
      <w:r>
        <w:rPr>
          <w:rFonts w:ascii="Arial" w:cs="Arial" w:eastAsia="Arial" w:hAnsi="Arial"/>
          <w:b/>
          <w:bCs/>
          <w:sz w:val="22"/>
          <w:szCs w:val="22"/>
        </w:rPr>
        <w:t xml:space="preserve">higher-impact</w:t>
      </w:r>
      <w:r>
        <w:rPr>
          <w:rFonts w:ascii="Arial" w:cs="Arial" w:eastAsia="Arial" w:hAnsi="Arial"/>
          <w:sz w:val="22"/>
          <w:szCs w:val="22"/>
        </w:rPr>
        <w:t xml:space="preserve"> victims: claimed leak size rises steadily with revenue band, from a median of 68 GB to 2,285 GB. Larger firms hold more data and can pay more, so each successful attack is worth more to the attacker.</w:t>
      </w:r>
    </w:p>
    <w:p>
      <w:pPr>
        <w:spacing w:after="100" w:line="252"/>
      </w:pPr>
      <w:r>
        <w:rPr>
          <w:rFonts w:ascii="Arial" w:cs="Arial" w:eastAsia="Arial" w:hAnsi="Arial"/>
          <w:sz w:val="22"/>
          <w:szCs w:val="22"/>
        </w:rPr>
        <w:t xml:space="preserve">This conclusion rests on one group's data and should be treated as indicative. </w:t>
      </w:r>
      <w:r>
        <w:rPr>
          <w:rFonts w:ascii="Arial" w:cs="Arial" w:eastAsia="Arial" w:hAnsi="Arial"/>
          <w:sz w:val="22"/>
          <w:szCs w:val="22"/>
          <w:highlight w:val="yellow"/>
          <w:highlightCs w:val="yellow"/>
        </w:rPr>
        <w:t xml:space="preserve">Add revenue for other groups if looked up.</w:t>
      </w:r>
    </w:p>
    <w:p>
      <w:pPr>
        <w:pStyle w:val="Heading1"/>
      </w:pPr>
      <w:r>
        <w:rPr>
          <w:rFonts w:ascii="Arial" w:cs="Arial" w:eastAsia="Arial" w:hAnsi="Arial"/>
        </w:rPr>
        <w:t xml:space="preserve">Q7. Industries more prone to ransomware</w:t>
      </w:r>
    </w:p>
    <w:p>
      <w:pPr>
        <w:shd w:fill="EAF0F8" w:color="auto" w:val="clear"/>
        <w:spacing w:after="100"/>
      </w:pPr>
      <w:r>
        <w:rPr>
          <w:rFonts w:ascii="Arial" w:cs="Arial" w:eastAsia="Arial" w:hAnsi="Arial"/>
          <w:b/>
          <w:bCs/>
          <w:sz w:val="20"/>
          <w:szCs w:val="20"/>
        </w:rPr>
        <w:t xml:space="preserve">Data: </w:t>
      </w:r>
      <w:r>
        <w:rPr>
          <w:rFonts w:ascii="Arial" w:cs="Arial" w:eastAsia="Arial" w:hAnsi="Arial"/>
          <w:sz w:val="20"/>
          <w:szCs w:val="20"/>
        </w:rPr>
        <w:t xml:space="preserve">Manufacturing 72 (18.1%), Construction &amp; Engineering 50 (12.6%), Financial Services 39 (9.8%), Healthcare 37 (9.3%). Largest industry differs for each group.</w:t>
      </w:r>
    </w:p>
    <w:p>
      <w:pPr>
        <w:pStyle w:val="ListParagraph"/>
        <w:numPr>
          <w:ilvl w:val="0"/>
          <w:numId w:val="2"/>
        </w:numPr>
        <w:spacing w:after="50" w:line="252"/>
      </w:pPr>
      <w:r>
        <w:rPr>
          <w:rFonts w:ascii="Arial" w:cs="Arial" w:eastAsia="Arial" w:hAnsi="Arial"/>
          <w:b/>
          <w:bCs/>
          <w:sz w:val="22"/>
          <w:szCs w:val="22"/>
        </w:rPr>
        <w:t xml:space="preserve">Manufacturing.</w:t>
      </w:r>
      <w:r>
        <w:rPr>
          <w:rFonts w:ascii="Arial" w:cs="Arial" w:eastAsia="Arial" w:hAnsi="Arial"/>
          <w:sz w:val="22"/>
          <w:szCs w:val="22"/>
        </w:rPr>
        <w:t xml:space="preserve"> Downtime halts production and revenue, creating strong pressure to pay. Sophos (2025) found that 51% of manufacturing victims paid the ransom and that exploited vulnerabilities were the most common root cause (32% of attacks), matching the vulnerability-driven access used by Play, whose victims are 19% manufacturing.</w:t>
      </w:r>
    </w:p>
    <w:p>
      <w:pPr>
        <w:pStyle w:val="ListParagraph"/>
        <w:numPr>
          <w:ilvl w:val="0"/>
          <w:numId w:val="2"/>
        </w:numPr>
        <w:spacing w:after="50" w:line="252"/>
      </w:pPr>
      <w:r>
        <w:rPr>
          <w:rFonts w:ascii="Arial" w:cs="Arial" w:eastAsia="Arial" w:hAnsi="Arial"/>
          <w:b/>
          <w:bCs/>
          <w:sz w:val="22"/>
          <w:szCs w:val="22"/>
        </w:rPr>
        <w:t xml:space="preserve">Construction &amp; Engineering</w:t>
      </w:r>
      <w:r>
        <w:rPr>
          <w:rFonts w:ascii="Arial" w:cs="Arial" w:eastAsia="Arial" w:hAnsi="Arial"/>
          <w:sz w:val="22"/>
          <w:szCs w:val="22"/>
        </w:rPr>
        <w:t xml:space="preserve"> is almost entirely a Play target (36 of 50 victims). These firms often run internet-facing remote-access systems for distributed project sites with limited IT staff, which matches Play's reliance on exposed VPN, RDP and edge devices (CISA et al., 2025).</w:t>
      </w:r>
    </w:p>
    <w:p>
      <w:pPr>
        <w:pStyle w:val="ListParagraph"/>
        <w:numPr>
          <w:ilvl w:val="0"/>
          <w:numId w:val="2"/>
        </w:numPr>
        <w:spacing w:after="50" w:line="252"/>
      </w:pPr>
      <w:r>
        <w:rPr>
          <w:rFonts w:ascii="Arial" w:cs="Arial" w:eastAsia="Arial" w:hAnsi="Arial"/>
          <w:b/>
          <w:bCs/>
          <w:sz w:val="22"/>
          <w:szCs w:val="22"/>
        </w:rPr>
        <w:t xml:space="preserve">Healthcare</w:t>
      </w:r>
      <w:r>
        <w:rPr>
          <w:rFonts w:ascii="Arial" w:cs="Arial" w:eastAsia="Arial" w:hAnsi="Arial"/>
          <w:sz w:val="22"/>
          <w:szCs w:val="22"/>
        </w:rPr>
        <w:t xml:space="preserve"> is targeted mainly by Anubis (26% of its victims), Chaos (18%) and DireWolf (14%), but rarely by Play (1%). US health officials describe healthcare as vulnerable because of complex, interconnected hospital infrastructure, historically underfunded cybersecurity and many legacy systems (Mazanec, 2023). Patient records also give attackers strong leverage, which suits Anubis's data-extortion affiliate model (Policarpio et al., 2025).</w:t>
      </w:r>
    </w:p>
    <w:p>
      <w:pPr>
        <w:pStyle w:val="ListParagraph"/>
        <w:numPr>
          <w:ilvl w:val="0"/>
          <w:numId w:val="2"/>
        </w:numPr>
        <w:spacing w:after="50" w:line="252"/>
      </w:pPr>
      <w:r>
        <w:rPr>
          <w:rFonts w:ascii="Arial" w:cs="Arial" w:eastAsia="Arial" w:hAnsi="Arial"/>
          <w:b/>
          <w:bCs/>
          <w:sz w:val="22"/>
          <w:szCs w:val="22"/>
        </w:rPr>
        <w:t xml:space="preserve">Financial Services</w:t>
      </w:r>
      <w:r>
        <w:rPr>
          <w:rFonts w:ascii="Arial" w:cs="Arial" w:eastAsia="Arial" w:hAnsi="Arial"/>
          <w:sz w:val="22"/>
          <w:szCs w:val="22"/>
        </w:rPr>
        <w:t xml:space="preserve"> is SETTRA's main target (35% of its victims). SETTRA operates as a "data broker" that publishes investigative-style exposés (Proven Data, 2026), and financial firms hold exactly the sensitive client and financial records that make such exposure damaging. Proven Data (2026) ranks technology and professional services as SETTRA's top sectors, so the difference may partly reflect how industries were classified.</w:t>
      </w:r>
    </w:p>
    <w:p>
      <w:pPr>
        <w:spacing w:after="100" w:line="252"/>
      </w:pPr>
      <w:r>
        <w:rPr>
          <w:rFonts w:ascii="Arial" w:cs="Arial" w:eastAsia="Arial" w:hAnsi="Arial"/>
          <w:sz w:val="22"/>
          <w:szCs w:val="22"/>
        </w:rPr>
        <w:t xml:space="preserve">Overall, industry risk depends on which group is active: a single "most targeted industry" ranking hides strong group-level specialisation.</w:t>
      </w:r>
    </w:p>
    <w:p>
      <w:pPr>
        <w:pStyle w:val="Heading1"/>
      </w:pPr>
      <w:r>
        <w:rPr>
          <w:rFonts w:ascii="Arial" w:cs="Arial" w:eastAsia="Arial" w:hAnsi="Arial"/>
        </w:rPr>
        <w:t xml:space="preserve">Q8. Types of data targeted, by industry</w:t>
      </w:r>
    </w:p>
    <w:p>
      <w:pPr>
        <w:shd w:fill="EAF0F8" w:color="auto" w:val="clear"/>
        <w:spacing w:after="100"/>
      </w:pPr>
      <w:r>
        <w:rPr>
          <w:rFonts w:ascii="Arial" w:cs="Arial" w:eastAsia="Arial" w:hAnsi="Arial"/>
          <w:b/>
          <w:bCs/>
          <w:sz w:val="20"/>
          <w:szCs w:val="20"/>
        </w:rPr>
        <w:t xml:space="preserve">Data: </w:t>
      </w:r>
      <w:r>
        <w:rPr>
          <w:rFonts w:ascii="Arial" w:cs="Arial" w:eastAsia="Arial" w:hAnsi="Arial"/>
          <w:sz w:val="20"/>
          <w:szCs w:val="20"/>
        </w:rPr>
        <w:t xml:space="preserve">Across 145 victims: Financial 70.3%, Employee/HR 60.0%, Legal &amp; Contracts 59.3%, PII 51.0%. Medical/PHI claimed for 95% of healthcare victims, IP/Engineering for 71% of construction &amp; engineering, Legal &amp; Contracts for 75% of legal services.</w:t>
      </w:r>
    </w:p>
    <w:p>
      <w:pPr>
        <w:spacing w:after="100" w:line="252"/>
      </w:pPr>
      <w:r>
        <w:rPr>
          <w:rFonts w:ascii="Arial" w:cs="Arial" w:eastAsia="Arial" w:hAnsi="Arial"/>
          <w:sz w:val="22"/>
          <w:szCs w:val="22"/>
        </w:rPr>
        <w:t xml:space="preserve">Actors most often target </w:t>
      </w:r>
      <w:r>
        <w:rPr>
          <w:rFonts w:ascii="Arial" w:cs="Arial" w:eastAsia="Arial" w:hAnsi="Arial"/>
          <w:b/>
          <w:bCs/>
          <w:sz w:val="22"/>
          <w:szCs w:val="22"/>
        </w:rPr>
        <w:t xml:space="preserve">financial records, employee/HR files and contracts</w:t>
      </w:r>
      <w:r>
        <w:rPr>
          <w:rFonts w:ascii="Arial" w:cs="Arial" w:eastAsia="Arial" w:hAnsi="Arial"/>
          <w:sz w:val="22"/>
          <w:szCs w:val="22"/>
        </w:rPr>
        <w:t xml:space="preserve">, data that every organisation holds and that is sensitive regardless of industry. Personal identifiers (SSNs, passports, dates of birth) are also common because they enable fraud and trigger legal notification duties.</w:t>
      </w:r>
    </w:p>
    <w:p>
      <w:pPr>
        <w:spacing w:after="100" w:line="252"/>
      </w:pPr>
      <w:r>
        <w:rPr>
          <w:rFonts w:ascii="Arial" w:cs="Arial" w:eastAsia="Arial" w:hAnsi="Arial"/>
          <w:sz w:val="22"/>
          <w:szCs w:val="22"/>
        </w:rPr>
        <w:t xml:space="preserve">Beyond these, attackers </w:t>
      </w:r>
      <w:r>
        <w:rPr>
          <w:rFonts w:ascii="Arial" w:cs="Arial" w:eastAsia="Arial" w:hAnsi="Arial"/>
          <w:b/>
          <w:bCs/>
          <w:sz w:val="22"/>
          <w:szCs w:val="22"/>
        </w:rPr>
        <w:t xml:space="preserve">take the data that is most damaging for each industry</w:t>
      </w:r>
      <w:r>
        <w:rPr>
          <w:rFonts w:ascii="Arial" w:cs="Arial" w:eastAsia="Arial" w:hAnsi="Arial"/>
          <w:sz w:val="22"/>
          <w:szCs w:val="22"/>
        </w:rPr>
        <w:t xml:space="preserve">: patient records in healthcare, designs and project files in construction and engineering, client and case files in legal services, and customer data in technology. This targeting is deliberate: Cisco Talos observed Chaos copying only files modified in the past year and excluding large or unusual file types, focusing on current, usable data (Bennett et al., 2025).</w:t>
      </w:r>
    </w:p>
    <w:p>
      <w:pPr>
        <w:spacing w:after="100" w:line="252"/>
      </w:pPr>
      <w:r>
        <w:rPr>
          <w:rFonts w:ascii="Arial" w:cs="Arial" w:eastAsia="Arial" w:hAnsi="Arial"/>
          <w:sz w:val="22"/>
          <w:szCs w:val="22"/>
        </w:rPr>
        <w:t xml:space="preserve">Data theft has become the main lever. Sophos (2025) found that more than half of manufacturing attacks combined data theft with encryption, while extortion-only attacks without encryption rose from 3% to 10%. SETTRA, which lists an average of 6.1 data types per victim and describes its leaks as exposés (Proven Data, 2026), illustrates this shift: the threat of publication, not encryption, is the main pressure.</w:t>
      </w:r>
    </w:p>
    <w:p>
      <w:pPr>
        <w:spacing w:after="100" w:line="252"/>
      </w:pPr>
      <w:r>
        <w:rPr>
          <w:rFonts w:ascii="Arial" w:cs="Arial" w:eastAsia="Arial" w:hAnsi="Arial"/>
          <w:sz w:val="22"/>
          <w:szCs w:val="22"/>
          <w:highlight w:val="yellow"/>
          <w:highlightCs w:val="yellow"/>
        </w:rPr>
        <w:t xml:space="preserve">Caveat: Play and Chaos posts did not state data types, so this breakdown reflects SETTRA, Anubis and DireWolf only.</w:t>
      </w:r>
    </w:p>
    <w:p>
      <w:pPr>
        <w:pStyle w:val="Heading1"/>
      </w:pPr>
      <w:r>
        <w:rPr>
          <w:rFonts w:ascii="Arial" w:cs="Arial" w:eastAsia="Arial" w:hAnsi="Arial"/>
        </w:rPr>
        <w:t xml:space="preserve">References</w:t>
      </w:r>
    </w:p>
    <w:p>
      <w:pPr>
        <w:spacing w:after="80"/>
        <w:ind w:left="720" w:hanging="720"/>
      </w:pPr>
      <w:r>
        <w:rPr>
          <w:rFonts w:ascii="Arial" w:cs="Arial" w:eastAsia="Arial" w:hAnsi="Arial"/>
          <w:sz w:val="20"/>
          <w:szCs w:val="20"/>
        </w:rPr>
        <w:t xml:space="preserve">Bennett, A., Nutland, J., &amp; Raghuprasad, C. (2025, July 24). </w:t>
      </w:r>
      <w:r>
        <w:rPr>
          <w:rFonts w:ascii="Arial" w:cs="Arial" w:eastAsia="Arial" w:hAnsi="Arial"/>
          <w:i/>
          <w:iCs/>
          <w:sz w:val="20"/>
          <w:szCs w:val="20"/>
        </w:rPr>
        <w:t xml:space="preserve">Unmasking the new Chaos RaaS group attacks</w:t>
      </w:r>
      <w:r>
        <w:rPr>
          <w:rFonts w:ascii="Arial" w:cs="Arial" w:eastAsia="Arial" w:hAnsi="Arial"/>
          <w:sz w:val="20"/>
          <w:szCs w:val="20"/>
        </w:rPr>
        <w:t xml:space="preserve">. Cisco Talos. https://blog.talosintelligence.com/new-chaos-ransomware/</w:t>
      </w:r>
    </w:p>
    <w:p>
      <w:pPr>
        <w:spacing w:after="80"/>
        <w:ind w:left="720" w:hanging="720"/>
      </w:pPr>
      <w:r>
        <w:rPr>
          <w:rFonts w:ascii="Arial" w:cs="Arial" w:eastAsia="Arial" w:hAnsi="Arial"/>
          <w:sz w:val="20"/>
          <w:szCs w:val="20"/>
        </w:rPr>
        <w:t xml:space="preserve">Cyber Security Agency of Singapore. (2025, August 18). </w:t>
      </w:r>
      <w:r>
        <w:rPr>
          <w:rFonts w:ascii="Arial" w:cs="Arial" w:eastAsia="Arial" w:hAnsi="Arial"/>
          <w:i/>
          <w:iCs/>
          <w:sz w:val="20"/>
          <w:szCs w:val="20"/>
        </w:rPr>
        <w:t xml:space="preserve">Ongoing Dire Wolf ransomware campaign</w:t>
      </w:r>
      <w:r>
        <w:rPr>
          <w:rFonts w:ascii="Arial" w:cs="Arial" w:eastAsia="Arial" w:hAnsi="Arial"/>
          <w:sz w:val="20"/>
          <w:szCs w:val="20"/>
        </w:rPr>
        <w:t xml:space="preserve"> (Alert AL-2025-082). https://www.csa.gov.sg/alerts-and-advisories/alerts/al-2025-082/</w:t>
      </w:r>
    </w:p>
    <w:p>
      <w:pPr>
        <w:spacing w:after="80"/>
        <w:ind w:left="720" w:hanging="720"/>
      </w:pPr>
      <w:r>
        <w:rPr>
          <w:rFonts w:ascii="Arial" w:cs="Arial" w:eastAsia="Arial" w:hAnsi="Arial"/>
          <w:sz w:val="20"/>
          <w:szCs w:val="20"/>
        </w:rPr>
        <w:t xml:space="preserve">Cyber Security Agency of Singapore. (2026, June 22). </w:t>
      </w:r>
      <w:r>
        <w:rPr>
          <w:rFonts w:ascii="Arial" w:cs="Arial" w:eastAsia="Arial" w:hAnsi="Arial"/>
          <w:i/>
          <w:iCs/>
          <w:sz w:val="20"/>
          <w:szCs w:val="20"/>
        </w:rPr>
        <w:t xml:space="preserve">Advisory on credential compromise of FortiGate devices ("FortiBleed")</w:t>
      </w:r>
      <w:r>
        <w:rPr>
          <w:rFonts w:ascii="Arial" w:cs="Arial" w:eastAsia="Arial" w:hAnsi="Arial"/>
          <w:sz w:val="20"/>
          <w:szCs w:val="20"/>
        </w:rPr>
        <w:t xml:space="preserve"> (AD-2026-007). https://www.csa.gov.sg/alerts-and-advisories/advisories/ad-2026-007/</w:t>
      </w:r>
    </w:p>
    <w:p>
      <w:pPr>
        <w:spacing w:after="80"/>
        <w:ind w:left="720" w:hanging="720"/>
      </w:pPr>
      <w:r>
        <w:rPr>
          <w:rFonts w:ascii="Arial" w:cs="Arial" w:eastAsia="Arial" w:hAnsi="Arial"/>
          <w:sz w:val="20"/>
          <w:szCs w:val="20"/>
        </w:rPr>
        <w:t xml:space="preserve">Cybersecurity and Infrastructure Security Agency, Federal Bureau of Investigation, &amp; Australian Signals Directorate's Australian Cyber Security Centre. (2025, June 4). </w:t>
      </w:r>
      <w:r>
        <w:rPr>
          <w:rFonts w:ascii="Arial" w:cs="Arial" w:eastAsia="Arial" w:hAnsi="Arial"/>
          <w:i/>
          <w:iCs/>
          <w:sz w:val="20"/>
          <w:szCs w:val="20"/>
        </w:rPr>
        <w:t xml:space="preserve">#StopRansomware: Play ransomware</w:t>
      </w:r>
      <w:r>
        <w:rPr>
          <w:rFonts w:ascii="Arial" w:cs="Arial" w:eastAsia="Arial" w:hAnsi="Arial"/>
          <w:sz w:val="20"/>
          <w:szCs w:val="20"/>
        </w:rPr>
        <w:t xml:space="preserve"> (Advisory AA23-352A, updated). https://www.cisa.gov/news-events/cybersecurity-advisories/aa23-352a</w:t>
      </w:r>
    </w:p>
    <w:p>
      <w:pPr>
        <w:spacing w:after="80"/>
        <w:ind w:left="720" w:hanging="720"/>
      </w:pPr>
      <w:r>
        <w:rPr>
          <w:rFonts w:ascii="Arial" w:cs="Arial" w:eastAsia="Arial" w:hAnsi="Arial"/>
          <w:sz w:val="20"/>
          <w:szCs w:val="20"/>
        </w:rPr>
        <w:t xml:space="preserve">Halcyon. (2025, November 13). </w:t>
      </w:r>
      <w:r>
        <w:rPr>
          <w:rFonts w:ascii="Arial" w:cs="Arial" w:eastAsia="Arial" w:hAnsi="Arial"/>
          <w:i/>
          <w:iCs/>
          <w:sz w:val="20"/>
          <w:szCs w:val="20"/>
        </w:rPr>
        <w:t xml:space="preserve">Dire Wolf</w:t>
      </w:r>
      <w:r>
        <w:rPr>
          <w:rFonts w:ascii="Arial" w:cs="Arial" w:eastAsia="Arial" w:hAnsi="Arial"/>
          <w:sz w:val="20"/>
          <w:szCs w:val="20"/>
        </w:rPr>
        <w:t xml:space="preserve"> [Threat group profile]. https://www.halcyon.ai/threat-group/dire-wolf</w:t>
      </w:r>
    </w:p>
    <w:p>
      <w:pPr>
        <w:spacing w:after="80"/>
        <w:ind w:left="720" w:hanging="720"/>
      </w:pPr>
      <w:r>
        <w:rPr>
          <w:rFonts w:ascii="Arial" w:cs="Arial" w:eastAsia="Arial" w:hAnsi="Arial"/>
          <w:sz w:val="20"/>
          <w:szCs w:val="20"/>
        </w:rPr>
        <w:t xml:space="preserve">Mazanec, B. M. (2023, May 16). </w:t>
      </w:r>
      <w:r>
        <w:rPr>
          <w:rFonts w:ascii="Arial" w:cs="Arial" w:eastAsia="Arial" w:hAnsi="Arial"/>
          <w:i/>
          <w:iCs/>
          <w:sz w:val="20"/>
          <w:szCs w:val="20"/>
        </w:rPr>
        <w:t xml:space="preserve">Protecting critical infrastructure from cyberattacks</w:t>
      </w:r>
      <w:r>
        <w:rPr>
          <w:rFonts w:ascii="Arial" w:cs="Arial" w:eastAsia="Arial" w:hAnsi="Arial"/>
          <w:sz w:val="20"/>
          <w:szCs w:val="20"/>
        </w:rPr>
        <w:t xml:space="preserve"> [Congressional testimony]. U.S. Department of Health and Human Services. https://www.hhs.gov/about/agencies/asl/testimony/2023/05/2023/protecting-critical-infrastructure-from-cyberattacks.html</w:t>
      </w:r>
    </w:p>
    <w:p>
      <w:pPr>
        <w:spacing w:after="80"/>
        <w:ind w:left="720" w:hanging="720"/>
      </w:pPr>
      <w:r>
        <w:rPr>
          <w:rFonts w:ascii="Arial" w:cs="Arial" w:eastAsia="Arial" w:hAnsi="Arial"/>
          <w:sz w:val="20"/>
          <w:szCs w:val="20"/>
        </w:rPr>
        <w:t xml:space="preserve">MOXFIVE. (2026, July). </w:t>
      </w:r>
      <w:r>
        <w:rPr>
          <w:rFonts w:ascii="Arial" w:cs="Arial" w:eastAsia="Arial" w:hAnsi="Arial"/>
          <w:i/>
          <w:iCs/>
          <w:sz w:val="20"/>
          <w:szCs w:val="20"/>
        </w:rPr>
        <w:t xml:space="preserve">Settra ransomware: TTPs, victims, and defense guide</w:t>
      </w:r>
      <w:r>
        <w:rPr>
          <w:rFonts w:ascii="Arial" w:cs="Arial" w:eastAsia="Arial" w:hAnsi="Arial"/>
          <w:sz w:val="20"/>
          <w:szCs w:val="20"/>
        </w:rPr>
        <w:t xml:space="preserve">. https://www.moxfive.com/blog/settra-ransomware-ttps-victims-and-defense-guide</w:t>
      </w:r>
    </w:p>
    <w:p>
      <w:pPr>
        <w:spacing w:after="80"/>
        <w:ind w:left="720" w:hanging="720"/>
      </w:pPr>
      <w:r>
        <w:rPr>
          <w:rFonts w:ascii="Arial" w:cs="Arial" w:eastAsia="Arial" w:hAnsi="Arial"/>
          <w:sz w:val="20"/>
          <w:szCs w:val="20"/>
        </w:rPr>
        <w:t xml:space="preserve">Policarpio, M., Camiling, S. P., &amp; Robles, S. N. (2025, June 13). </w:t>
      </w:r>
      <w:r>
        <w:rPr>
          <w:rFonts w:ascii="Arial" w:cs="Arial" w:eastAsia="Arial" w:hAnsi="Arial"/>
          <w:i/>
          <w:iCs/>
          <w:sz w:val="20"/>
          <w:szCs w:val="20"/>
        </w:rPr>
        <w:t xml:space="preserve">Anubis: A closer look at an emerging ransomware with built-in wiper</w:t>
      </w:r>
      <w:r>
        <w:rPr>
          <w:rFonts w:ascii="Arial" w:cs="Arial" w:eastAsia="Arial" w:hAnsi="Arial"/>
          <w:sz w:val="20"/>
          <w:szCs w:val="20"/>
        </w:rPr>
        <w:t xml:space="preserve">. Trend Micro. https://www.trendmicro.com/en_us/research/25/f/anubis-a-closer-look-at-an-emerging-ransomware.html</w:t>
      </w:r>
    </w:p>
    <w:p>
      <w:pPr>
        <w:spacing w:after="80"/>
        <w:ind w:left="720" w:hanging="720"/>
      </w:pPr>
      <w:r>
        <w:rPr>
          <w:rFonts w:ascii="Arial" w:cs="Arial" w:eastAsia="Arial" w:hAnsi="Arial"/>
          <w:sz w:val="20"/>
          <w:szCs w:val="20"/>
        </w:rPr>
        <w:t xml:space="preserve">Proven Data. (2026). </w:t>
      </w:r>
      <w:r>
        <w:rPr>
          <w:rFonts w:ascii="Arial" w:cs="Arial" w:eastAsia="Arial" w:hAnsi="Arial"/>
          <w:i/>
          <w:iCs/>
          <w:sz w:val="20"/>
          <w:szCs w:val="20"/>
        </w:rPr>
        <w:t xml:space="preserve">SETTRA ransomware: Emerging double-extortion threat</w:t>
      </w:r>
      <w:r>
        <w:rPr>
          <w:rFonts w:ascii="Arial" w:cs="Arial" w:eastAsia="Arial" w:hAnsi="Arial"/>
          <w:sz w:val="20"/>
          <w:szCs w:val="20"/>
        </w:rPr>
        <w:t xml:space="preserve">. https://www.provendata.com/blog/settra-ransomware</w:t>
      </w:r>
    </w:p>
    <w:p>
      <w:pPr>
        <w:spacing w:after="80"/>
        <w:ind w:left="720" w:hanging="720"/>
      </w:pPr>
      <w:r>
        <w:rPr>
          <w:rFonts w:ascii="Arial" w:cs="Arial" w:eastAsia="Arial" w:hAnsi="Arial"/>
          <w:sz w:val="20"/>
          <w:szCs w:val="20"/>
        </w:rPr>
        <w:t xml:space="preserve">Singapore Police Force &amp; Cyber Security Agency of Singapore. (2026, June 10). </w:t>
      </w:r>
      <w:r>
        <w:rPr>
          <w:rFonts w:ascii="Arial" w:cs="Arial" w:eastAsia="Arial" w:hAnsi="Arial"/>
          <w:i/>
          <w:iCs/>
          <w:sz w:val="20"/>
          <w:szCs w:val="20"/>
        </w:rPr>
        <w:t xml:space="preserve">Joint advisory on technical support scams involving the impersonation of Microsoft</w:t>
      </w:r>
      <w:r>
        <w:rPr>
          <w:rFonts w:ascii="Arial" w:cs="Arial" w:eastAsia="Arial" w:hAnsi="Arial"/>
          <w:sz w:val="20"/>
          <w:szCs w:val="20"/>
        </w:rPr>
        <w:t xml:space="preserve"> (AD-2026-006). https://www.csa.gov.sg/alerts-and-advisories/advisories/ad-2026-006/</w:t>
      </w:r>
    </w:p>
    <w:p>
      <w:pPr>
        <w:spacing w:after="80"/>
        <w:ind w:left="720" w:hanging="720"/>
      </w:pPr>
      <w:r>
        <w:rPr>
          <w:rFonts w:ascii="Arial" w:cs="Arial" w:eastAsia="Arial" w:hAnsi="Arial"/>
          <w:sz w:val="20"/>
          <w:szCs w:val="20"/>
        </w:rPr>
        <w:t xml:space="preserve">Sophos. (2025, December 3). </w:t>
      </w:r>
      <w:r>
        <w:rPr>
          <w:rFonts w:ascii="Arial" w:cs="Arial" w:eastAsia="Arial" w:hAnsi="Arial"/>
          <w:i/>
          <w:iCs/>
          <w:sz w:val="20"/>
          <w:szCs w:val="20"/>
        </w:rPr>
        <w:t xml:space="preserve">The state of ransomware in manufacturing and production 2025</w:t>
      </w:r>
      <w:r>
        <w:rPr>
          <w:rFonts w:ascii="Arial" w:cs="Arial" w:eastAsia="Arial" w:hAnsi="Arial"/>
          <w:sz w:val="20"/>
          <w:szCs w:val="20"/>
        </w:rPr>
        <w:t xml:space="preserve">. https://www.sophos.com/en-us/blog/the-state-of-ransomware-in-manufacturing-and-production-2025</w:t>
      </w:r>
    </w:p>
    <w:p>
      <w:pPr>
        <w:spacing w:after="80"/>
        <w:ind w:left="720" w:hanging="720"/>
      </w:pPr>
      <w:r>
        <w:rPr>
          <w:rFonts w:ascii="Arial" w:cs="Arial" w:eastAsia="Arial" w:hAnsi="Arial"/>
          <w:sz w:val="20"/>
          <w:szCs w:val="20"/>
        </w:rPr>
        <w:t xml:space="preserve">The Hacker News. (2025a, May). </w:t>
      </w:r>
      <w:r>
        <w:rPr>
          <w:rFonts w:ascii="Arial" w:cs="Arial" w:eastAsia="Arial" w:hAnsi="Arial"/>
          <w:i/>
          <w:iCs/>
          <w:sz w:val="20"/>
          <w:szCs w:val="20"/>
        </w:rPr>
        <w:t xml:space="preserve">Play ransomware exploited Windows CVE-2025-29824 as zero-day to breach U.S. organization</w:t>
      </w:r>
      <w:r>
        <w:rPr>
          <w:rFonts w:ascii="Arial" w:cs="Arial" w:eastAsia="Arial" w:hAnsi="Arial"/>
          <w:sz w:val="20"/>
          <w:szCs w:val="20"/>
        </w:rPr>
        <w:t xml:space="preserve">. https://thehackernews.com/2025/05/play-ransomware-exploited-windows-cve.html</w:t>
      </w:r>
    </w:p>
    <w:p>
      <w:pPr>
        <w:spacing w:after="80"/>
        <w:ind w:left="720" w:hanging="720"/>
      </w:pPr>
      <w:r>
        <w:rPr>
          <w:rFonts w:ascii="Arial" w:cs="Arial" w:eastAsia="Arial" w:hAnsi="Arial"/>
          <w:sz w:val="20"/>
          <w:szCs w:val="20"/>
        </w:rPr>
        <w:t xml:space="preserve">The Hacker News. (2025b, July). </w:t>
      </w:r>
      <w:r>
        <w:rPr>
          <w:rFonts w:ascii="Arial" w:cs="Arial" w:eastAsia="Arial" w:hAnsi="Arial"/>
          <w:i/>
          <w:iCs/>
          <w:sz w:val="20"/>
          <w:szCs w:val="20"/>
        </w:rPr>
        <w:t xml:space="preserve">Chaos RaaS emerges after BlackSuit takedown, demanding $300K from U.S. victims</w:t>
      </w:r>
      <w:r>
        <w:rPr>
          <w:rFonts w:ascii="Arial" w:cs="Arial" w:eastAsia="Arial" w:hAnsi="Arial"/>
          <w:sz w:val="20"/>
          <w:szCs w:val="20"/>
        </w:rPr>
        <w:t xml:space="preserve">. https://thehackernews.com/2025/07/chaos-raas-emerges-after-blacksuit.html</w:t>
      </w:r>
    </w:p>
    <w:p>
      <w:pPr>
        <w:spacing w:after="80"/>
        <w:ind w:left="720" w:hanging="720"/>
      </w:pPr>
      <w:r>
        <w:rPr>
          <w:rFonts w:ascii="Arial" w:cs="Arial" w:eastAsia="Arial" w:hAnsi="Arial"/>
          <w:sz w:val="20"/>
          <w:szCs w:val="20"/>
        </w:rPr>
        <w:t xml:space="preserve">Uchill, J. (2021, September 2). </w:t>
      </w:r>
      <w:r>
        <w:rPr>
          <w:rFonts w:ascii="Arial" w:cs="Arial" w:eastAsia="Arial" w:hAnsi="Arial"/>
          <w:i/>
          <w:iCs/>
          <w:sz w:val="20"/>
          <w:szCs w:val="20"/>
        </w:rPr>
        <w:t xml:space="preserve">Ransomware that avoids Russian speakers gets 90% of payments</w:t>
      </w:r>
      <w:r>
        <w:rPr>
          <w:rFonts w:ascii="Arial" w:cs="Arial" w:eastAsia="Arial" w:hAnsi="Arial"/>
          <w:sz w:val="20"/>
          <w:szCs w:val="20"/>
        </w:rPr>
        <w:t xml:space="preserve">. SC Media. https://www.scworld.com/analysis/ransomware-that-avoids-russian-speakers-get-90-of-ransoms</w:t>
      </w:r>
    </w:p>
    <w:p>
      <w:pPr>
        <w:spacing w:after="100" w:line="252"/>
      </w:pPr>
      <w:r>
        <w:rPr>
          <w:rFonts w:ascii="Arial" w:cs="Arial" w:eastAsia="Arial" w:hAnsi="Arial"/>
          <w:sz w:val="22"/>
          <w:szCs w:val="22"/>
          <w:highlight w:val="yellow"/>
          <w:highlightCs w:val="yellow"/>
        </w:rPr>
        <w:t xml:space="preserve">Check before submitting: add exact day for The Hacker News articles and the MOXFIVE post if shown on the pages; add ransomware.live as the source of Chaos post dates in the methodology.</w:t>
      </w:r>
    </w:p>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60" w:before="140"/>
      <w:outlineLvl w:val="1"/>
    </w:pPr>
    <w:rPr>
      <w:rFonts w:ascii="Arial" w:cs="Arial" w:eastAsia="Arial" w:hAnsi="Arial"/>
      <w:b/>
      <w:bCs/>
      <w:color w:val="2E559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2026-10-05T18:38:37.401Z</dcterms:created>
  <dcterms:modified xsi:type="dcterms:W3CDTF">2026-10-05T18:38:37.412Z</dcterms:modified>
</cp:coreProperties>
</file>

<file path=docProps/custom.xml><?xml version="1.0" encoding="utf-8"?>
<Properties xmlns="http://schemas.openxmlformats.org/officeDocument/2006/custom-properties" xmlns:vt="http://schemas.openxmlformats.org/officeDocument/2006/docPropsVTypes"/>
</file>