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0FD" w:rsidRDefault="001710FD"/>
    <w:p w:rsidR="005B1A04" w:rsidRPr="005B1A04" w:rsidRDefault="005B1A04" w:rsidP="005B1A04">
      <w:pPr>
        <w:spacing w:after="0" w:line="240" w:lineRule="auto"/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</w:pPr>
      <w:r w:rsidRPr="005B1A04"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  <w:t>4</w:t>
      </w:r>
    </w:p>
    <w:p w:rsidR="005B1A04" w:rsidRPr="005B1A04" w:rsidRDefault="005B1A04" w:rsidP="005B1A04">
      <w:pPr>
        <w:spacing w:before="45" w:after="45" w:line="240" w:lineRule="auto"/>
        <w:outlineLvl w:val="0"/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</w:pPr>
      <w:r w:rsidRPr="005B1A04"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  <w:t>Aktuelle Modulbeschreibung</w:t>
      </w:r>
    </w:p>
    <w:tbl>
      <w:tblPr>
        <w:tblW w:w="5000" w:type="pct"/>
        <w:tblCellSpacing w:w="22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32"/>
        <w:gridCol w:w="6520"/>
      </w:tblGrid>
      <w:tr w:rsidR="005B1A04" w:rsidRPr="005B1A04" w:rsidTr="005B1A04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Module Number: 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spacing w:after="0" w:line="240" w:lineRule="auto"/>
              <w:rPr>
                <w:rFonts w:ascii="Arial" w:eastAsia="Times New Roman" w:hAnsi="Arial" w:cs="Arial"/>
                <w:caps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aps/>
                <w:color w:val="005E9D"/>
                <w:sz w:val="20"/>
                <w:szCs w:val="20"/>
              </w:rPr>
              <w:t xml:space="preserve">11884 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Title: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bookmarkStart w:id="0" w:name="_GoBack"/>
            <w:r w:rsidRPr="005B1A04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Introduction into Concurrency</w:t>
            </w:r>
            <w:bookmarkEnd w:id="0"/>
          </w:p>
        </w:tc>
      </w:tr>
      <w:tr w:rsidR="005B1A04" w:rsidRPr="005B1A04" w:rsidTr="005B1A04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 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Einführung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in die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Nebenläufigkeit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Department: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Faculty 1 - Mathematics, Computer Science, Physics, Electrical Engineering and Information Technology 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Responsible Staff Member: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A04" w:rsidRPr="005B1A04" w:rsidRDefault="005B1A04" w:rsidP="005B1A0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Prof. Dr.-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Ing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.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Heiner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, Monika 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Language of Teaching / Examination: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English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Duration: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1 semester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Frequency of Offer: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Each winter semester even year 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Credits: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8 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Learning Outcome: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Students acquire a general understanding of Petri net theory and its basic notions and gain a deeper understanding of the foundations of concurrent systems using Petri net models. Furthermore, students learn how Petri net models can be used to systematically construct concurrent software.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Contents: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Foundations: Petri nets for the modelling of causality, and thus for the graphic description of concurrency,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synchronisation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and communication</w:t>
            </w:r>
          </w:p>
          <w:p w:rsidR="005B1A04" w:rsidRPr="005B1A04" w:rsidRDefault="005B1A04" w:rsidP="005B1A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Typical language constructs for programming of concurrency</w:t>
            </w:r>
          </w:p>
          <w:p w:rsidR="005B1A04" w:rsidRPr="005B1A04" w:rsidRDefault="005B1A04" w:rsidP="005B1A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Standard problems of mutual exclusion and event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synchronisation</w:t>
            </w:r>
            <w:proofErr w:type="spellEnd"/>
          </w:p>
        </w:tc>
      </w:tr>
      <w:tr w:rsidR="005B1A04" w:rsidRPr="005B1A04" w:rsidTr="005B1A04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Recommended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spacing w:after="24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Knowledge in object-oriented programming, software technology, foundations.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Mandatory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No successful participation in module </w:t>
            </w:r>
            <w:r w:rsidRPr="005B1A04">
              <w:rPr>
                <w:rFonts w:ascii="Arial" w:eastAsia="Times New Roman" w:hAnsi="Arial" w:cs="Arial"/>
                <w:i/>
                <w:iCs/>
                <w:color w:val="005E9D"/>
                <w:sz w:val="20"/>
                <w:szCs w:val="20"/>
              </w:rPr>
              <w:t xml:space="preserve">12348 </w:t>
            </w:r>
            <w:proofErr w:type="spellStart"/>
            <w:r w:rsidRPr="005B1A04">
              <w:rPr>
                <w:rFonts w:ascii="Arial" w:eastAsia="Times New Roman" w:hAnsi="Arial" w:cs="Arial"/>
                <w:i/>
                <w:iCs/>
                <w:color w:val="005E9D"/>
                <w:sz w:val="20"/>
                <w:szCs w:val="20"/>
              </w:rPr>
              <w:t>Einführung</w:t>
            </w:r>
            <w:proofErr w:type="spellEnd"/>
            <w:r w:rsidRPr="005B1A04">
              <w:rPr>
                <w:rFonts w:ascii="Arial" w:eastAsia="Times New Roman" w:hAnsi="Arial" w:cs="Arial"/>
                <w:i/>
                <w:iCs/>
                <w:color w:val="005E9D"/>
                <w:sz w:val="20"/>
                <w:szCs w:val="20"/>
              </w:rPr>
              <w:t xml:space="preserve"> in die </w:t>
            </w:r>
            <w:proofErr w:type="spellStart"/>
            <w:r w:rsidRPr="005B1A04">
              <w:rPr>
                <w:rFonts w:ascii="Arial" w:eastAsia="Times New Roman" w:hAnsi="Arial" w:cs="Arial"/>
                <w:i/>
                <w:iCs/>
                <w:color w:val="005E9D"/>
                <w:sz w:val="20"/>
                <w:szCs w:val="20"/>
              </w:rPr>
              <w:t>Nebenläufigkeit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.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Forms of Teaching and Proportion: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A04" w:rsidRPr="005B1A04" w:rsidRDefault="005B1A04" w:rsidP="005B1A0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Lecture / 4 Hours per Week per Semester </w:t>
            </w:r>
          </w:p>
          <w:p w:rsidR="005B1A04" w:rsidRPr="005B1A04" w:rsidRDefault="005B1A04" w:rsidP="005B1A0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Exercise / 2 Hours per Week per Semester </w:t>
            </w:r>
          </w:p>
          <w:p w:rsidR="005B1A04" w:rsidRPr="005B1A04" w:rsidRDefault="005B1A04" w:rsidP="005B1A0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Self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organised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studies / 150 Hours 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Teaching Materials and Literature: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Will be provided at the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beginnning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of the course.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Prerequisite + Final Module Examination (MAP)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lastRenderedPageBreak/>
              <w:t>Assessment Mode for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Prerequisite:</w:t>
            </w:r>
          </w:p>
          <w:p w:rsidR="005B1A04" w:rsidRPr="005B1A04" w:rsidRDefault="005B1A04" w:rsidP="005B1A0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Successful completion of exercise assignments (75% must be reached)</w:t>
            </w:r>
          </w:p>
          <w:p w:rsidR="005B1A04" w:rsidRPr="005B1A04" w:rsidRDefault="005B1A04" w:rsidP="005B1A04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Final module examination:</w:t>
            </w:r>
          </w:p>
          <w:p w:rsidR="005B1A04" w:rsidRPr="005B1A04" w:rsidRDefault="005B1A04" w:rsidP="005B1A0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Written examination, 120 min. </w:t>
            </w:r>
            <w:r w:rsidRPr="005B1A04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OR</w:t>
            </w:r>
          </w:p>
          <w:p w:rsidR="005B1A04" w:rsidRPr="005B1A04" w:rsidRDefault="005B1A04" w:rsidP="005B1A0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Oral examination, 30-45 min. (with small number of participants)</w:t>
            </w:r>
          </w:p>
          <w:p w:rsidR="005B1A04" w:rsidRPr="005B1A04" w:rsidRDefault="005B1A04" w:rsidP="005B1A04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 the first lecture it will be announced, if the examination will be offered in written or oral form.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Evaluation of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Performance Verification – graded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Limited Number of Participants: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None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Part of the Study </w:t>
            </w:r>
            <w:proofErr w:type="spellStart"/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Programme</w:t>
            </w:r>
            <w:proofErr w:type="spellEnd"/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A04" w:rsidRPr="005B1A04" w:rsidRDefault="005B1A04" w:rsidP="005B1A0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Angewandte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Mathematik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2008 </w:t>
            </w:r>
          </w:p>
          <w:p w:rsidR="005B1A04" w:rsidRPr="005B1A04" w:rsidRDefault="005B1A04" w:rsidP="005B1A0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Cyber Security (research-oriented profile) /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2017 </w:t>
            </w:r>
          </w:p>
          <w:p w:rsidR="005B1A04" w:rsidRPr="005B1A04" w:rsidRDefault="005B1A04" w:rsidP="005B1A0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B.Sc. /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Informatik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2008 - 1. SÄ 2017 </w:t>
            </w:r>
          </w:p>
          <w:p w:rsidR="005B1A04" w:rsidRPr="005B1A04" w:rsidRDefault="005B1A04" w:rsidP="005B1A0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Informations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- und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Medientechnik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2017 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Remarks: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Computer Science B. Sc.: Compulsory elective module in complex "Foundations of Computer Science" (level 300).</w:t>
            </w:r>
          </w:p>
          <w:p w:rsidR="005B1A04" w:rsidRPr="005B1A04" w:rsidRDefault="005B1A04" w:rsidP="005B1A0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Information and Media Technology M. Sc.: Compulsory elective module in "Fundamental Methods".</w:t>
            </w:r>
          </w:p>
          <w:p w:rsidR="005B1A04" w:rsidRPr="005B1A04" w:rsidRDefault="005B1A04" w:rsidP="005B1A0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proofErr w:type="gram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  Applied</w:t>
            </w:r>
            <w:proofErr w:type="gram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Mathematics M. Sc.: Compulsory elective module in field of application "Computer Science".</w:t>
            </w:r>
          </w:p>
          <w:p w:rsidR="005B1A04" w:rsidRPr="005B1A04" w:rsidRDefault="005B1A04" w:rsidP="005B1A0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Cyber Security M.Sc.: Compulsory elective module in complex "Computer Science".</w:t>
            </w:r>
          </w:p>
          <w:p w:rsidR="005B1A04" w:rsidRPr="005B1A04" w:rsidRDefault="005B1A04" w:rsidP="005B1A04">
            <w:pPr>
              <w:spacing w:before="15" w:after="15" w:line="336" w:lineRule="atLeast"/>
              <w:ind w:left="15" w:right="15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If there is no need that the module is taught in English, alternatively the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german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version 12348</w:t>
            </w:r>
            <w:proofErr w:type="gram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  "</w:t>
            </w:r>
            <w:proofErr w:type="spellStart"/>
            <w:proofErr w:type="gram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Einführung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in die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Nebenläufigkeit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" may be offered instead.</w:t>
            </w:r>
          </w:p>
          <w:p w:rsidR="005B1A04" w:rsidRPr="005B1A04" w:rsidRDefault="005B1A04" w:rsidP="005B1A04">
            <w:pPr>
              <w:spacing w:before="15" w:after="15" w:line="336" w:lineRule="atLeast"/>
              <w:ind w:left="15" w:right="15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Modules 11884 "Introduction into Concurrency" and 12348</w:t>
            </w:r>
            <w:proofErr w:type="gram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  "</w:t>
            </w:r>
            <w:proofErr w:type="spellStart"/>
            <w:proofErr w:type="gram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Einführung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in die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Nebenläufigkeit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" </w:t>
            </w:r>
            <w:proofErr w:type="spellStart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can not</w:t>
            </w:r>
            <w:proofErr w:type="spellEnd"/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be combined.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Components: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B1A04" w:rsidRPr="005B1A04" w:rsidRDefault="005B1A04" w:rsidP="005B1A0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Lecture: Introduction into Concurrency</w:t>
            </w:r>
          </w:p>
          <w:p w:rsidR="005B1A04" w:rsidRPr="005B1A04" w:rsidRDefault="005B1A04" w:rsidP="005B1A0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Accompanying exercise</w:t>
            </w:r>
          </w:p>
          <w:p w:rsidR="005B1A04" w:rsidRPr="005B1A04" w:rsidRDefault="005B1A04" w:rsidP="005B1A04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Related examination</w:t>
            </w:r>
          </w:p>
        </w:tc>
      </w:tr>
      <w:tr w:rsidR="005B1A04" w:rsidRPr="005B1A04" w:rsidTr="005B1A04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B1A04" w:rsidRPr="005B1A04" w:rsidRDefault="005B1A04" w:rsidP="005B1A04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5B1A04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lastRenderedPageBreak/>
              <w:t>Components to be offered in the Current Semester: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B1A04" w:rsidRPr="005B1A04" w:rsidRDefault="005B1A04" w:rsidP="005B1A0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5" w:tooltip="See details on 128110 Lecture Einführung in die Nebenläufigkeit / Introduction into Concurrency" w:history="1">
              <w:r w:rsidRPr="005B1A04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128110 Lecture </w:t>
              </w:r>
              <w:proofErr w:type="spellStart"/>
              <w:r w:rsidRPr="005B1A04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>Einführung</w:t>
              </w:r>
              <w:proofErr w:type="spellEnd"/>
              <w:r w:rsidRPr="005B1A04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 in die </w:t>
              </w:r>
              <w:proofErr w:type="spellStart"/>
              <w:r w:rsidRPr="005B1A04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>Nebenläufigkeit</w:t>
              </w:r>
              <w:proofErr w:type="spellEnd"/>
              <w:r w:rsidRPr="005B1A04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 / Introduction into Concurrency - 4 Hours per Week per Semester </w:t>
              </w:r>
            </w:hyperlink>
          </w:p>
          <w:p w:rsidR="005B1A04" w:rsidRPr="005B1A04" w:rsidRDefault="005B1A04" w:rsidP="005B1A0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6" w:tooltip="See details on 128111 Exercise Einführung in die Nebenläufigkeit / Introduction into Concurrency" w:history="1">
              <w:r w:rsidRPr="005B1A04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128111 Exercise </w:t>
              </w:r>
              <w:proofErr w:type="spellStart"/>
              <w:r w:rsidRPr="005B1A04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>Einführung</w:t>
              </w:r>
              <w:proofErr w:type="spellEnd"/>
              <w:r w:rsidRPr="005B1A04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 in die </w:t>
              </w:r>
              <w:proofErr w:type="spellStart"/>
              <w:r w:rsidRPr="005B1A04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>Nebenläufigkeit</w:t>
              </w:r>
              <w:proofErr w:type="spellEnd"/>
              <w:r w:rsidRPr="005B1A04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 / Introduction into Concurrency - 2 Hours per Week per Semester </w:t>
              </w:r>
            </w:hyperlink>
          </w:p>
          <w:p w:rsidR="005B1A04" w:rsidRPr="005B1A04" w:rsidRDefault="005B1A04" w:rsidP="005B1A0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7" w:tooltip="See details on 128113 Examination Einführung in die Nebenläufigkeit / Introduction into Concurrency" w:history="1">
              <w:r w:rsidRPr="005B1A04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128113 Examination </w:t>
              </w:r>
              <w:proofErr w:type="spellStart"/>
              <w:r w:rsidRPr="005B1A04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>Einführung</w:t>
              </w:r>
              <w:proofErr w:type="spellEnd"/>
              <w:r w:rsidRPr="005B1A04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 in die </w:t>
              </w:r>
              <w:proofErr w:type="spellStart"/>
              <w:r w:rsidRPr="005B1A04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>Nebenläufigkeit</w:t>
              </w:r>
              <w:proofErr w:type="spellEnd"/>
              <w:r w:rsidRPr="005B1A04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 / Introduction into Concurrency </w:t>
              </w:r>
            </w:hyperlink>
          </w:p>
        </w:tc>
      </w:tr>
    </w:tbl>
    <w:p w:rsidR="005B1A04" w:rsidRDefault="005B1A04"/>
    <w:sectPr w:rsidR="005B1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7" type="#_x0000_t75" style="width:3in;height:3in" o:bullet="t"/>
    </w:pict>
  </w:numPicBullet>
  <w:numPicBullet w:numPicBulletId="1">
    <w:pict>
      <v:shape id="_x0000_i1438" type="#_x0000_t75" style="width:3in;height:3in" o:bullet="t"/>
    </w:pict>
  </w:numPicBullet>
  <w:numPicBullet w:numPicBulletId="2">
    <w:pict>
      <v:shape id="_x0000_i1439" type="#_x0000_t75" style="width:3in;height:3in" o:bullet="t"/>
    </w:pict>
  </w:numPicBullet>
  <w:numPicBullet w:numPicBulletId="3">
    <w:pict>
      <v:shape id="_x0000_i1440" type="#_x0000_t75" style="width:3in;height:3in" o:bullet="t"/>
    </w:pict>
  </w:numPicBullet>
  <w:numPicBullet w:numPicBulletId="4">
    <w:pict>
      <v:shape id="_x0000_i1441" type="#_x0000_t75" style="width:3in;height:3in" o:bullet="t"/>
    </w:pict>
  </w:numPicBullet>
  <w:numPicBullet w:numPicBulletId="5">
    <w:pict>
      <v:shape id="_x0000_i1442" type="#_x0000_t75" style="width:3in;height:3in" o:bullet="t"/>
    </w:pict>
  </w:numPicBullet>
  <w:numPicBullet w:numPicBulletId="6">
    <w:pict>
      <v:shape id="_x0000_i1443" type="#_x0000_t75" style="width:3in;height:3in" o:bullet="t"/>
    </w:pict>
  </w:numPicBullet>
  <w:numPicBullet w:numPicBulletId="7">
    <w:pict>
      <v:shape id="_x0000_i1444" type="#_x0000_t75" style="width:3in;height:3in" o:bullet="t"/>
    </w:pict>
  </w:numPicBullet>
  <w:numPicBullet w:numPicBulletId="8">
    <w:pict>
      <v:shape id="_x0000_i1445" type="#_x0000_t75" style="width:3in;height:3in" o:bullet="t"/>
    </w:pict>
  </w:numPicBullet>
  <w:abstractNum w:abstractNumId="0" w15:restartNumberingAfterBreak="0">
    <w:nsid w:val="0D0F208F"/>
    <w:multiLevelType w:val="multilevel"/>
    <w:tmpl w:val="9F48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52F3C"/>
    <w:multiLevelType w:val="multilevel"/>
    <w:tmpl w:val="9874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410D4"/>
    <w:multiLevelType w:val="multilevel"/>
    <w:tmpl w:val="9E0E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8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16AFA"/>
    <w:multiLevelType w:val="multilevel"/>
    <w:tmpl w:val="90FE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42388"/>
    <w:multiLevelType w:val="multilevel"/>
    <w:tmpl w:val="A1EC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E715B"/>
    <w:multiLevelType w:val="multilevel"/>
    <w:tmpl w:val="FF3A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36D5C"/>
    <w:multiLevelType w:val="multilevel"/>
    <w:tmpl w:val="4682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96563"/>
    <w:multiLevelType w:val="multilevel"/>
    <w:tmpl w:val="97D8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104C4"/>
    <w:multiLevelType w:val="multilevel"/>
    <w:tmpl w:val="21DA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04"/>
    <w:rsid w:val="001710FD"/>
    <w:rsid w:val="005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F40A"/>
  <w15:chartTrackingRefBased/>
  <w15:docId w15:val="{22257BE2-02E2-4B8F-85E2-5339D765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A04"/>
    <w:pPr>
      <w:spacing w:before="45" w:after="4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A04"/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B1A04"/>
    <w:rPr>
      <w:color w:val="014A7B"/>
      <w:u w:val="single"/>
    </w:rPr>
  </w:style>
  <w:style w:type="character" w:styleId="Strong">
    <w:name w:val="Strong"/>
    <w:basedOn w:val="DefaultParagraphFont"/>
    <w:uiPriority w:val="22"/>
    <w:qFormat/>
    <w:rsid w:val="005B1A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1A04"/>
    <w:pPr>
      <w:spacing w:before="15" w:after="15" w:line="336" w:lineRule="atLeast"/>
      <w:ind w:left="15" w:right="15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1A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59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4700" TargetMode="External"/><Relationship Id="rId5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469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2018-10-14T09:54:00Z</dcterms:created>
  <dcterms:modified xsi:type="dcterms:W3CDTF">2018-10-14T09:55:00Z</dcterms:modified>
</cp:coreProperties>
</file>