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2C" w:rsidRPr="00ED722C" w:rsidRDefault="00ED722C" w:rsidP="00ED722C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ED722C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ED722C" w:rsidRPr="00ED722C" w:rsidRDefault="00ED722C" w:rsidP="00ED722C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ED722C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aps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aps/>
                <w:color w:val="014A7B"/>
                <w:sz w:val="20"/>
                <w:szCs w:val="20"/>
              </w:rPr>
              <w:t xml:space="preserve">11897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bookmarkStart w:id="0" w:name="_GoBack"/>
            <w:r w:rsidRPr="00ED722C">
              <w:rPr>
                <w:rFonts w:ascii="Arial" w:eastAsia="Times New Roman" w:hAnsi="Arial" w:cs="Arial"/>
                <w:b/>
                <w:bCs/>
                <w:color w:val="014A7B"/>
                <w:sz w:val="20"/>
                <w:szCs w:val="20"/>
              </w:rPr>
              <w:t>Security of Resource-constraint Systems</w:t>
            </w:r>
            <w:bookmarkEnd w:id="0"/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Sicherheit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von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Resourcen-beschränkten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Systemen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vAlign w:val="center"/>
            <w:hideMark/>
          </w:tcPr>
          <w:p w:rsidR="00ED722C" w:rsidRPr="00ED722C" w:rsidRDefault="00ED722C" w:rsidP="00ED72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Prof. Dr. </w:t>
            </w:r>
            <w:proofErr w:type="spellStart"/>
            <w:proofErr w:type="gram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rer</w:t>
            </w:r>
            <w:proofErr w:type="spellEnd"/>
            <w:proofErr w:type="gram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. nat.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Langendörfer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, Peter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English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1 semester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Each winter semester odd year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6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The Students know potential security issues of embedded systems. They can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analyse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embedded systems and identify security issues. They know standard approaches that can help to solve security issues and can develop security concepts for embedded systems.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Potential attacks and attacker models</w:t>
            </w:r>
          </w:p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Micro controller architectures</w:t>
            </w:r>
          </w:p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Memory management</w:t>
            </w:r>
          </w:p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Operating systems</w:t>
            </w:r>
          </w:p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Micro Kernels</w:t>
            </w:r>
          </w:p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Hypervisor</w:t>
            </w:r>
          </w:p>
          <w:p w:rsidR="00ED722C" w:rsidRPr="00ED722C" w:rsidRDefault="00ED722C" w:rsidP="00ED72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Security protocols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Knowledge of the content of the modules</w:t>
            </w:r>
          </w:p>
          <w:p w:rsidR="00ED722C" w:rsidRPr="00ED722C" w:rsidRDefault="00ED722C" w:rsidP="00ED722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12204 : Operating Systems I</w:t>
            </w:r>
          </w:p>
          <w:p w:rsidR="00ED722C" w:rsidRPr="00ED722C" w:rsidRDefault="00ED722C" w:rsidP="00ED722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12339 : Operating Systems II (Multi-Level Memory Management)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None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vAlign w:val="center"/>
            <w:hideMark/>
          </w:tcPr>
          <w:p w:rsidR="00ED722C" w:rsidRPr="00ED722C" w:rsidRDefault="00ED722C" w:rsidP="00ED722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Lecture / 2 Hours per Week per Semester </w:t>
            </w:r>
          </w:p>
          <w:p w:rsidR="00ED722C" w:rsidRPr="00ED722C" w:rsidRDefault="00ED722C" w:rsidP="00ED722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Exercise / 2 Hours per Week per Semester </w:t>
            </w:r>
          </w:p>
          <w:p w:rsidR="00ED722C" w:rsidRPr="00ED722C" w:rsidRDefault="00ED722C" w:rsidP="00ED722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Self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organised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studies / 120 Hours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24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Information about current literature will be provided at the beginning of the course.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Module Examination: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Final Module Examination (MAP)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Written examination, 90 min. </w:t>
            </w:r>
            <w:r w:rsidRPr="00ED722C">
              <w:rPr>
                <w:rFonts w:ascii="Arial" w:eastAsia="Times New Roman" w:hAnsi="Arial" w:cs="Arial"/>
                <w:b/>
                <w:bCs/>
                <w:color w:val="014A7B"/>
                <w:sz w:val="20"/>
                <w:szCs w:val="20"/>
              </w:rPr>
              <w:t>OR</w:t>
            </w:r>
          </w:p>
          <w:p w:rsidR="00ED722C" w:rsidRPr="00ED722C" w:rsidRDefault="00ED722C" w:rsidP="00ED72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Oral examination, 30 min. (with small number of participants)</w:t>
            </w:r>
          </w:p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In the first lecture it will be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anounced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, if the examination will be offered in written or oral form.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Performance Verification – graded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spacing w:after="0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None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vAlign w:val="center"/>
            <w:hideMark/>
          </w:tcPr>
          <w:p w:rsidR="00ED722C" w:rsidRPr="00ED722C" w:rsidRDefault="00ED722C" w:rsidP="00ED722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Prüfungsordnung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2017 </w:t>
            </w:r>
          </w:p>
          <w:p w:rsidR="00ED722C" w:rsidRPr="00ED722C" w:rsidRDefault="00ED722C" w:rsidP="00ED722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M.Sc. /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Informatik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(research-oriented profile) /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Prüfungsordnung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2008 - 2. SÄ 2017 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Study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programme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Computer Science M. Sc.: Compulsory elective module in "Applied and Technical Computer Science" (level 400).</w:t>
            </w:r>
          </w:p>
          <w:p w:rsidR="00ED722C" w:rsidRPr="00ED722C" w:rsidRDefault="00ED722C" w:rsidP="00ED722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Study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programme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Information and Media Technology M. Sc.: Compulsory elective module in "Dependable HW/SW-Systems".</w:t>
            </w:r>
          </w:p>
          <w:p w:rsidR="00ED722C" w:rsidRPr="00ED722C" w:rsidRDefault="00ED722C" w:rsidP="00ED722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Study </w:t>
            </w:r>
            <w:proofErr w:type="spellStart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programme</w:t>
            </w:r>
            <w:proofErr w:type="spellEnd"/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 xml:space="preserve"> Cyber Security M.Sc.: Compulsory elective module in complex "Cyber Security Methods".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hideMark/>
          </w:tcPr>
          <w:p w:rsidR="00ED722C" w:rsidRPr="00ED722C" w:rsidRDefault="00ED722C" w:rsidP="00ED72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Lecture: Security of Resource-constraint Systems (HW/SW)</w:t>
            </w:r>
          </w:p>
          <w:p w:rsidR="00ED722C" w:rsidRPr="00ED722C" w:rsidRDefault="00ED722C" w:rsidP="00ED72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Accompanying exercise</w:t>
            </w:r>
          </w:p>
          <w:p w:rsidR="00ED722C" w:rsidRPr="00ED722C" w:rsidRDefault="00ED722C" w:rsidP="00ED72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color w:val="014A7B"/>
                <w:sz w:val="20"/>
                <w:szCs w:val="20"/>
              </w:rPr>
              <w:t>Related examination</w:t>
            </w:r>
          </w:p>
        </w:tc>
      </w:tr>
      <w:tr w:rsidR="00ED722C" w:rsidRPr="00ED722C" w:rsidTr="00ED722C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722C" w:rsidRPr="00ED722C" w:rsidRDefault="00ED722C" w:rsidP="00ED722C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ED722C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vAlign w:val="center"/>
            <w:hideMark/>
          </w:tcPr>
          <w:p w:rsidR="00ED722C" w:rsidRPr="00ED722C" w:rsidRDefault="00ED722C" w:rsidP="00ED722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hyperlink r:id="rId5" w:tooltip="See details on 122110 Lecture/Exercise Security of Resource-constraint Systems" w:history="1">
              <w:r w:rsidRPr="00ED722C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122110 Lecture/Exercise Security of Resource-constraint Systems - 4 Hours per Week per Semester </w:t>
              </w:r>
            </w:hyperlink>
          </w:p>
          <w:p w:rsidR="00ED722C" w:rsidRPr="00ED722C" w:rsidRDefault="00ED722C" w:rsidP="00ED722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14A7B"/>
                <w:sz w:val="20"/>
                <w:szCs w:val="20"/>
              </w:rPr>
            </w:pPr>
            <w:hyperlink r:id="rId6" w:tooltip="See details on 122111 Examination Security of Resource-constraint Systems" w:history="1">
              <w:r w:rsidRPr="00ED722C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122111 Examination Security of Resource-constraint Systems </w:t>
              </w:r>
            </w:hyperlink>
          </w:p>
        </w:tc>
      </w:tr>
    </w:tbl>
    <w:p w:rsidR="001710FD" w:rsidRDefault="001710FD"/>
    <w:sectPr w:rsidR="0017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3in;height:3in" o:bullet="t"/>
    </w:pict>
  </w:numPicBullet>
  <w:numPicBullet w:numPicBulletId="1">
    <w:pict>
      <v:shape id="_x0000_i1138" type="#_x0000_t75" style="width:3in;height:3in" o:bullet="t"/>
    </w:pict>
  </w:numPicBullet>
  <w:numPicBullet w:numPicBulletId="2">
    <w:pict>
      <v:shape id="_x0000_i1139" type="#_x0000_t75" style="width:3in;height:3in" o:bullet="t"/>
    </w:pict>
  </w:numPicBullet>
  <w:numPicBullet w:numPicBulletId="3">
    <w:pict>
      <v:shape id="_x0000_i1140" type="#_x0000_t75" style="width:3in;height:3in" o:bullet="t"/>
    </w:pict>
  </w:numPicBullet>
  <w:numPicBullet w:numPicBulletId="4">
    <w:pict>
      <v:shape id="_x0000_i1141" type="#_x0000_t75" style="width:3in;height:3in" o:bullet="t"/>
    </w:pict>
  </w:numPicBullet>
  <w:numPicBullet w:numPicBulletId="5">
    <w:pict>
      <v:shape id="_x0000_i1142" type="#_x0000_t75" style="width:3in;height:3in" o:bullet="t"/>
    </w:pict>
  </w:numPicBullet>
  <w:numPicBullet w:numPicBulletId="6">
    <w:pict>
      <v:shape id="_x0000_i1143" type="#_x0000_t75" style="width:3in;height:3in" o:bullet="t"/>
    </w:pict>
  </w:numPicBullet>
  <w:numPicBullet w:numPicBulletId="7">
    <w:pict>
      <v:shape id="_x0000_i1144" type="#_x0000_t75" style="width:3in;height:3in" o:bullet="t"/>
    </w:pict>
  </w:numPicBullet>
  <w:numPicBullet w:numPicBulletId="8">
    <w:pict>
      <v:shape id="_x0000_i1145" type="#_x0000_t75" style="width:3in;height:3in" o:bullet="t"/>
    </w:pict>
  </w:numPicBullet>
  <w:abstractNum w:abstractNumId="0" w15:restartNumberingAfterBreak="0">
    <w:nsid w:val="1E3A40E1"/>
    <w:multiLevelType w:val="multilevel"/>
    <w:tmpl w:val="532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27B9"/>
    <w:multiLevelType w:val="multilevel"/>
    <w:tmpl w:val="1DE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C29FD"/>
    <w:multiLevelType w:val="multilevel"/>
    <w:tmpl w:val="0D2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6374B"/>
    <w:multiLevelType w:val="multilevel"/>
    <w:tmpl w:val="027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B2D10"/>
    <w:multiLevelType w:val="multilevel"/>
    <w:tmpl w:val="EF3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6537"/>
    <w:multiLevelType w:val="multilevel"/>
    <w:tmpl w:val="93D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065A8"/>
    <w:multiLevelType w:val="multilevel"/>
    <w:tmpl w:val="4836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632E9"/>
    <w:multiLevelType w:val="multilevel"/>
    <w:tmpl w:val="A21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A6C85"/>
    <w:multiLevelType w:val="multilevel"/>
    <w:tmpl w:val="10F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2C"/>
    <w:rsid w:val="001710FD"/>
    <w:rsid w:val="00ED722C"/>
    <w:rsid w:val="00F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26B36-99F3-49AE-9E89-E98F8AE6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22C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2C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D722C"/>
    <w:rPr>
      <w:color w:val="014A7B"/>
      <w:u w:val="single"/>
    </w:rPr>
  </w:style>
  <w:style w:type="character" w:styleId="Strong">
    <w:name w:val="Strong"/>
    <w:basedOn w:val="DefaultParagraphFont"/>
    <w:uiPriority w:val="22"/>
    <w:qFormat/>
    <w:rsid w:val="00ED7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9103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2018-10-14T06:20:00Z</dcterms:created>
  <dcterms:modified xsi:type="dcterms:W3CDTF">2018-10-14T09:18:00Z</dcterms:modified>
</cp:coreProperties>
</file>