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00000"/>
          <w:sz w:val="40"/>
          <w:szCs w:val="40"/>
        </w:rPr>
        <w:t xml:space="preserve">GAP ANALYSIS &amp;</w:t>
      </w:r>
    </w:p>
    <w:p>
      <w:pPr>
        <w:spacing w:after="600"/>
        <w:jc w:val="center"/>
      </w:pPr>
      <w:r>
        <w:rPr>
          <w:b/>
          <w:bCs/>
          <w:color w:val="C00000"/>
          <w:sz w:val="40"/>
          <w:szCs w:val="40"/>
        </w:rPr>
        <w:t xml:space="preserve">REMEDIATION PLAN</w:t>
      </w:r>
    </w:p>
    <w:p>
      <w:pPr>
        <w:spacing w:after="400"/>
        <w:jc w:val="center"/>
      </w:pPr>
      <w:r>
        <w:rPr>
          <w:b/>
          <w:bCs/>
          <w:sz w:val="28"/>
          <w:szCs w:val="28"/>
        </w:rPr>
        <w:t xml:space="preserve">ISO 27001:2022 Compliance Initiative</w:t>
      </w:r>
    </w:p>
    <w:p>
      <w:pPr>
        <w:spacing w:after="200"/>
        <w:jc w:val="center"/>
      </w:pPr>
      <w:r>
        <w:rPr>
          <w:sz w:val="24"/>
          <w:szCs w:val="24"/>
        </w:rPr>
        <w:t xml:space="preserve">CloudSync Technologies</w:t>
      </w:r>
    </w:p>
    <w:p>
      <w:pPr>
        <w:spacing w:after="800"/>
        <w:jc w:val="center"/>
      </w:pPr>
      <w:r>
        <w:rPr>
          <w:i/>
          <w:iCs/>
          <w:sz w:val="20"/>
          <w:szCs w:val="20"/>
        </w:rPr>
        <w:t xml:space="preserve">February 2026</w:t>
      </w:r>
    </w:p>
    <w:p>
      <w:pPr>
        <w:pStyle w:val="Heading1"/>
      </w:pPr>
      <w:r>
        <w:t xml:space="preserve">Priority 1 Gaps - Immediate Action Required</w:t>
      </w:r>
    </w:p>
    <w:p>
      <w:pPr>
        <w:spacing w:after="400"/>
      </w:pPr>
      <w:r>
        <w:t xml:space="preserve">The following gaps represent critical security deficiencies that expose CloudSync Technologies to immediate and severe risk. These gaps must be addressed within 90 days to protect customer data and business operations.</w:t>
      </w:r>
    </w:p>
    <w:p>
      <w:pPr>
        <w:pStyle w:val="Heading2"/>
      </w:pPr>
      <w:r>
        <w:t xml:space="preserve">GAP-001: Multi-Factor Authentication Not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ISO Control</w:t>
            </w:r>
          </w:p>
        </w:tc>
        <w:tc>
          <w:tcPr>
            <w:tcW w:type="dxa" w:w="6560"/>
            <w:tcMar>
              <w:top w:type="dxa" w:w="80"/>
              <w:left w:type="dxa" w:w="120"/>
              <w:bottom w:type="dxa" w:w="80"/>
              <w:right w:type="dxa" w:w="120"/>
            </w:tcMar>
          </w:tcPr>
          <w:p>
            <w:r>
              <w:t xml:space="preserve">A.8.5 - Secure Authentication</w:t>
            </w:r>
          </w:p>
        </w:tc>
      </w:tr>
      <w:tr>
        <w:tc>
          <w:tcPr>
            <w:tcW w:type="dxa" w:w="2800"/>
            <w:shd w:fill="D5E8F0" w:val="clear"/>
            <w:tcMar>
              <w:top w:type="dxa" w:w="80"/>
              <w:left w:type="dxa" w:w="120"/>
              <w:bottom w:type="dxa" w:w="80"/>
              <w:right w:type="dxa" w:w="120"/>
            </w:tcMar>
          </w:tcPr>
          <w:p>
            <w:r>
              <w:rPr>
                <w:b/>
                <w:bCs/>
              </w:rPr>
              <w:t xml:space="preserve">Current Status</w:t>
            </w:r>
          </w:p>
        </w:tc>
        <w:tc>
          <w:tcPr>
            <w:tcW w:type="dxa" w:w="6560"/>
            <w:shd w:fill="FFE699" w:val="clear"/>
            <w:tcMar>
              <w:top w:type="dxa" w:w="80"/>
              <w:left w:type="dxa" w:w="120"/>
              <w:bottom w:type="dxa" w:w="80"/>
              <w:right w:type="dxa" w:w="120"/>
            </w:tcMar>
          </w:tcPr>
          <w:p>
            <w:r>
              <w:rPr>
                <w:b/>
                <w:bCs/>
              </w:rPr>
              <w:t xml:space="preserve">Partially Implemented</w:t>
            </w:r>
          </w:p>
        </w:tc>
      </w:tr>
      <w:tr>
        <w:tc>
          <w:tcPr>
            <w:tcW w:type="dxa" w:w="2800"/>
            <w:shd w:fill="D5E8F0" w:val="clear"/>
            <w:tcMar>
              <w:top w:type="dxa" w:w="80"/>
              <w:left w:type="dxa" w:w="120"/>
              <w:bottom w:type="dxa" w:w="80"/>
              <w:right w:type="dxa" w:w="120"/>
            </w:tcMar>
          </w:tcPr>
          <w:p>
            <w:r>
              <w:rPr>
                <w:b/>
                <w:bCs/>
              </w:rPr>
              <w:t xml:space="preserve">Risk Score</w:t>
            </w:r>
          </w:p>
        </w:tc>
        <w:tc>
          <w:tcPr>
            <w:tcW w:type="dxa" w:w="6560"/>
            <w:shd w:fill="C00000" w:val="clear"/>
            <w:tcMar>
              <w:top w:type="dxa" w:w="80"/>
              <w:left w:type="dxa" w:w="120"/>
              <w:bottom w:type="dxa" w:w="80"/>
              <w:right w:type="dxa" w:w="120"/>
            </w:tcMar>
          </w:tcPr>
          <w:p>
            <w:r>
              <w:rPr>
                <w:b/>
                <w:bCs/>
                <w:color w:val="FFFFFF"/>
              </w:rPr>
              <w:t xml:space="preserve">20 (Critical)</w:t>
            </w:r>
          </w:p>
        </w:tc>
      </w:tr>
      <w:tr>
        <w:tc>
          <w:tcPr>
            <w:tcW w:type="dxa" w:w="2800"/>
            <w:shd w:fill="D5E8F0" w:val="clear"/>
            <w:tcMar>
              <w:top w:type="dxa" w:w="80"/>
              <w:left w:type="dxa" w:w="120"/>
              <w:bottom w:type="dxa" w:w="80"/>
              <w:right w:type="dxa" w:w="120"/>
            </w:tcMar>
          </w:tcPr>
          <w:p>
            <w:r>
              <w:rPr>
                <w:b/>
                <w:bCs/>
              </w:rPr>
              <w:t xml:space="preserve">Owner</w:t>
            </w:r>
          </w:p>
        </w:tc>
        <w:tc>
          <w:tcPr>
            <w:tcW w:type="dxa" w:w="6560"/>
            <w:tcMar>
              <w:top w:type="dxa" w:w="80"/>
              <w:left w:type="dxa" w:w="120"/>
              <w:bottom w:type="dxa" w:w="80"/>
              <w:right w:type="dxa" w:w="120"/>
            </w:tcMar>
          </w:tcPr>
          <w:p>
            <w:r>
              <w:t xml:space="preserve">IT Security Lead</w:t>
            </w:r>
          </w:p>
        </w:tc>
      </w:tr>
    </w:tbl>
    <w:p>
      <w:pPr>
        <w:spacing w:after="200"/>
      </w:pPr>
      <w:r>
        <w:t xml:space="preserve"/>
      </w:r>
    </w:p>
    <w:p>
      <w:pPr>
        <w:pStyle w:val="Heading3"/>
      </w:pPr>
      <w:r>
        <w:t xml:space="preserve">Current State</w:t>
      </w:r>
    </w:p>
    <w:p>
      <w:pPr>
        <w:spacing w:after="150"/>
      </w:pPr>
      <w:r>
        <w:t xml:space="preserve">Single Sign-On (SSO) via Okta has been deployed for most corporate applications, and MFA capability exists. However, MFA is not enforced as a mandatory requirement across all user accounts. Specifically:</w:t>
      </w:r>
    </w:p>
    <w:p>
      <w:pPr>
        <w:pStyle w:val="ListParagraph"/>
        <w:numPr>
          <w:ilvl w:val="0"/>
          <w:numId w:val="2"/>
        </w:numPr>
      </w:pPr>
      <w:r>
        <w:t xml:space="preserve">Only 60% of users have enrolled in MFA voluntarily</w:t>
      </w:r>
    </w:p>
    <w:p>
      <w:pPr>
        <w:pStyle w:val="ListParagraph"/>
        <w:numPr>
          <w:ilvl w:val="0"/>
          <w:numId w:val="2"/>
        </w:numPr>
      </w:pPr>
      <w:r>
        <w:t xml:space="preserve">Administrative accounts with production access lack MFA enforcement</w:t>
      </w:r>
    </w:p>
    <w:p>
      <w:pPr>
        <w:pStyle w:val="ListParagraph"/>
        <w:numPr>
          <w:ilvl w:val="0"/>
          <w:numId w:val="2"/>
        </w:numPr>
      </w:pPr>
      <w:r>
        <w:t xml:space="preserve">AWS root account and IAM privileged users do not require MFA</w:t>
      </w:r>
    </w:p>
    <w:p>
      <w:pPr>
        <w:pStyle w:val="ListParagraph"/>
        <w:numPr>
          <w:ilvl w:val="0"/>
          <w:numId w:val="2"/>
        </w:numPr>
      </w:pPr>
      <w:r>
        <w:t xml:space="preserve">SSH access to production servers uses key-based authentication without additional factors</w:t>
      </w:r>
    </w:p>
    <w:p>
      <w:pPr>
        <w:spacing w:after="200"/>
      </w:pPr>
      <w:r>
        <w:t xml:space="preserve"/>
      </w:r>
    </w:p>
    <w:p>
      <w:pPr>
        <w:pStyle w:val="Heading3"/>
      </w:pPr>
      <w:r>
        <w:t xml:space="preserve">Impact</w:t>
      </w:r>
    </w:p>
    <w:p>
      <w:pPr>
        <w:spacing w:after="150"/>
      </w:pPr>
      <w:r>
        <w:t xml:space="preserve">Lack of universal MFA creates the single highest risk to customer data confidentiality and system integrity. This vulnerability enables:</w:t>
      </w:r>
    </w:p>
    <w:p>
      <w:pPr>
        <w:pStyle w:val="ListParagraph"/>
        <w:numPr>
          <w:ilvl w:val="0"/>
          <w:numId w:val="2"/>
        </w:numPr>
      </w:pPr>
      <w:r>
        <w:t xml:space="preserve">Credential stuffing attacks using leaked passwords from third-party breaches</w:t>
      </w:r>
    </w:p>
    <w:p>
      <w:pPr>
        <w:pStyle w:val="ListParagraph"/>
        <w:numPr>
          <w:ilvl w:val="0"/>
          <w:numId w:val="2"/>
        </w:numPr>
      </w:pPr>
      <w:r>
        <w:t xml:space="preserve">Phishing attacks that successfully compromise single-factor credentials</w:t>
      </w:r>
    </w:p>
    <w:p>
      <w:pPr>
        <w:pStyle w:val="ListParagraph"/>
        <w:numPr>
          <w:ilvl w:val="0"/>
          <w:numId w:val="2"/>
        </w:numPr>
      </w:pPr>
      <w:r>
        <w:t xml:space="preserve">Unauthorized access to production infrastructure and customer data</w:t>
      </w:r>
    </w:p>
    <w:p>
      <w:pPr>
        <w:pStyle w:val="ListParagraph"/>
        <w:numPr>
          <w:ilvl w:val="0"/>
          <w:numId w:val="2"/>
        </w:numPr>
      </w:pPr>
      <w:r>
        <w:t xml:space="preserve">Potential data breach with regulatory notification requirements and reputational damage</w:t>
      </w:r>
    </w:p>
    <w:p>
      <w:pPr>
        <w:spacing w:after="200"/>
      </w:pPr>
      <w:r>
        <w:t xml:space="preserve"/>
      </w:r>
    </w:p>
    <w:p>
      <w:pPr>
        <w:pStyle w:val="Heading3"/>
      </w:pPr>
      <w:r>
        <w:t xml:space="preserve">Required Actions</w:t>
      </w:r>
    </w:p>
    <w:p>
      <w:pPr>
        <w:pStyle w:val="ListParagraph"/>
        <w:numPr>
          <w:ilvl w:val="0"/>
          <w:numId w:val="3"/>
        </w:numPr>
      </w:pPr>
      <w:r>
        <w:rPr>
          <w:b/>
          <w:bCs/>
        </w:rPr>
        <w:t xml:space="preserve">Enforce MFA for all user accounts within 30 days</w:t>
      </w:r>
    </w:p>
    <w:p>
      <w:pPr>
        <w:spacing w:after="150"/>
      </w:pPr>
      <w:r>
        <w:t xml:space="preserve">Configure Okta to require MFA for all authentication attempts. Provide 2-week grace period with email reminders, then enforce globally. Support TOTP apps (Google Authenticator, Authy), SMS, and hardware tokens (YubiKey).</w:t>
      </w:r>
    </w:p>
    <w:p>
      <w:pPr>
        <w:pStyle w:val="ListParagraph"/>
        <w:numPr>
          <w:ilvl w:val="0"/>
          <w:numId w:val="3"/>
        </w:numPr>
      </w:pPr>
      <w:r>
        <w:rPr>
          <w:b/>
          <w:bCs/>
        </w:rPr>
        <w:t xml:space="preserve">Prioritize privileged account MFA enforcement immediately</w:t>
      </w:r>
    </w:p>
    <w:p>
      <w:pPr>
        <w:spacing w:after="100"/>
      </w:pPr>
      <w:r>
        <w:t xml:space="preserve">Within 7 days, enforce MFA for:</w:t>
      </w:r>
    </w:p>
    <w:p>
      <w:pPr>
        <w:pStyle w:val="ListParagraph"/>
        <w:numPr>
          <w:ilvl w:val="0"/>
          <w:numId w:val="2"/>
        </w:numPr>
      </w:pPr>
      <w:r>
        <w:t xml:space="preserve">AWS root and IAM administrative accounts</w:t>
      </w:r>
    </w:p>
    <w:p>
      <w:pPr>
        <w:pStyle w:val="ListParagraph"/>
        <w:numPr>
          <w:ilvl w:val="0"/>
          <w:numId w:val="2"/>
        </w:numPr>
      </w:pPr>
      <w:r>
        <w:t xml:space="preserve">Production database administrative access</w:t>
      </w:r>
    </w:p>
    <w:p>
      <w:pPr>
        <w:pStyle w:val="ListParagraph"/>
        <w:numPr>
          <w:ilvl w:val="0"/>
          <w:numId w:val="2"/>
        </w:numPr>
      </w:pPr>
      <w:r>
        <w:t xml:space="preserve">Infrastructure management tools (Terraform Cloud, CI/CD systems)</w:t>
      </w:r>
    </w:p>
    <w:p>
      <w:pPr>
        <w:pStyle w:val="ListParagraph"/>
        <w:numPr>
          <w:ilvl w:val="0"/>
          <w:numId w:val="2"/>
        </w:numPr>
      </w:pPr>
      <w:r>
        <w:t xml:space="preserve">Source code repository administrative access (GitHub organization owners)</w:t>
      </w:r>
    </w:p>
    <w:p>
      <w:pPr>
        <w:spacing w:after="150"/>
      </w:pPr>
      <w:r>
        <w:t xml:space="preserve"/>
      </w:r>
    </w:p>
    <w:p>
      <w:pPr>
        <w:pStyle w:val="ListParagraph"/>
        <w:numPr>
          <w:ilvl w:val="0"/>
          <w:numId w:val="3"/>
        </w:numPr>
      </w:pPr>
      <w:r>
        <w:rPr>
          <w:b/>
          <w:bCs/>
        </w:rPr>
        <w:t xml:space="preserve">Implement conditional access policies</w:t>
      </w:r>
    </w:p>
    <w:p>
      <w:pPr>
        <w:spacing w:after="100"/>
      </w:pPr>
      <w:r>
        <w:t xml:space="preserve">Configure risk-based authentication requiring additional verification for:</w:t>
      </w:r>
    </w:p>
    <w:p>
      <w:pPr>
        <w:pStyle w:val="ListParagraph"/>
        <w:numPr>
          <w:ilvl w:val="0"/>
          <w:numId w:val="2"/>
        </w:numPr>
      </w:pPr>
      <w:r>
        <w:t xml:space="preserve">Login attempts from new devices or locations</w:t>
      </w:r>
    </w:p>
    <w:p>
      <w:pPr>
        <w:pStyle w:val="ListParagraph"/>
        <w:numPr>
          <w:ilvl w:val="0"/>
          <w:numId w:val="2"/>
        </w:numPr>
      </w:pPr>
      <w:r>
        <w:t xml:space="preserve">Access to production systems from unmanaged devices</w:t>
      </w:r>
    </w:p>
    <w:p>
      <w:pPr>
        <w:pStyle w:val="ListParagraph"/>
        <w:numPr>
          <w:ilvl w:val="0"/>
          <w:numId w:val="2"/>
        </w:numPr>
      </w:pPr>
      <w:r>
        <w:t xml:space="preserve">Login attempts outside normal business hours for non-operations personnel</w:t>
      </w:r>
    </w:p>
    <w:p>
      <w:pPr>
        <w:spacing w:after="150"/>
      </w:pPr>
      <w:r>
        <w:t xml:space="preserve"/>
      </w:r>
    </w:p>
    <w:p>
      <w:pPr>
        <w:pStyle w:val="ListParagraph"/>
        <w:numPr>
          <w:ilvl w:val="0"/>
          <w:numId w:val="3"/>
        </w:numPr>
      </w:pPr>
      <w:r>
        <w:rPr>
          <w:b/>
          <w:bCs/>
        </w:rPr>
        <w:t xml:space="preserve">Secure SSH access with certificate-based authentication</w:t>
      </w:r>
    </w:p>
    <w:p>
      <w:pPr>
        <w:spacing w:after="150"/>
      </w:pPr>
      <w:r>
        <w:t xml:space="preserve">Deploy Teleport or similar solution to enforce certificate-based SSH authentication with MFA requirement for production server access. Eliminate direct SSH key access.</w:t>
      </w:r>
    </w:p>
    <w:p>
      <w:pPr>
        <w:pStyle w:val="ListParagraph"/>
        <w:numPr>
          <w:ilvl w:val="0"/>
          <w:numId w:val="3"/>
        </w:numPr>
      </w:pPr>
      <w:r>
        <w:rPr>
          <w:b/>
          <w:bCs/>
        </w:rPr>
        <w:t xml:space="preserve">User training and communication</w:t>
      </w:r>
    </w:p>
    <w:p>
      <w:pPr>
        <w:spacing w:after="300"/>
      </w:pPr>
      <w:r>
        <w:t xml:space="preserve">Conduct organization-wide training on MFA setup and best practices. Provide IT support for enrollment issues. Document MFA procedures in employee handbook.</w:t>
      </w:r>
    </w:p>
    <w:p>
      <w:pPr>
        <w:pStyle w:val="Heading3"/>
      </w:pPr>
      <w:r>
        <w:t xml:space="preserve">Success Criteria</w:t>
      </w:r>
    </w:p>
    <w:p>
      <w:pPr>
        <w:pStyle w:val="ListParagraph"/>
        <w:numPr>
          <w:ilvl w:val="0"/>
          <w:numId w:val="2"/>
        </w:numPr>
      </w:pPr>
      <w:r>
        <w:t xml:space="preserve">100% of user accounts enrolled in MFA</w:t>
      </w:r>
    </w:p>
    <w:p>
      <w:pPr>
        <w:pStyle w:val="ListParagraph"/>
        <w:numPr>
          <w:ilvl w:val="0"/>
          <w:numId w:val="2"/>
        </w:numPr>
      </w:pPr>
      <w:r>
        <w:t xml:space="preserve">Zero successful authentication attempts without MFA verification</w:t>
      </w:r>
    </w:p>
    <w:p>
      <w:pPr>
        <w:pStyle w:val="ListParagraph"/>
        <w:numPr>
          <w:ilvl w:val="0"/>
          <w:numId w:val="2"/>
        </w:numPr>
      </w:pPr>
      <w:r>
        <w:t xml:space="preserve">Conditional access policies active for high-risk scenarios</w:t>
      </w:r>
    </w:p>
    <w:p>
      <w:pPr>
        <w:pStyle w:val="ListParagraph"/>
        <w:numPr>
          <w:ilvl w:val="0"/>
          <w:numId w:val="2"/>
        </w:numPr>
      </w:pPr>
      <w:r>
        <w:t xml:space="preserve">All production SSH access requires certificate-based authentication</w:t>
      </w:r>
    </w:p>
    <w:p>
      <w:pPr>
        <w:spacing w:after="200"/>
      </w:pPr>
      <w:r>
        <w:t xml:space="preserve"/>
      </w:r>
    </w:p>
    <w:p>
      <w:pPr>
        <w:pStyle w:val="Heading3"/>
      </w:pPr>
      <w:r>
        <w:t xml:space="preserve">Budget Estimate</w:t>
      </w:r>
    </w:p>
    <w:p>
      <w:pPr>
        <w:spacing w:after="100"/>
      </w:pPr>
      <w:r>
        <w:t xml:space="preserve">$5,000 - $8,000:</w:t>
      </w:r>
    </w:p>
    <w:p>
      <w:pPr>
        <w:pStyle w:val="ListParagraph"/>
        <w:numPr>
          <w:ilvl w:val="0"/>
          <w:numId w:val="2"/>
        </w:numPr>
      </w:pPr>
      <w:r>
        <w:t xml:space="preserve">Hardware tokens for executives and high-privilege users: $2,000</w:t>
      </w:r>
    </w:p>
    <w:p>
      <w:pPr>
        <w:pStyle w:val="ListParagraph"/>
        <w:numPr>
          <w:ilvl w:val="0"/>
          <w:numId w:val="2"/>
        </w:numPr>
      </w:pPr>
      <w:r>
        <w:t xml:space="preserve">Teleport or similar SSH certificate solution: $3,000 - $5,000 annually</w:t>
      </w:r>
    </w:p>
    <w:p>
      <w:pPr>
        <w:pStyle w:val="ListParagraph"/>
        <w:numPr>
          <w:ilvl w:val="0"/>
          <w:numId w:val="2"/>
        </w:numPr>
      </w:pPr>
      <w:r>
        <w:t xml:space="preserve">User training and support effort: included in existing IT budget</w:t>
      </w:r>
    </w:p>
    <w:p>
      <w:pPr>
        <w:spacing w:after="400"/>
      </w:pPr>
      <w:r>
        <w:t xml:space="preserve"/>
      </w:r>
    </w:p>
    <w:p>
      <w:pPr>
        <w:pageBreakBefore/>
      </w:pPr>
      <w:r>
        <w:br/>
        <w:t xml:space="preserve"/>
      </w:r>
    </w:p>
    <w:p>
      <w:pPr>
        <w:pStyle w:val="Heading2"/>
      </w:pPr>
      <w:r>
        <w:t xml:space="preserve">GAP-002: Vulnerability and Patch Management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ISO Control</w:t>
            </w:r>
          </w:p>
        </w:tc>
        <w:tc>
          <w:tcPr>
            <w:tcW w:type="dxa" w:w="6560"/>
            <w:tcMar>
              <w:top w:type="dxa" w:w="80"/>
              <w:left w:type="dxa" w:w="120"/>
              <w:bottom w:type="dxa" w:w="80"/>
              <w:right w:type="dxa" w:w="120"/>
            </w:tcMar>
          </w:tcPr>
          <w:p>
            <w:r>
              <w:t xml:space="preserve">A.8.8 - Management of Technical Vulnerabilities</w:t>
            </w:r>
          </w:p>
        </w:tc>
      </w:tr>
      <w:tr>
        <w:tc>
          <w:tcPr>
            <w:tcW w:type="dxa" w:w="2800"/>
            <w:shd w:fill="D5E8F0" w:val="clear"/>
            <w:tcMar>
              <w:top w:type="dxa" w:w="80"/>
              <w:left w:type="dxa" w:w="120"/>
              <w:bottom w:type="dxa" w:w="80"/>
              <w:right w:type="dxa" w:w="120"/>
            </w:tcMar>
          </w:tcPr>
          <w:p>
            <w:r>
              <w:rPr>
                <w:b/>
                <w:bCs/>
              </w:rPr>
              <w:t xml:space="preserve">Current Status</w:t>
            </w:r>
          </w:p>
        </w:tc>
        <w:tc>
          <w:tcPr>
            <w:tcW w:type="dxa" w:w="6560"/>
            <w:shd w:fill="FFE699" w:val="clear"/>
            <w:tcMar>
              <w:top w:type="dxa" w:w="80"/>
              <w:left w:type="dxa" w:w="120"/>
              <w:bottom w:type="dxa" w:w="80"/>
              <w:right w:type="dxa" w:w="120"/>
            </w:tcMar>
          </w:tcPr>
          <w:p>
            <w:r>
              <w:rPr>
                <w:b/>
                <w:bCs/>
              </w:rPr>
              <w:t xml:space="preserve">Partially Implemented</w:t>
            </w:r>
          </w:p>
        </w:tc>
      </w:tr>
      <w:tr>
        <w:tc>
          <w:tcPr>
            <w:tcW w:type="dxa" w:w="2800"/>
            <w:shd w:fill="D5E8F0" w:val="clear"/>
            <w:tcMar>
              <w:top w:type="dxa" w:w="80"/>
              <w:left w:type="dxa" w:w="120"/>
              <w:bottom w:type="dxa" w:w="80"/>
              <w:right w:type="dxa" w:w="120"/>
            </w:tcMar>
          </w:tcPr>
          <w:p>
            <w:r>
              <w:rPr>
                <w:b/>
                <w:bCs/>
              </w:rPr>
              <w:t xml:space="preserve">Risk Score</w:t>
            </w:r>
          </w:p>
        </w:tc>
        <w:tc>
          <w:tcPr>
            <w:tcW w:type="dxa" w:w="6560"/>
            <w:shd w:fill="C00000" w:val="clear"/>
            <w:tcMar>
              <w:top w:type="dxa" w:w="80"/>
              <w:left w:type="dxa" w:w="120"/>
              <w:bottom w:type="dxa" w:w="80"/>
              <w:right w:type="dxa" w:w="120"/>
            </w:tcMar>
          </w:tcPr>
          <w:p>
            <w:r>
              <w:rPr>
                <w:b/>
                <w:bCs/>
                <w:color w:val="FFFFFF"/>
              </w:rPr>
              <w:t xml:space="preserve">20 (Critical)</w:t>
            </w:r>
          </w:p>
        </w:tc>
      </w:tr>
      <w:tr>
        <w:tc>
          <w:tcPr>
            <w:tcW w:type="dxa" w:w="2800"/>
            <w:shd w:fill="D5E8F0" w:val="clear"/>
            <w:tcMar>
              <w:top w:type="dxa" w:w="80"/>
              <w:left w:type="dxa" w:w="120"/>
              <w:bottom w:type="dxa" w:w="80"/>
              <w:right w:type="dxa" w:w="120"/>
            </w:tcMar>
          </w:tcPr>
          <w:p>
            <w:r>
              <w:rPr>
                <w:b/>
                <w:bCs/>
              </w:rPr>
              <w:t xml:space="preserve">Owner</w:t>
            </w:r>
          </w:p>
        </w:tc>
        <w:tc>
          <w:tcPr>
            <w:tcW w:type="dxa" w:w="6560"/>
            <w:tcMar>
              <w:top w:type="dxa" w:w="80"/>
              <w:left w:type="dxa" w:w="120"/>
              <w:bottom w:type="dxa" w:w="80"/>
              <w:right w:type="dxa" w:w="120"/>
            </w:tcMar>
          </w:tcPr>
          <w:p>
            <w:r>
              <w:t xml:space="preserve">Security Manager</w:t>
            </w:r>
          </w:p>
        </w:tc>
      </w:tr>
    </w:tbl>
    <w:p>
      <w:pPr>
        <w:spacing w:after="200"/>
      </w:pPr>
      <w:r>
        <w:t xml:space="preserve"/>
      </w:r>
    </w:p>
    <w:p>
      <w:pPr>
        <w:pStyle w:val="Heading3"/>
      </w:pPr>
      <w:r>
        <w:t xml:space="preserve">Current State</w:t>
      </w:r>
    </w:p>
    <w:p>
      <w:pPr>
        <w:spacing w:after="150"/>
      </w:pPr>
      <w:r>
        <w:t xml:space="preserve">CloudSync performs weekly vulnerability scans using Nessus on production infrastructure. However, there is no formal patch management process with defined service level agreements for remediation. Current state includes:</w:t>
      </w:r>
    </w:p>
    <w:p>
      <w:pPr>
        <w:pStyle w:val="ListParagraph"/>
        <w:numPr>
          <w:ilvl w:val="0"/>
          <w:numId w:val="2"/>
        </w:numPr>
      </w:pPr>
      <w:r>
        <w:t xml:space="preserve">Weekly automated vulnerability scanning of production systems</w:t>
      </w:r>
    </w:p>
    <w:p>
      <w:pPr>
        <w:pStyle w:val="ListParagraph"/>
        <w:numPr>
          <w:ilvl w:val="0"/>
          <w:numId w:val="2"/>
        </w:numPr>
      </w:pPr>
      <w:r>
        <w:t xml:space="preserve">Ad-hoc patching based on engineering team availability</w:t>
      </w:r>
    </w:p>
    <w:p>
      <w:pPr>
        <w:pStyle w:val="ListParagraph"/>
        <w:numPr>
          <w:ilvl w:val="0"/>
          <w:numId w:val="2"/>
        </w:numPr>
      </w:pPr>
      <w:r>
        <w:t xml:space="preserve">No documented patch prioritization criteria or SLAs</w:t>
      </w:r>
    </w:p>
    <w:p>
      <w:pPr>
        <w:pStyle w:val="ListParagraph"/>
        <w:numPr>
          <w:ilvl w:val="0"/>
          <w:numId w:val="2"/>
        </w:numPr>
      </w:pPr>
      <w:r>
        <w:t xml:space="preserve">No tracking system for vulnerability remediation status</w:t>
      </w:r>
    </w:p>
    <w:p>
      <w:pPr>
        <w:pStyle w:val="ListParagraph"/>
        <w:numPr>
          <w:ilvl w:val="0"/>
          <w:numId w:val="2"/>
        </w:numPr>
      </w:pPr>
      <w:r>
        <w:t xml:space="preserve">Average time to patch critical vulnerabilities: 45-60 days</w:t>
      </w:r>
    </w:p>
    <w:p>
      <w:pPr>
        <w:spacing w:after="200"/>
      </w:pPr>
      <w:r>
        <w:t xml:space="preserve"/>
      </w:r>
    </w:p>
    <w:p>
      <w:pPr>
        <w:pStyle w:val="Heading3"/>
      </w:pPr>
      <w:r>
        <w:t xml:space="preserve">Required Actions</w:t>
      </w:r>
    </w:p>
    <w:p>
      <w:pPr>
        <w:pStyle w:val="ListParagraph"/>
        <w:numPr>
          <w:ilvl w:val="0"/>
          <w:numId w:val="3"/>
        </w:numPr>
      </w:pPr>
      <w:r>
        <w:rPr>
          <w:b/>
          <w:bCs/>
        </w:rPr>
        <w:t xml:space="preserve">Establish formal patch management policy with SLAs</w:t>
      </w:r>
    </w:p>
    <w:p>
      <w:pPr>
        <w:spacing w:after="100"/>
      </w:pPr>
      <w:r>
        <w:t xml:space="preserve">Document and approve patch management policy defining:</w:t>
      </w:r>
    </w:p>
    <w:p>
      <w:pPr>
        <w:pStyle w:val="ListParagraph"/>
        <w:numPr>
          <w:ilvl w:val="0"/>
          <w:numId w:val="2"/>
        </w:numPr>
      </w:pPr>
      <w:r>
        <w:t xml:space="preserve">Critical vulnerabilities (CVSS 9.0-10.0): 7 days</w:t>
      </w:r>
    </w:p>
    <w:p>
      <w:pPr>
        <w:pStyle w:val="ListParagraph"/>
        <w:numPr>
          <w:ilvl w:val="0"/>
          <w:numId w:val="2"/>
        </w:numPr>
      </w:pPr>
      <w:r>
        <w:t xml:space="preserve">High vulnerabilities (CVSS 7.0-8.9): 30 days</w:t>
      </w:r>
    </w:p>
    <w:p>
      <w:pPr>
        <w:pStyle w:val="ListParagraph"/>
        <w:numPr>
          <w:ilvl w:val="0"/>
          <w:numId w:val="2"/>
        </w:numPr>
      </w:pPr>
      <w:r>
        <w:t xml:space="preserve">Medium vulnerabilities (CVSS 4.0-6.9): 90 days</w:t>
      </w:r>
    </w:p>
    <w:p>
      <w:pPr>
        <w:pStyle w:val="ListParagraph"/>
        <w:numPr>
          <w:ilvl w:val="0"/>
          <w:numId w:val="2"/>
        </w:numPr>
      </w:pPr>
      <w:r>
        <w:t xml:space="preserve">Low vulnerabilities (CVSS 0.1-3.9): Risk acceptance or 180 days</w:t>
      </w:r>
    </w:p>
    <w:p>
      <w:pPr>
        <w:spacing w:after="150"/>
      </w:pPr>
      <w:r>
        <w:t xml:space="preserve"/>
      </w:r>
    </w:p>
    <w:p>
      <w:pPr>
        <w:pStyle w:val="ListParagraph"/>
        <w:numPr>
          <w:ilvl w:val="0"/>
          <w:numId w:val="3"/>
        </w:numPr>
      </w:pPr>
      <w:r>
        <w:rPr>
          <w:b/>
          <w:bCs/>
        </w:rPr>
        <w:t xml:space="preserve">Implement vulnerability tracking and remediation workflow</w:t>
      </w:r>
    </w:p>
    <w:p>
      <w:pPr>
        <w:spacing w:after="150"/>
      </w:pPr>
      <w:r>
        <w:t xml:space="preserve">Deploy Jira or similar system for vulnerability tracking with automated import from Nessus. Create workflow states: Identified → Prioritized → Scheduled → Patched → Verified → Closed.</w:t>
      </w:r>
    </w:p>
    <w:p>
      <w:pPr>
        <w:pStyle w:val="ListParagraph"/>
        <w:numPr>
          <w:ilvl w:val="0"/>
          <w:numId w:val="3"/>
        </w:numPr>
      </w:pPr>
      <w:r>
        <w:rPr>
          <w:b/>
          <w:bCs/>
        </w:rPr>
        <w:t xml:space="preserve">Establish automated patching for non-production</w:t>
      </w:r>
    </w:p>
    <w:p>
      <w:pPr>
        <w:spacing w:after="150"/>
      </w:pPr>
      <w:r>
        <w:t xml:space="preserve">Implement AWS Systems Manager Patch Manager or similar solution to automatically patch development and staging environments weekly. Use automated patching results to validate stability before production deployment.</w:t>
      </w:r>
    </w:p>
    <w:p>
      <w:pPr>
        <w:pStyle w:val="ListParagraph"/>
        <w:numPr>
          <w:ilvl w:val="0"/>
          <w:numId w:val="3"/>
        </w:numPr>
      </w:pPr>
      <w:r>
        <w:rPr>
          <w:b/>
          <w:bCs/>
        </w:rPr>
        <w:t xml:space="preserve">Create monthly production patching cadence</w:t>
      </w:r>
    </w:p>
    <w:p>
      <w:pPr>
        <w:spacing w:after="300"/>
      </w:pPr>
      <w:r>
        <w:t xml:space="preserve">Schedule maintenance windows on second Tuesday of each month for routine production patching. Emergency patching for critical vulnerabilities executed within SLA using expedited change approval.</w:t>
      </w:r>
    </w:p>
    <w:p>
      <w:pPr>
        <w:pStyle w:val="Heading3"/>
      </w:pPr>
      <w:r>
        <w:t xml:space="preserve">Success Criteria</w:t>
      </w:r>
    </w:p>
    <w:p>
      <w:pPr>
        <w:pStyle w:val="ListParagraph"/>
        <w:numPr>
          <w:ilvl w:val="0"/>
          <w:numId w:val="2"/>
        </w:numPr>
      </w:pPr>
      <w:r>
        <w:t xml:space="preserve">100% of critical vulnerabilities remediated within 7-day SLA</w:t>
      </w:r>
    </w:p>
    <w:p>
      <w:pPr>
        <w:pStyle w:val="ListParagraph"/>
        <w:numPr>
          <w:ilvl w:val="0"/>
          <w:numId w:val="2"/>
        </w:numPr>
      </w:pPr>
      <w:r>
        <w:t xml:space="preserve">95% of high vulnerabilities remediated within 30-day SLA</w:t>
      </w:r>
    </w:p>
    <w:p>
      <w:pPr>
        <w:pStyle w:val="ListParagraph"/>
        <w:numPr>
          <w:ilvl w:val="0"/>
          <w:numId w:val="2"/>
        </w:numPr>
      </w:pPr>
      <w:r>
        <w:t xml:space="preserve">All vulnerabilities tracked with documented remediation status</w:t>
      </w:r>
    </w:p>
    <w:p>
      <w:pPr>
        <w:pStyle w:val="ListParagraph"/>
        <w:numPr>
          <w:ilvl w:val="0"/>
          <w:numId w:val="2"/>
        </w:numPr>
      </w:pPr>
      <w:r>
        <w:t xml:space="preserve">Monthly reporting of vulnerability metrics to leadership</w:t>
      </w:r>
    </w:p>
    <w:p>
      <w:pPr>
        <w:spacing w:after="400"/>
      </w:pPr>
      <w:r>
        <w:t xml:space="preserve"/>
      </w:r>
    </w:p>
    <w:p>
      <w:pPr>
        <w:pageBreakBefore/>
      </w:pPr>
      <w:r>
        <w:br/>
        <w:t xml:space="preserve"/>
      </w:r>
    </w:p>
    <w:p>
      <w:pPr>
        <w:pStyle w:val="Heading1"/>
      </w:pPr>
      <w:r>
        <w:t xml:space="preserve">Priority 2 Gaps - Address Within 6 Months</w:t>
      </w:r>
    </w:p>
    <w:p>
      <w:pPr>
        <w:pStyle w:val="Heading2"/>
      </w:pPr>
      <w:r>
        <w:t xml:space="preserve">GAP-003: Configuration Management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ISO Control</w:t>
            </w:r>
          </w:p>
        </w:tc>
        <w:tc>
          <w:tcPr>
            <w:tcW w:type="dxa" w:w="6560"/>
            <w:tcMar>
              <w:top w:type="dxa" w:w="80"/>
              <w:left w:type="dxa" w:w="120"/>
              <w:bottom w:type="dxa" w:w="80"/>
              <w:right w:type="dxa" w:w="120"/>
            </w:tcMar>
          </w:tcPr>
          <w:p>
            <w:r>
              <w:t xml:space="preserve">A.8.9 - Configuration Management</w:t>
            </w:r>
          </w:p>
        </w:tc>
      </w:tr>
      <w:tr>
        <w:tc>
          <w:tcPr>
            <w:tcW w:type="dxa" w:w="2800"/>
            <w:shd w:fill="D5E8F0" w:val="clear"/>
            <w:tcMar>
              <w:top w:type="dxa" w:w="80"/>
              <w:left w:type="dxa" w:w="120"/>
              <w:bottom w:type="dxa" w:w="80"/>
              <w:right w:type="dxa" w:w="120"/>
            </w:tcMar>
          </w:tcPr>
          <w:p>
            <w:r>
              <w:rPr>
                <w:b/>
                <w:bCs/>
              </w:rPr>
              <w:t xml:space="preserve">Current Status</w:t>
            </w:r>
          </w:p>
        </w:tc>
        <w:tc>
          <w:tcPr>
            <w:tcW w:type="dxa" w:w="6560"/>
            <w:shd w:fill="F4B084" w:val="clear"/>
            <w:tcMar>
              <w:top w:type="dxa" w:w="80"/>
              <w:left w:type="dxa" w:w="120"/>
              <w:bottom w:type="dxa" w:w="80"/>
              <w:right w:type="dxa" w:w="120"/>
            </w:tcMar>
          </w:tcPr>
          <w:p>
            <w:r>
              <w:rPr>
                <w:b/>
                <w:bCs/>
              </w:rPr>
              <w:t xml:space="preserve">Not Implemented</w:t>
            </w:r>
          </w:p>
        </w:tc>
      </w:tr>
    </w:tbl>
    <w:p>
      <w:pPr>
        <w:spacing w:after="200"/>
      </w:pPr>
      <w:r>
        <w:t xml:space="preserve"/>
      </w:r>
    </w:p>
    <w:p>
      <w:pPr>
        <w:pStyle w:val="Heading3"/>
      </w:pPr>
      <w:r>
        <w:t xml:space="preserve">Required Actions</w:t>
      </w:r>
    </w:p>
    <w:p>
      <w:pPr>
        <w:pStyle w:val="ListParagraph"/>
        <w:numPr>
          <w:ilvl w:val="0"/>
          <w:numId w:val="3"/>
        </w:numPr>
      </w:pPr>
      <w:r>
        <w:t xml:space="preserve">Document baseline configuration standards for all system types</w:t>
      </w:r>
    </w:p>
    <w:p>
      <w:pPr>
        <w:pStyle w:val="ListParagraph"/>
        <w:numPr>
          <w:ilvl w:val="0"/>
          <w:numId w:val="3"/>
        </w:numPr>
      </w:pPr>
      <w:r>
        <w:t xml:space="preserve">Implement Configuration Management Database (CMDB) in ServiceNow or similar</w:t>
      </w:r>
    </w:p>
    <w:p>
      <w:pPr>
        <w:pStyle w:val="ListParagraph"/>
        <w:numPr>
          <w:ilvl w:val="0"/>
          <w:numId w:val="3"/>
        </w:numPr>
      </w:pPr>
      <w:r>
        <w:t xml:space="preserve">Deploy configuration scanning tools to detect drift from baselines</w:t>
      </w:r>
    </w:p>
    <w:p>
      <w:pPr>
        <w:pStyle w:val="ListParagraph"/>
        <w:numPr>
          <w:ilvl w:val="0"/>
          <w:numId w:val="3"/>
        </w:numPr>
      </w:pPr>
      <w:r>
        <w:t xml:space="preserve">Establish quarterly configuration audits and remediation processes</w:t>
      </w:r>
    </w:p>
    <w:p>
      <w:pPr>
        <w:spacing w:after="400"/>
      </w:pPr>
      <w:r>
        <w:t xml:space="preserve"/>
      </w:r>
    </w:p>
    <w:p>
      <w:pPr>
        <w:pStyle w:val="Heading2"/>
      </w:pPr>
      <w:r>
        <w:t xml:space="preserve">GAP-004: Security Information and Event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ISO Control</w:t>
            </w:r>
          </w:p>
        </w:tc>
        <w:tc>
          <w:tcPr>
            <w:tcW w:type="dxa" w:w="6560"/>
            <w:tcMar>
              <w:top w:type="dxa" w:w="80"/>
              <w:left w:type="dxa" w:w="120"/>
              <w:bottom w:type="dxa" w:w="80"/>
              <w:right w:type="dxa" w:w="120"/>
            </w:tcMar>
          </w:tcPr>
          <w:p>
            <w:r>
              <w:t xml:space="preserve">A.8.16 - Monitoring Activities</w:t>
            </w:r>
          </w:p>
        </w:tc>
      </w:tr>
      <w:tr>
        <w:tc>
          <w:tcPr>
            <w:tcW w:type="dxa" w:w="2800"/>
            <w:shd w:fill="D5E8F0" w:val="clear"/>
            <w:tcMar>
              <w:top w:type="dxa" w:w="80"/>
              <w:left w:type="dxa" w:w="120"/>
              <w:bottom w:type="dxa" w:w="80"/>
              <w:right w:type="dxa" w:w="120"/>
            </w:tcMar>
          </w:tcPr>
          <w:p>
            <w:r>
              <w:rPr>
                <w:b/>
                <w:bCs/>
              </w:rPr>
              <w:t xml:space="preserve">Current Status</w:t>
            </w:r>
          </w:p>
        </w:tc>
        <w:tc>
          <w:tcPr>
            <w:tcW w:type="dxa" w:w="6560"/>
            <w:shd w:fill="FFE699" w:val="clear"/>
            <w:tcMar>
              <w:top w:type="dxa" w:w="80"/>
              <w:left w:type="dxa" w:w="120"/>
              <w:bottom w:type="dxa" w:w="80"/>
              <w:right w:type="dxa" w:w="120"/>
            </w:tcMar>
          </w:tcPr>
          <w:p>
            <w:r>
              <w:rPr>
                <w:b/>
                <w:bCs/>
              </w:rPr>
              <w:t xml:space="preserve">Partially Implemented</w:t>
            </w:r>
          </w:p>
        </w:tc>
      </w:tr>
    </w:tbl>
    <w:p>
      <w:pPr>
        <w:spacing w:after="200"/>
      </w:pPr>
      <w:r>
        <w:t xml:space="preserve"/>
      </w:r>
    </w:p>
    <w:p>
      <w:pPr>
        <w:pStyle w:val="Heading3"/>
      </w:pPr>
      <w:r>
        <w:t xml:space="preserve">Required Actions</w:t>
      </w:r>
    </w:p>
    <w:p>
      <w:pPr>
        <w:pStyle w:val="ListParagraph"/>
        <w:numPr>
          <w:ilvl w:val="0"/>
          <w:numId w:val="3"/>
        </w:numPr>
      </w:pPr>
      <w:r>
        <w:t xml:space="preserve">Deploy enterprise SIEM solution (Splunk, Sentinel, or Chronicle)</w:t>
      </w:r>
    </w:p>
    <w:p>
      <w:pPr>
        <w:pStyle w:val="ListParagraph"/>
        <w:numPr>
          <w:ilvl w:val="0"/>
          <w:numId w:val="3"/>
        </w:numPr>
      </w:pPr>
      <w:r>
        <w:t xml:space="preserve">Configure log aggregation from all production systems and applications</w:t>
      </w:r>
    </w:p>
    <w:p>
      <w:pPr>
        <w:pStyle w:val="ListParagraph"/>
        <w:numPr>
          <w:ilvl w:val="0"/>
          <w:numId w:val="3"/>
        </w:numPr>
      </w:pPr>
      <w:r>
        <w:t xml:space="preserve">Develop security monitoring use cases and alerting rules</w:t>
      </w:r>
    </w:p>
    <w:p>
      <w:pPr>
        <w:pStyle w:val="ListParagraph"/>
        <w:numPr>
          <w:ilvl w:val="0"/>
          <w:numId w:val="3"/>
        </w:numPr>
      </w:pPr>
      <w:r>
        <w:t xml:space="preserve">Establish 24/7 security monitoring capability (in-house or SOC-as-a-Service)</w:t>
      </w:r>
    </w:p>
    <w:p>
      <w:pPr>
        <w:pStyle w:val="ListParagraph"/>
        <w:numPr>
          <w:ilvl w:val="0"/>
          <w:numId w:val="3"/>
        </w:numPr>
      </w:pPr>
      <w:r>
        <w:t xml:space="preserve">Implement 1-year log retention policy in compliance with ISO 27001</w:t>
      </w:r>
    </w:p>
    <w:p>
      <w:pPr>
        <w:spacing w:after="600"/>
      </w:pPr>
      <w:r>
        <w:t xml:space="preserve"/>
      </w:r>
    </w:p>
    <w:p>
      <w:pPr>
        <w:pageBreakBefore/>
      </w:pPr>
      <w:r>
        <w:br/>
        <w:t xml:space="preserve"/>
      </w:r>
    </w:p>
    <w:p>
      <w:pPr>
        <w:pStyle w:val="Heading1"/>
      </w:pPr>
      <w:r>
        <w:t xml:space="preserve">Implementation Summary</w:t>
      </w:r>
    </w:p>
    <w:p>
      <w:pPr>
        <w:spacing w:after="200"/>
      </w:pPr>
      <w:r>
        <w:t xml:space="preserve">This gap analysis identifies 15 priority findings across organizational, people, physical, and technological domains. The remediation roadmap prioritizes critical security controls in Phase 1, followed by systematic process improvements in Phase 2, and advanced capabilities in Phase 3.</w:t>
      </w:r>
    </w:p>
    <w:p>
      <w:pPr>
        <w:pStyle w:val="Heading2"/>
      </w:pPr>
      <w:r>
        <w:t xml:space="preserve">Critical Success Factors</w:t>
      </w:r>
    </w:p>
    <w:p>
      <w:pPr>
        <w:pStyle w:val="ListParagraph"/>
        <w:numPr>
          <w:ilvl w:val="0"/>
          <w:numId w:val="2"/>
        </w:numPr>
      </w:pPr>
      <w:r>
        <w:t xml:space="preserve">Executive commitment and adequate budget allocation</w:t>
      </w:r>
    </w:p>
    <w:p>
      <w:pPr>
        <w:pStyle w:val="ListParagraph"/>
        <w:numPr>
          <w:ilvl w:val="0"/>
          <w:numId w:val="2"/>
        </w:numPr>
      </w:pPr>
      <w:r>
        <w:t xml:space="preserve">Dedicated security team with appropriate expertise</w:t>
      </w:r>
    </w:p>
    <w:p>
      <w:pPr>
        <w:pStyle w:val="ListParagraph"/>
        <w:numPr>
          <w:ilvl w:val="0"/>
          <w:numId w:val="2"/>
        </w:numPr>
      </w:pPr>
      <w:r>
        <w:t xml:space="preserve">Cross-functional collaboration between IT, security, and business units</w:t>
      </w:r>
    </w:p>
    <w:p>
      <w:pPr>
        <w:pStyle w:val="ListParagraph"/>
        <w:numPr>
          <w:ilvl w:val="0"/>
          <w:numId w:val="2"/>
        </w:numPr>
      </w:pPr>
      <w:r>
        <w:t xml:space="preserve">Regular progress tracking and adjustment of remediation plans</w:t>
      </w:r>
    </w:p>
    <w:p>
      <w:pPr>
        <w:pStyle w:val="ListParagraph"/>
        <w:numPr>
          <w:ilvl w:val="0"/>
          <w:numId w:val="2"/>
        </w:numPr>
      </w:pPr>
      <w:r>
        <w:t xml:space="preserve">Continuous improvement mindset beyond initial certification</w:t>
      </w:r>
    </w:p>
    <w:p>
      <w:pPr>
        <w:spacing w:after="400"/>
      </w:pPr>
      <w:r>
        <w:t xml:space="preserve"/>
      </w:r>
    </w:p>
    <w:p>
      <w:r>
        <w:rPr>
          <w:i/>
          <w:iCs/>
        </w:rPr>
        <w:t xml:space="preserve">With focused execution on the priority gaps outlined in this plan, CloudSync Technologies will establish a mature information security program that protects customer data, enables business growth, and achieves ISO 27001:2022 certification within the target 9-month timeline.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C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472C4"/>
      <w:sz w:val="28"/>
      <w:szCs w:val="28"/>
    </w:rPr>
  </w:style>
  <w:style w:type="paragraph" w:styleId="Heading3">
    <w:name w:val="Heading 3"/>
    <w:basedOn w:val="Normal"/>
    <w:next w:val="Normal"/>
    <w:qFormat/>
    <w:pPr>
      <w:spacing w:before="18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2026-02-15T13:20:45.493Z</dcterms:created>
  <dcterms:modified xsi:type="dcterms:W3CDTF">2026-02-15T13:20:45.494Z</dcterms:modified>
</cp:coreProperties>
</file>

<file path=docProps/custom.xml><?xml version="1.0" encoding="utf-8"?>
<Properties xmlns="http://schemas.openxmlformats.org/officeDocument/2006/custom-properties" xmlns:vt="http://schemas.openxmlformats.org/officeDocument/2006/docPropsVTypes"/>
</file>