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spacing w:after="100"/>
        <w:jc w:val="center"/>
      </w:pPr>
      <w:r>
        <w:rPr>
          <w:b/>
          <w:bCs/>
          <w:color w:val="2E75B6"/>
          <w:sz w:val="48"/>
          <w:szCs w:val="48"/>
        </w:rPr>
        <w:t xml:space="preserve">INFORMATION SECURITY</w:t>
      </w:r>
    </w:p>
    <w:p>
      <w:pPr>
        <w:spacing w:after="600"/>
        <w:jc w:val="center"/>
      </w:pPr>
      <w:r>
        <w:rPr>
          <w:b/>
          <w:bCs/>
          <w:color w:val="2E75B6"/>
          <w:sz w:val="48"/>
          <w:szCs w:val="48"/>
        </w:rPr>
        <w:t xml:space="preserve">COMPLIANCE PROGRAM</w:t>
      </w:r>
    </w:p>
    <w:p>
      <w:pPr>
        <w:spacing w:after="1200"/>
        <w:jc w:val="center"/>
      </w:pPr>
      <w:r>
        <w:rPr>
          <w:b/>
          <w:bCs/>
          <w:sz w:val="32"/>
          <w:szCs w:val="32"/>
        </w:rPr>
        <w:t xml:space="preserve">ISO 27001:2022 Implementation</w:t>
      </w:r>
    </w:p>
    <w:p>
      <w:pPr>
        <w:spacing w:after="200"/>
        <w:jc w:val="center"/>
      </w:pPr>
      <w:r>
        <w:rPr>
          <w:sz w:val="28"/>
          <w:szCs w:val="28"/>
        </w:rPr>
        <w:t xml:space="preserve">CloudSync Technologies, Inc.</w:t>
      </w:r>
    </w:p>
    <w:p>
      <w:pPr>
        <w:spacing w:after="200"/>
        <w:jc w:val="center"/>
      </w:pPr>
      <w:r>
        <w:rPr>
          <w:i/>
          <w:iCs/>
          <w:sz w:val="24"/>
          <w:szCs w:val="24"/>
        </w:rPr>
        <w:t xml:space="preserve">Version 1.0</w:t>
      </w:r>
    </w:p>
    <w:p>
      <w:pPr>
        <w:jc w:val="center"/>
      </w:pPr>
      <w:r>
        <w:rPr>
          <w:i/>
          <w:iCs/>
          <w:sz w:val="24"/>
          <w:szCs w:val="24"/>
        </w:rPr>
        <w:t xml:space="preserve">February 15, 2026</w:t>
      </w:r>
    </w:p>
    <w:p>
      <w:pPr>
        <w:pageBreakBefore/>
      </w:pPr>
      <w:r>
        <w:br/>
        <w:t xml:space="preserve"/>
      </w:r>
    </w:p>
    <w:p>
      <w:pPr>
        <w:pStyle w:val="Heading1"/>
      </w:pPr>
      <w:r>
        <w:t xml:space="preserve">Executive Summary</w:t>
      </w:r>
    </w:p>
    <w:p>
      <w:pPr>
        <w:spacing w:after="200"/>
      </w:pPr>
      <w:r>
        <w:t xml:space="preserve">This document presents the Information Security Compliance Program for CloudSync Technologies, a cloud-based file synchronization and collaboration platform serving over 50,000 users across 200+ enterprise customers. As we continue to scale and expand into regulated industries, establishing a robust information security management system (ISMS) based on ISO 27001:2022 is critical to maintaining customer trust and meeting contractual obligations.</w:t>
      </w:r>
    </w:p>
    <w:p>
      <w:pPr>
        <w:spacing w:after="200"/>
      </w:pPr>
      <w:r>
        <w:t xml:space="preserve">This compliance program assessment was conducted between January 15 and February 10, 2026, covering 20 key controls across organizational, people, physical, and technological domains. The assessment reveals a current compliance maturity level of 2.15 out of 5, with 30% of controls fully implemented, 50% partially implemented, and 20% not yet implemented.</w:t>
      </w:r>
    </w:p>
    <w:p>
      <w:pPr>
        <w:pStyle w:val="Heading3"/>
      </w:pPr>
      <w:r>
        <w:t xml:space="preserve">Key Findings</w:t>
      </w:r>
    </w:p>
    <w:p>
      <w:pPr>
        <w:pStyle w:val="ListParagraph"/>
        <w:numPr>
          <w:ilvl w:val="0"/>
          <w:numId w:val="2"/>
        </w:numPr>
      </w:pPr>
      <w:r>
        <w:t xml:space="preserve">Strong foundation in access controls, acceptable use policies, and remote working security</w:t>
      </w:r>
    </w:p>
    <w:p>
      <w:pPr>
        <w:pStyle w:val="ListParagraph"/>
        <w:numPr>
          <w:ilvl w:val="0"/>
          <w:numId w:val="2"/>
        </w:numPr>
      </w:pPr>
      <w:r>
        <w:t xml:space="preserve">Critical gaps in threat intelligence, physical security monitoring, and configuration management</w:t>
      </w:r>
    </w:p>
    <w:p>
      <w:pPr>
        <w:pStyle w:val="ListParagraph"/>
        <w:numPr>
          <w:ilvl w:val="0"/>
          <w:numId w:val="2"/>
        </w:numPr>
      </w:pPr>
      <w:r>
        <w:t xml:space="preserve">12 risks identified with 2 critical and 5 high-priority risks requiring immediate attention</w:t>
      </w:r>
    </w:p>
    <w:p>
      <w:pPr>
        <w:pStyle w:val="ListParagraph"/>
        <w:numPr>
          <w:ilvl w:val="0"/>
          <w:numId w:val="2"/>
        </w:numPr>
      </w:pPr>
      <w:r>
        <w:t xml:space="preserve">Estimated 6-9 month timeline to achieve baseline ISO 27001 compliance readiness</w:t>
      </w:r>
    </w:p>
    <w:p>
      <w:pPr>
        <w:pStyle w:val="ListParagraph"/>
        <w:numPr>
          <w:ilvl w:val="0"/>
          <w:numId w:val="2"/>
        </w:numPr>
      </w:pPr>
      <w:r>
        <w:t xml:space="preserve">Projected budget of $180,000-$250,000 for tools, consulting, and certification</w:t>
      </w:r>
    </w:p>
    <w:p>
      <w:pPr>
        <w:spacing w:after="200"/>
      </w:pPr>
      <w:r>
        <w:br/>
        <w:t xml:space="preserve"/>
      </w:r>
    </w:p>
    <w:p>
      <w:pPr>
        <w:pageBreakBefore/>
      </w:pPr>
      <w:r>
        <w:br/>
        <w:t xml:space="preserve"/>
      </w:r>
    </w:p>
    <w:p>
      <w:pPr>
        <w:pStyle w:val="Heading1"/>
      </w:pPr>
      <w:r>
        <w:t xml:space="preserve">1. Company Overview</w:t>
      </w:r>
    </w:p>
    <w:p>
      <w:pPr>
        <w:pStyle w:val="Heading2"/>
      </w:pPr>
      <w:r>
        <w:t xml:space="preserve">1.1 Organization Profile</w:t>
      </w:r>
    </w:p>
    <w:p>
      <w:pPr>
        <w:spacing w:after="200"/>
      </w:pPr>
      <w:r>
        <w:t xml:space="preserve">CloudSync Technologies, founded in 2019, provides enterprise-grade cloud storage and file collaboration solutions. Our platform enables organizations to securely store, share, and collaborate on documents with advanced features including version control, real-time collaboration, and enterprise-grade security.</w:t>
      </w:r>
    </w:p>
    <w:p>
      <w:pPr>
        <w:pStyle w:val="Heading3"/>
      </w:pPr>
      <w:r>
        <w:t xml:space="preserve">Company Details</w:t>
      </w:r>
    </w:p>
    <w:p>
      <w:pPr>
        <w:pStyle w:val="ListParagraph"/>
        <w:numPr>
          <w:ilvl w:val="0"/>
          <w:numId w:val="2"/>
        </w:numPr>
      </w:pPr>
      <w:r>
        <w:t xml:space="preserve">Employees: 85 full-time employees (45 engineering, 20 sales/marketing, 10 customer success, 10 operations)</w:t>
      </w:r>
    </w:p>
    <w:p>
      <w:pPr>
        <w:pStyle w:val="ListParagraph"/>
        <w:numPr>
          <w:ilvl w:val="0"/>
          <w:numId w:val="2"/>
        </w:numPr>
      </w:pPr>
      <w:r>
        <w:t xml:space="preserve">Customers: 200+ enterprise clients across healthcare, financial services, legal, and technology sectors</w:t>
      </w:r>
    </w:p>
    <w:p>
      <w:pPr>
        <w:pStyle w:val="ListParagraph"/>
        <w:numPr>
          <w:ilvl w:val="0"/>
          <w:numId w:val="2"/>
        </w:numPr>
      </w:pPr>
      <w:r>
        <w:t xml:space="preserve">Infrastructure: AWS-based architecture with multi-region deployment (US-East, US-West, EU-West)</w:t>
      </w:r>
    </w:p>
    <w:p>
      <w:pPr>
        <w:pStyle w:val="ListParagraph"/>
        <w:numPr>
          <w:ilvl w:val="0"/>
          <w:numId w:val="2"/>
        </w:numPr>
      </w:pPr>
      <w:r>
        <w:t xml:space="preserve">Data Processed: Over 5 petabytes of customer data, including confidential and proprietary information</w:t>
      </w:r>
    </w:p>
    <w:p>
      <w:pPr>
        <w:pStyle w:val="ListParagraph"/>
        <w:numPr>
          <w:ilvl w:val="0"/>
          <w:numId w:val="2"/>
        </w:numPr>
      </w:pPr>
      <w:r>
        <w:t xml:space="preserve">Annual Revenue: $12M (FY2025) with 80% YoY growth</w:t>
      </w:r>
    </w:p>
    <w:p>
      <w:pPr>
        <w:spacing w:after="200"/>
      </w:pPr>
      <w:r>
        <w:br/>
        <w:t xml:space="preserve"/>
      </w:r>
    </w:p>
    <w:p>
      <w:pPr>
        <w:pStyle w:val="Heading2"/>
      </w:pPr>
      <w:r>
        <w:t xml:space="preserve">1.2 Compliance Scope</w:t>
      </w:r>
    </w:p>
    <w:p>
      <w:pPr>
        <w:spacing w:after="200"/>
      </w:pPr>
      <w:r>
        <w:t xml:space="preserve">The scope of this ISO 27001 compliance program encompasses all information systems, processes, and personnel involved in the delivery of CloudSync's core platform services. This includes:</w:t>
      </w:r>
    </w:p>
    <w:p>
      <w:pPr>
        <w:pStyle w:val="ListParagraph"/>
        <w:numPr>
          <w:ilvl w:val="0"/>
          <w:numId w:val="2"/>
        </w:numPr>
      </w:pPr>
      <w:r>
        <w:t xml:space="preserve">Production systems: Web application, API services, database infrastructure, storage systems</w:t>
      </w:r>
    </w:p>
    <w:p>
      <w:pPr>
        <w:pStyle w:val="ListParagraph"/>
        <w:numPr>
          <w:ilvl w:val="0"/>
          <w:numId w:val="2"/>
        </w:numPr>
      </w:pPr>
      <w:r>
        <w:t xml:space="preserve">Corporate systems: Office network, email, authentication services, development environments</w:t>
      </w:r>
    </w:p>
    <w:p>
      <w:pPr>
        <w:pStyle w:val="ListParagraph"/>
        <w:numPr>
          <w:ilvl w:val="0"/>
          <w:numId w:val="2"/>
        </w:numPr>
      </w:pPr>
      <w:r>
        <w:t xml:space="preserve">Physical locations: San Francisco headquarters (primary office) and remote workforce locations</w:t>
      </w:r>
    </w:p>
    <w:p>
      <w:pPr>
        <w:pStyle w:val="ListParagraph"/>
        <w:numPr>
          <w:ilvl w:val="0"/>
          <w:numId w:val="2"/>
        </w:numPr>
      </w:pPr>
      <w:r>
        <w:t xml:space="preserve">Third-party services: Cloud infrastructure providers, email services, monitoring tools, backup solutions</w:t>
      </w:r>
    </w:p>
    <w:p>
      <w:pPr>
        <w:pStyle w:val="ListParagraph"/>
        <w:numPr>
          <w:ilvl w:val="0"/>
          <w:numId w:val="2"/>
        </w:numPr>
      </w:pPr>
      <w:r>
        <w:t xml:space="preserve">Information assets: Customer data, intellectual property, business information, employee data</w:t>
      </w:r>
    </w:p>
    <w:p>
      <w:pPr>
        <w:spacing w:after="200"/>
      </w:pPr>
      <w:r>
        <w:br/>
        <w:t xml:space="preserve"/>
      </w:r>
    </w:p>
    <w:p>
      <w:pPr>
        <w:pageBreakBefore/>
      </w:pPr>
      <w:r>
        <w:br/>
        <w:t xml:space="preserve"/>
      </w:r>
    </w:p>
    <w:p>
      <w:pPr>
        <w:pStyle w:val="Heading1"/>
      </w:pPr>
      <w:r>
        <w:t xml:space="preserve">2. Current State Assessment</w:t>
      </w:r>
    </w:p>
    <w:p>
      <w:pPr>
        <w:pStyle w:val="Heading2"/>
      </w:pPr>
      <w:r>
        <w:t xml:space="preserve">2.1 Assessment Methodology</w:t>
      </w:r>
    </w:p>
    <w:p>
      <w:pPr>
        <w:spacing w:after="200"/>
      </w:pPr>
      <w:r>
        <w:t xml:space="preserve">The current state assessment was conducted using a structured approach aligned with ISO 27001:2022 Annex A controls. The methodology included:</w:t>
      </w:r>
    </w:p>
    <w:p>
      <w:pPr>
        <w:pStyle w:val="ListParagraph"/>
        <w:numPr>
          <w:ilvl w:val="0"/>
          <w:numId w:val="2"/>
        </w:numPr>
      </w:pPr>
      <w:r>
        <w:t xml:space="preserve">Document review of existing policies, procedures, and technical documentation</w:t>
      </w:r>
    </w:p>
    <w:p>
      <w:pPr>
        <w:pStyle w:val="ListParagraph"/>
        <w:numPr>
          <w:ilvl w:val="0"/>
          <w:numId w:val="2"/>
        </w:numPr>
      </w:pPr>
      <w:r>
        <w:t xml:space="preserve">Interviews with control owners and key stakeholders across IT, security, HR, and operations</w:t>
      </w:r>
    </w:p>
    <w:p>
      <w:pPr>
        <w:pStyle w:val="ListParagraph"/>
        <w:numPr>
          <w:ilvl w:val="0"/>
          <w:numId w:val="2"/>
        </w:numPr>
      </w:pPr>
      <w:r>
        <w:t xml:space="preserve">Technical assessment of security controls, configurations, and monitoring capabilities</w:t>
      </w:r>
    </w:p>
    <w:p>
      <w:pPr>
        <w:pStyle w:val="ListParagraph"/>
        <w:numPr>
          <w:ilvl w:val="0"/>
          <w:numId w:val="2"/>
        </w:numPr>
      </w:pPr>
      <w:r>
        <w:t xml:space="preserve">Evidence collection and validation of control implementation status</w:t>
      </w:r>
    </w:p>
    <w:p>
      <w:pPr>
        <w:pStyle w:val="ListParagraph"/>
        <w:numPr>
          <w:ilvl w:val="0"/>
          <w:numId w:val="2"/>
        </w:numPr>
      </w:pPr>
      <w:r>
        <w:t xml:space="preserve">Gap analysis against ISO 27001:2022 requirements using a 5-level maturity model</w:t>
      </w:r>
    </w:p>
    <w:p>
      <w:pPr>
        <w:spacing w:after="200"/>
      </w:pPr>
      <w:r>
        <w:br/>
        <w:t xml:space="preserve"/>
      </w:r>
    </w:p>
    <w:p>
      <w:pPr>
        <w:pStyle w:val="Heading2"/>
      </w:pPr>
      <w:r>
        <w:t xml:space="preserve">2.2 Maturity Assessment Results</w:t>
      </w:r>
    </w:p>
    <w:p>
      <w:pPr>
        <w:spacing w:after="200"/>
      </w:pPr>
      <w:r>
        <w:t xml:space="preserve">The assessment evaluated 20 critical controls across four domains. The overall maturity score of 2.15 indicates that most processes are documented and repeatable but not yet standardized across the organization. Detailed findings are documented in the Control Matrix spreadsheet.</w:t>
      </w:r>
    </w:p>
    <w:p>
      <w:pPr>
        <w:pStyle w:val="Heading3"/>
      </w:pPr>
      <w:r>
        <w:t xml:space="preserve">Summary by Domain</w:t>
      </w:r>
    </w:p>
    <w:p>
      <w:pPr>
        <w:spacing w:after="150"/>
      </w:pPr>
      <w:r>
        <w:t xml:space="preserve">Organizational Controls (5 assessed): Average maturity 2.0. Policies exist but require enhanced documentation, review schedules, and formal approval processes.</w:t>
      </w:r>
    </w:p>
    <w:p>
      <w:pPr>
        <w:spacing w:after="150"/>
      </w:pPr>
      <w:r>
        <w:t xml:space="preserve">People Controls (3 assessed): Average maturity 2.7. Strong performance in NDAs and remote work policies; improvement needed in incident reporting mechanisms.</w:t>
      </w:r>
    </w:p>
    <w:p>
      <w:pPr>
        <w:spacing w:after="150"/>
      </w:pPr>
      <w:r>
        <w:t xml:space="preserve">Physical Controls (1 assessed): Average maturity 1.0. Significant gap in physical security monitoring and surveillance capabilities.</w:t>
      </w:r>
    </w:p>
    <w:p>
      <w:pPr>
        <w:spacing w:after="400"/>
      </w:pPr>
      <w:r>
        <w:t xml:space="preserve">Technological Controls (11 assessed): Average maturity 2.1. Mixed results with strong access controls but gaps in vulnerability management, configuration management, and cryptography standards.</w:t>
      </w:r>
    </w:p>
    <w:p>
      <w:pPr>
        <w:pageBreakBefore/>
      </w:pPr>
      <w:r>
        <w:br/>
        <w:t xml:space="preserve"/>
      </w:r>
    </w:p>
    <w:p>
      <w:pPr>
        <w:pStyle w:val="Heading1"/>
      </w:pPr>
      <w:r>
        <w:t xml:space="preserve">3. Risk Assessment</w:t>
      </w:r>
    </w:p>
    <w:p>
      <w:pPr>
        <w:pStyle w:val="Heading2"/>
      </w:pPr>
      <w:r>
        <w:t xml:space="preserve">3.1 Risk Identification and Scoring</w:t>
      </w:r>
    </w:p>
    <w:p>
      <w:pPr>
        <w:spacing w:after="200"/>
      </w:pPr>
      <w:r>
        <w:t xml:space="preserve">A comprehensive risk assessment identified 12 key information security risks using a standardized methodology that evaluates both likelihood (1-5 scale) and impact (1-5 scale). The risk score is calculated as Likelihood × Impact, resulting in classifications of Critical (≥15), High (10-14), Medium (5-9), and Low (&lt;5).</w:t>
      </w:r>
    </w:p>
    <w:p>
      <w:pPr>
        <w:pStyle w:val="Heading3"/>
      </w:pPr>
      <w:r>
        <w:t xml:space="preserve">Critical Risks (Score ≥15)</w:t>
      </w:r>
    </w:p>
    <w:p>
      <w:pPr>
        <w:pStyle w:val="ListParagraph"/>
        <w:numPr>
          <w:ilvl w:val="0"/>
          <w:numId w:val="2"/>
        </w:numPr>
      </w:pPr>
      <w:r>
        <w:t xml:space="preserve">R-001: Unauthorized access to customer data due to weak authentication (Score: 20) - No MFA on administrative accounts creates significant exposure to credential compromise</w:t>
      </w:r>
    </w:p>
    <w:p>
      <w:pPr>
        <w:pStyle w:val="ListParagraph"/>
        <w:numPr>
          <w:ilvl w:val="0"/>
          <w:numId w:val="2"/>
        </w:numPr>
      </w:pPr>
      <w:r>
        <w:t xml:space="preserve">R-002: Data breach from unpatched vulnerabilities (Score: 20) - Delayed patching process increases window of exposure to known exploits</w:t>
      </w:r>
    </w:p>
    <w:p>
      <w:pPr>
        <w:spacing w:after="200"/>
      </w:pPr>
      <w:r>
        <w:br/>
        <w:t xml:space="preserve"/>
      </w:r>
    </w:p>
    <w:p>
      <w:pPr>
        <w:pStyle w:val="Heading3"/>
      </w:pPr>
      <w:r>
        <w:t xml:space="preserve">High Risks (Score 10-14)</w:t>
      </w:r>
    </w:p>
    <w:p>
      <w:pPr>
        <w:pStyle w:val="ListParagraph"/>
        <w:numPr>
          <w:ilvl w:val="0"/>
          <w:numId w:val="2"/>
        </w:numPr>
      </w:pPr>
      <w:r>
        <w:t xml:space="preserve">R-003: Ransomware attack impacting operations (Score: 15) - Insufficient backup testing could result in extended downtime</w:t>
      </w:r>
    </w:p>
    <w:p>
      <w:pPr>
        <w:pStyle w:val="ListParagraph"/>
        <w:numPr>
          <w:ilvl w:val="0"/>
          <w:numId w:val="2"/>
        </w:numPr>
      </w:pPr>
      <w:r>
        <w:t xml:space="preserve">R-005: Cloud misconfiguration exposing data (Score: 12) - Lack of configuration standards increases risk of public exposure</w:t>
      </w:r>
    </w:p>
    <w:p>
      <w:pPr>
        <w:pStyle w:val="ListParagraph"/>
        <w:numPr>
          <w:ilvl w:val="0"/>
          <w:numId w:val="2"/>
        </w:numPr>
      </w:pPr>
      <w:r>
        <w:t xml:space="preserve">R-006: Phishing attacks compromising credentials (Score: 12) - Limited security awareness makes users vulnerable to social engineering</w:t>
      </w:r>
    </w:p>
    <w:p>
      <w:pPr>
        <w:pStyle w:val="ListParagraph"/>
        <w:numPr>
          <w:ilvl w:val="0"/>
          <w:numId w:val="2"/>
        </w:numPr>
      </w:pPr>
      <w:r>
        <w:t xml:space="preserve">R-007: Third-party vendor data breach (Score: 12) - No vendor security assessments create blind spots in supply chain</w:t>
      </w:r>
    </w:p>
    <w:p>
      <w:pPr>
        <w:pStyle w:val="ListParagraph"/>
        <w:numPr>
          <w:ilvl w:val="0"/>
          <w:numId w:val="2"/>
        </w:numPr>
      </w:pPr>
      <w:r>
        <w:t xml:space="preserve">R-010: API security vulnerabilities (Score: 12) - Weak API authentication exposes data to unauthorized access</w:t>
      </w:r>
    </w:p>
    <w:p>
      <w:pPr>
        <w:spacing w:after="400"/>
      </w:pPr>
      <w:r>
        <w:br/>
        <w:t xml:space="preserve"/>
      </w:r>
    </w:p>
    <w:p>
      <w:pPr>
        <w:pageBreakBefore/>
      </w:pPr>
      <w:r>
        <w:br/>
        <w:t xml:space="preserve"/>
      </w:r>
    </w:p>
    <w:p>
      <w:pPr>
        <w:pStyle w:val="Heading1"/>
      </w:pPr>
      <w:r>
        <w:t xml:space="preserve">4. Gap Analysis and Priority Findings</w:t>
      </w:r>
    </w:p>
    <w:p>
      <w:pPr>
        <w:spacing w:after="200"/>
      </w:pPr>
      <w:r>
        <w:t xml:space="preserve">The gap analysis identifies specific deficiencies between current state and ISO 27001:2022 requirements. Gaps are prioritized based on risk exposure, regulatory requirements, and operational impact.</w:t>
      </w:r>
    </w:p>
    <w:p>
      <w:pPr>
        <w:pStyle w:val="Heading2"/>
      </w:pPr>
      <w:r>
        <w:t xml:space="preserve">4.1 Priority 1 Gaps (Immediate Action Required)</w:t>
      </w:r>
    </w:p>
    <w:p>
      <w:pPr>
        <w:pStyle w:val="Heading3"/>
      </w:pPr>
      <w:r>
        <w:t xml:space="preserve">G1-01: Multi-Factor Authentication Not Enforced</w:t>
      </w:r>
    </w:p>
    <w:p>
      <w:pPr>
        <w:spacing w:after="100"/>
      </w:pPr>
      <w:r>
        <w:t xml:space="preserve">Control: A.8.5 Secure Authentication | Current Status: Partially Implemented</w:t>
      </w:r>
    </w:p>
    <w:p>
      <w:pPr>
        <w:spacing w:after="100"/>
      </w:pPr>
      <w:r>
        <w:t xml:space="preserve">Finding: While SSO and MFA have been deployed for most systems, MFA is not enforced organization-wide, particularly for privileged administrative accounts accessing production infrastructure and customer data.</w:t>
      </w:r>
    </w:p>
    <w:p>
      <w:pPr>
        <w:spacing w:after="100"/>
      </w:pPr>
      <w:r>
        <w:t xml:space="preserve">Impact: Creates critical vulnerability to credential theft, phishing, and unauthorized access. Represents the highest risk to customer data confidentiality.</w:t>
      </w:r>
    </w:p>
    <w:p>
      <w:pPr>
        <w:spacing w:after="300"/>
      </w:pPr>
      <w:r>
        <w:t xml:space="preserve">Remediation: Enforce MFA for all user accounts within 30 days; prioritize privileged accounts, production systems, and customer data access. Implement conditional access policies based on risk indicators.</w:t>
      </w:r>
    </w:p>
    <w:p>
      <w:pPr>
        <w:pStyle w:val="Heading3"/>
      </w:pPr>
      <w:r>
        <w:t xml:space="preserve">G1-02: Vulnerability and Patch Management Process</w:t>
      </w:r>
    </w:p>
    <w:p>
      <w:pPr>
        <w:spacing w:after="100"/>
      </w:pPr>
      <w:r>
        <w:t xml:space="preserve">Control: A.8.8 Management of Technical Vulnerabilities | Current Status: Partially Implemented</w:t>
      </w:r>
    </w:p>
    <w:p>
      <w:pPr>
        <w:spacing w:after="100"/>
      </w:pPr>
      <w:r>
        <w:t xml:space="preserve">Finding: Vulnerability scanning is performed weekly, but there is no formal patch management process with defined SLAs. Critical patches are applied reactively rather than proactively, creating extended windows of exposure.</w:t>
      </w:r>
    </w:p>
    <w:p>
      <w:pPr>
        <w:spacing w:after="100"/>
      </w:pPr>
      <w:r>
        <w:t xml:space="preserve">Impact: Known vulnerabilities remain unpatched for extended periods, increasing likelihood of exploitation by threat actors.</w:t>
      </w:r>
    </w:p>
    <w:p>
      <w:pPr>
        <w:spacing w:after="300"/>
      </w:pPr>
      <w:r>
        <w:t xml:space="preserve">Remediation: Establish formal patch management policy with SLAs (Critical: 7 days, High: 30 days). Implement automated patching for non-production environments and change-controlled patching for production.</w:t>
      </w:r>
    </w:p>
    <w:p>
      <w:pPr>
        <w:pStyle w:val="Heading3"/>
      </w:pPr>
      <w:r>
        <w:t xml:space="preserve">G1-03: Threat Intelligence Program</w:t>
      </w:r>
    </w:p>
    <w:p>
      <w:pPr>
        <w:spacing w:after="100"/>
      </w:pPr>
      <w:r>
        <w:t xml:space="preserve">Control: A.5.7 Threat Intelligence | Current Status: Not Implemented</w:t>
      </w:r>
    </w:p>
    <w:p>
      <w:pPr>
        <w:spacing w:after="100"/>
      </w:pPr>
      <w:r>
        <w:t xml:space="preserve">Finding: No structured threat intelligence program exists. The security team lacks visibility into emerging threats, threat actor tactics, and industry-specific attack trends relevant to our sector.</w:t>
      </w:r>
    </w:p>
    <w:p>
      <w:pPr>
        <w:spacing w:after="100"/>
      </w:pPr>
      <w:r>
        <w:t xml:space="preserve">Impact: Reactive security posture; delayed detection of relevant threats; inability to proactively defend against known attack patterns.</w:t>
      </w:r>
    </w:p>
    <w:p>
      <w:pPr>
        <w:spacing w:after="400"/>
      </w:pPr>
      <w:r>
        <w:t xml:space="preserve">Remediation: Subscribe to commercial threat intelligence feeds; integrate threat indicators into security monitoring tools; establish weekly threat briefing process for security and leadership teams.</w:t>
      </w:r>
    </w:p>
    <w:p>
      <w:pPr>
        <w:pageBreakBefore/>
      </w:pPr>
      <w:r>
        <w:br/>
        <w:t xml:space="preserve"/>
      </w:r>
    </w:p>
    <w:p>
      <w:pPr>
        <w:pStyle w:val="Heading1"/>
      </w:pPr>
      <w:r>
        <w:t xml:space="preserve">5. Remediation Roadmap</w:t>
      </w:r>
    </w:p>
    <w:p>
      <w:pPr>
        <w:pStyle w:val="Heading2"/>
      </w:pPr>
      <w:r>
        <w:t xml:space="preserve">5.1 Implementation Timeline</w:t>
      </w:r>
    </w:p>
    <w:p>
      <w:pPr>
        <w:spacing w:after="200"/>
      </w:pPr>
      <w:r>
        <w:t xml:space="preserve">The remediation roadmap is structured in three phases over a 9-month period, prioritizing critical security gaps while systematically addressing all identified deficiencies.</w:t>
      </w:r>
    </w:p>
    <w:p>
      <w:pPr>
        <w:pStyle w:val="Heading3"/>
      </w:pPr>
      <w:r>
        <w:t xml:space="preserve">Phase 1: Critical Security Controls (Months 1-3)</w:t>
      </w:r>
    </w:p>
    <w:p>
      <w:pPr>
        <w:pStyle w:val="ListParagraph"/>
        <w:numPr>
          <w:ilvl w:val="0"/>
          <w:numId w:val="2"/>
        </w:numPr>
      </w:pPr>
      <w:r>
        <w:t xml:space="preserve">Enforce MFA organization-wide with focus on privileged accounts</w:t>
      </w:r>
    </w:p>
    <w:p>
      <w:pPr>
        <w:pStyle w:val="ListParagraph"/>
        <w:numPr>
          <w:ilvl w:val="0"/>
          <w:numId w:val="2"/>
        </w:numPr>
      </w:pPr>
      <w:r>
        <w:t xml:space="preserve">Establish formal patch management process and SLAs</w:t>
      </w:r>
    </w:p>
    <w:p>
      <w:pPr>
        <w:pStyle w:val="ListParagraph"/>
        <w:numPr>
          <w:ilvl w:val="0"/>
          <w:numId w:val="2"/>
        </w:numPr>
      </w:pPr>
      <w:r>
        <w:t xml:space="preserve">Implement threat intelligence program and monitoring</w:t>
      </w:r>
    </w:p>
    <w:p>
      <w:pPr>
        <w:pStyle w:val="ListParagraph"/>
        <w:numPr>
          <w:ilvl w:val="0"/>
          <w:numId w:val="2"/>
        </w:numPr>
      </w:pPr>
      <w:r>
        <w:t xml:space="preserve">Deploy privileged access management (PAM) solution</w:t>
      </w:r>
    </w:p>
    <w:p>
      <w:pPr>
        <w:pStyle w:val="ListParagraph"/>
        <w:numPr>
          <w:ilvl w:val="0"/>
          <w:numId w:val="2"/>
        </w:numPr>
      </w:pPr>
      <w:r>
        <w:t xml:space="preserve">Conduct security awareness training and phishing simulations</w:t>
      </w:r>
    </w:p>
    <w:p>
      <w:pPr>
        <w:spacing w:after="200"/>
      </w:pPr>
      <w:r>
        <w:br/>
        <w:t xml:space="preserve"/>
      </w:r>
    </w:p>
    <w:p>
      <w:pPr>
        <w:pStyle w:val="Heading3"/>
      </w:pPr>
      <w:r>
        <w:t xml:space="preserve">Phase 2: Process and Documentation (Months 4-6)</w:t>
      </w:r>
    </w:p>
    <w:p>
      <w:pPr>
        <w:pStyle w:val="ListParagraph"/>
        <w:numPr>
          <w:ilvl w:val="0"/>
          <w:numId w:val="2"/>
        </w:numPr>
      </w:pPr>
      <w:r>
        <w:t xml:space="preserve">Develop configuration management standards and CMDB</w:t>
      </w:r>
    </w:p>
    <w:p>
      <w:pPr>
        <w:pStyle w:val="ListParagraph"/>
        <w:numPr>
          <w:ilvl w:val="0"/>
          <w:numId w:val="2"/>
        </w:numPr>
      </w:pPr>
      <w:r>
        <w:t xml:space="preserve">Implement SIEM solution for centralized logging and monitoring</w:t>
      </w:r>
    </w:p>
    <w:p>
      <w:pPr>
        <w:pStyle w:val="ListParagraph"/>
        <w:numPr>
          <w:ilvl w:val="0"/>
          <w:numId w:val="2"/>
        </w:numPr>
      </w:pPr>
      <w:r>
        <w:t xml:space="preserve">Establish formal incident response procedures and conduct tabletop exercise</w:t>
      </w:r>
    </w:p>
    <w:p>
      <w:pPr>
        <w:pStyle w:val="ListParagraph"/>
        <w:numPr>
          <w:ilvl w:val="0"/>
          <w:numId w:val="2"/>
        </w:numPr>
      </w:pPr>
      <w:r>
        <w:t xml:space="preserve">Deploy DLP solution and user activity monitoring</w:t>
      </w:r>
    </w:p>
    <w:p>
      <w:pPr>
        <w:pStyle w:val="ListParagraph"/>
        <w:numPr>
          <w:ilvl w:val="0"/>
          <w:numId w:val="2"/>
        </w:numPr>
      </w:pPr>
      <w:r>
        <w:t xml:space="preserve">Create third-party risk management program and vendor assessments</w:t>
      </w:r>
    </w:p>
    <w:p>
      <w:pPr>
        <w:pStyle w:val="ListParagraph"/>
        <w:numPr>
          <w:ilvl w:val="0"/>
          <w:numId w:val="2"/>
        </w:numPr>
      </w:pPr>
      <w:r>
        <w:t xml:space="preserve">Document data retention and secure deletion procedures</w:t>
      </w:r>
    </w:p>
    <w:p>
      <w:pPr>
        <w:spacing w:after="200"/>
      </w:pPr>
      <w:r>
        <w:br/>
        <w:t xml:space="preserve"/>
      </w:r>
    </w:p>
    <w:p>
      <w:pPr>
        <w:pStyle w:val="Heading3"/>
      </w:pPr>
      <w:r>
        <w:t xml:space="preserve">Phase 3: Advanced Controls and Certification (Months 7-9)</w:t>
      </w:r>
    </w:p>
    <w:p>
      <w:pPr>
        <w:pStyle w:val="ListParagraph"/>
        <w:numPr>
          <w:ilvl w:val="0"/>
          <w:numId w:val="2"/>
        </w:numPr>
      </w:pPr>
      <w:r>
        <w:t xml:space="preserve">Implement cloud security posture management (CSPM)</w:t>
      </w:r>
    </w:p>
    <w:p>
      <w:pPr>
        <w:pStyle w:val="ListParagraph"/>
        <w:numPr>
          <w:ilvl w:val="0"/>
          <w:numId w:val="2"/>
        </w:numPr>
      </w:pPr>
      <w:r>
        <w:t xml:space="preserve">Integrate security testing into SDLC (SAST/DAST tools)</w:t>
      </w:r>
    </w:p>
    <w:p>
      <w:pPr>
        <w:pStyle w:val="ListParagraph"/>
        <w:numPr>
          <w:ilvl w:val="0"/>
          <w:numId w:val="2"/>
        </w:numPr>
      </w:pPr>
      <w:r>
        <w:t xml:space="preserve">Deploy physical security monitoring and surveillance system</w:t>
      </w:r>
    </w:p>
    <w:p>
      <w:pPr>
        <w:pStyle w:val="ListParagraph"/>
        <w:numPr>
          <w:ilvl w:val="0"/>
          <w:numId w:val="2"/>
        </w:numPr>
      </w:pPr>
      <w:r>
        <w:t xml:space="preserve">Establish business continuity and disaster recovery procedures</w:t>
      </w:r>
    </w:p>
    <w:p>
      <w:pPr>
        <w:pStyle w:val="ListParagraph"/>
        <w:numPr>
          <w:ilvl w:val="0"/>
          <w:numId w:val="2"/>
        </w:numPr>
      </w:pPr>
      <w:r>
        <w:t xml:space="preserve">Conduct internal audit and address findings</w:t>
      </w:r>
    </w:p>
    <w:p>
      <w:pPr>
        <w:pStyle w:val="ListParagraph"/>
        <w:numPr>
          <w:ilvl w:val="0"/>
          <w:numId w:val="2"/>
        </w:numPr>
      </w:pPr>
      <w:r>
        <w:t xml:space="preserve">Engage ISO 27001 certification body for Stage 1 and Stage 2 audits</w:t>
      </w:r>
    </w:p>
    <w:p>
      <w:pPr>
        <w:spacing w:after="400"/>
      </w:pPr>
      <w:r>
        <w:br/>
        <w:t xml:space="preserve"/>
      </w:r>
    </w:p>
    <w:p>
      <w:pPr>
        <w:pageBreakBefore/>
      </w:pPr>
      <w:r>
        <w:br/>
        <w:t xml:space="preserve"/>
      </w:r>
    </w:p>
    <w:p>
      <w:pPr>
        <w:pStyle w:val="Heading1"/>
      </w:pPr>
      <w:r>
        <w:t xml:space="preserve">6. Resource Requirements and Budget</w:t>
      </w:r>
    </w:p>
    <w:p>
      <w:pPr>
        <w:pStyle w:val="Heading2"/>
      </w:pPr>
      <w:r>
        <w:t xml:space="preserve">6.1 Personnel Requirements</w:t>
      </w:r>
    </w:p>
    <w:p>
      <w:pPr>
        <w:spacing w:after="200"/>
      </w:pPr>
      <w:r>
        <w:t xml:space="preserve">Successful implementation requires dedicated resources with appropriate expertise:</w:t>
      </w:r>
    </w:p>
    <w:p>
      <w:pPr>
        <w:pStyle w:val="ListParagraph"/>
        <w:numPr>
          <w:ilvl w:val="0"/>
          <w:numId w:val="2"/>
        </w:numPr>
      </w:pPr>
      <w:r>
        <w:t xml:space="preserve">Information Security Manager (1 FTE) - Program leadership, policy development, vendor management</w:t>
      </w:r>
    </w:p>
    <w:p>
      <w:pPr>
        <w:pStyle w:val="ListParagraph"/>
        <w:numPr>
          <w:ilvl w:val="0"/>
          <w:numId w:val="2"/>
        </w:numPr>
      </w:pPr>
      <w:r>
        <w:t xml:space="preserve">Security Engineer (1 FTE) - Technical implementation, tool deployment, security monitoring</w:t>
      </w:r>
    </w:p>
    <w:p>
      <w:pPr>
        <w:pStyle w:val="ListParagraph"/>
        <w:numPr>
          <w:ilvl w:val="0"/>
          <w:numId w:val="2"/>
        </w:numPr>
      </w:pPr>
      <w:r>
        <w:t xml:space="preserve">GRC Analyst (0.5 FTE) - Documentation, audit preparation, compliance tracking, control testing</w:t>
      </w:r>
    </w:p>
    <w:p>
      <w:pPr>
        <w:pStyle w:val="ListParagraph"/>
        <w:numPr>
          <w:ilvl w:val="0"/>
          <w:numId w:val="2"/>
        </w:numPr>
      </w:pPr>
      <w:r>
        <w:t xml:space="preserve">External Consultant (6 months, part-time) - ISO 27001 expertise, gap remediation guidance, audit readiness</w:t>
      </w:r>
    </w:p>
    <w:p>
      <w:pPr>
        <w:spacing w:after="200"/>
      </w:pPr>
      <w:r>
        <w:br/>
        <w:t xml:space="preserve"/>
      </w:r>
    </w:p>
    <w:p>
      <w:pPr>
        <w:pStyle w:val="Heading2"/>
      </w:pPr>
      <w:r>
        <w:t xml:space="preserve">6.2 Budget Estimate</w:t>
      </w:r>
    </w:p>
    <w:p>
      <w:pPr>
        <w:spacing w:after="200"/>
      </w:pPr>
      <w:r>
        <w:t xml:space="preserve">Estimated budget for 9-month ISO 27001 implementation program:</w:t>
      </w:r>
    </w:p>
    <w:p>
      <w:pPr>
        <w:pStyle w:val="ListParagraph"/>
        <w:numPr>
          <w:ilvl w:val="0"/>
          <w:numId w:val="2"/>
        </w:numPr>
      </w:pPr>
      <w:r>
        <w:t xml:space="preserve">Security Tools and Software: $85,000-$110,000 (PAM, SIEM, DLP, CSPM, vulnerability management, MDM)</w:t>
      </w:r>
    </w:p>
    <w:p>
      <w:pPr>
        <w:pStyle w:val="ListParagraph"/>
        <w:numPr>
          <w:ilvl w:val="0"/>
          <w:numId w:val="2"/>
        </w:numPr>
      </w:pPr>
      <w:r>
        <w:t xml:space="preserve">External Consulting: $45,000-$60,000 (ISO 27001 consultant, audit readiness support)</w:t>
      </w:r>
    </w:p>
    <w:p>
      <w:pPr>
        <w:pStyle w:val="ListParagraph"/>
        <w:numPr>
          <w:ilvl w:val="0"/>
          <w:numId w:val="2"/>
        </w:numPr>
      </w:pPr>
      <w:r>
        <w:t xml:space="preserve">Personnel Costs: $30,000-$50,000 (recruitment, training, certification courses)</w:t>
      </w:r>
    </w:p>
    <w:p>
      <w:pPr>
        <w:pStyle w:val="ListParagraph"/>
        <w:numPr>
          <w:ilvl w:val="0"/>
          <w:numId w:val="2"/>
        </w:numPr>
      </w:pPr>
      <w:r>
        <w:t xml:space="preserve">Certification and Audit: $15,000-$25,000 (Stage 1, Stage 2, and surveillance audits)</w:t>
      </w:r>
    </w:p>
    <w:p>
      <w:pPr>
        <w:pStyle w:val="ListParagraph"/>
        <w:numPr>
          <w:ilvl w:val="0"/>
          <w:numId w:val="2"/>
        </w:numPr>
      </w:pPr>
      <w:r>
        <w:t xml:space="preserve">Physical Security: $5,000-$10,000 (surveillance system, access control upgrades)</w:t>
      </w:r>
    </w:p>
    <w:p>
      <w:pPr>
        <w:spacing w:after="150"/>
      </w:pPr>
      <w:r>
        <w:br/>
        <w:t xml:space="preserve"/>
      </w:r>
    </w:p>
    <w:p>
      <w:pPr>
        <w:spacing w:after="400"/>
      </w:pPr>
      <w:r>
        <w:rPr>
          <w:b/>
          <w:bCs/>
          <w:sz w:val="26"/>
          <w:szCs w:val="26"/>
        </w:rPr>
        <w:t xml:space="preserve">Total Estimated Budget: $180,000 - $250,000</w:t>
      </w:r>
    </w:p>
    <w:p>
      <w:pPr>
        <w:pageBreakBefore/>
      </w:pPr>
      <w:r>
        <w:br/>
        <w:t xml:space="preserve"/>
      </w:r>
    </w:p>
    <w:p>
      <w:pPr>
        <w:pStyle w:val="Heading1"/>
      </w:pPr>
      <w:r>
        <w:t xml:space="preserve">7. Conclusion and Next Steps</w:t>
      </w:r>
    </w:p>
    <w:p>
      <w:pPr>
        <w:spacing w:after="200"/>
      </w:pPr>
      <w:r>
        <w:t xml:space="preserve">This compliance program provides CloudSync Technologies with a clear roadmap to achieve ISO 27001:2022 certification within 9 months. The assessment reveals a solid foundation with strong access controls and acceptable use policies, but identifies critical gaps in authentication, vulnerability management, and monitoring capabilities that require immediate attention.</w:t>
      </w:r>
    </w:p>
    <w:p>
      <w:pPr>
        <w:spacing w:after="200"/>
      </w:pPr>
      <w:r>
        <w:t xml:space="preserve">The phased implementation approach balances urgent security improvements with systematic process maturation, ensuring sustainable compliance while managing resource constraints. Priority 1 gaps address the most significant risks and should commence immediately to reduce exposure to credential compromise and vulnerability exploitation.</w:t>
      </w:r>
    </w:p>
    <w:p>
      <w:pPr>
        <w:pStyle w:val="Heading2"/>
      </w:pPr>
      <w:r>
        <w:t xml:space="preserve">7.1 Immediate Actions (Next 30 Days)</w:t>
      </w:r>
    </w:p>
    <w:p>
      <w:pPr>
        <w:pStyle w:val="ListParagraph"/>
        <w:numPr>
          <w:ilvl w:val="0"/>
          <w:numId w:val="2"/>
        </w:numPr>
      </w:pPr>
      <w:r>
        <w:t xml:space="preserve">Secure executive sponsorship and budget approval for ISO 27001 program</w:t>
      </w:r>
    </w:p>
    <w:p>
      <w:pPr>
        <w:pStyle w:val="ListParagraph"/>
        <w:numPr>
          <w:ilvl w:val="0"/>
          <w:numId w:val="2"/>
        </w:numPr>
      </w:pPr>
      <w:r>
        <w:t xml:space="preserve">Hire or designate Information Security Manager to lead implementation</w:t>
      </w:r>
    </w:p>
    <w:p>
      <w:pPr>
        <w:pStyle w:val="ListParagraph"/>
        <w:numPr>
          <w:ilvl w:val="0"/>
          <w:numId w:val="2"/>
        </w:numPr>
      </w:pPr>
      <w:r>
        <w:t xml:space="preserve">Enforce MFA for all privileged accounts accessing production systems</w:t>
      </w:r>
    </w:p>
    <w:p>
      <w:pPr>
        <w:pStyle w:val="ListParagraph"/>
        <w:numPr>
          <w:ilvl w:val="0"/>
          <w:numId w:val="2"/>
        </w:numPr>
      </w:pPr>
      <w:r>
        <w:t xml:space="preserve">Engage ISO 27001 consultant for implementation guidance</w:t>
      </w:r>
    </w:p>
    <w:p>
      <w:pPr>
        <w:pStyle w:val="ListParagraph"/>
        <w:numPr>
          <w:ilvl w:val="0"/>
          <w:numId w:val="2"/>
        </w:numPr>
      </w:pPr>
      <w:r>
        <w:t xml:space="preserve">Begin vendor selection for PAM and patch management solutions</w:t>
      </w:r>
    </w:p>
    <w:p>
      <w:pPr>
        <w:spacing w:after="200"/>
      </w:pPr>
      <w:r>
        <w:br/>
        <w:t xml:space="preserve"/>
      </w:r>
    </w:p>
    <w:p>
      <w:pPr>
        <w:pStyle w:val="Heading2"/>
      </w:pPr>
      <w:r>
        <w:t xml:space="preserve">7.2 Success Metrics</w:t>
      </w:r>
    </w:p>
    <w:p>
      <w:pPr>
        <w:spacing w:after="200"/>
      </w:pPr>
      <w:r>
        <w:t xml:space="preserve">Progress will be tracked against the following key performance indicators:</w:t>
      </w:r>
    </w:p>
    <w:p>
      <w:pPr>
        <w:pStyle w:val="ListParagraph"/>
        <w:numPr>
          <w:ilvl w:val="0"/>
          <w:numId w:val="2"/>
        </w:numPr>
      </w:pPr>
      <w:r>
        <w:t xml:space="preserve">Control Implementation Rate: Target 100% of controls at Level 3 maturity or higher by Month 9</w:t>
      </w:r>
    </w:p>
    <w:p>
      <w:pPr>
        <w:pStyle w:val="ListParagraph"/>
        <w:numPr>
          <w:ilvl w:val="0"/>
          <w:numId w:val="2"/>
        </w:numPr>
      </w:pPr>
      <w:r>
        <w:t xml:space="preserve">Risk Reduction: Eliminate all Critical and High risks within 6 months</w:t>
      </w:r>
    </w:p>
    <w:p>
      <w:pPr>
        <w:pStyle w:val="ListParagraph"/>
        <w:numPr>
          <w:ilvl w:val="0"/>
          <w:numId w:val="2"/>
        </w:numPr>
      </w:pPr>
      <w:r>
        <w:t xml:space="preserve">Audit Readiness: Zero non-conformities in internal audit by Month 8</w:t>
      </w:r>
    </w:p>
    <w:p>
      <w:pPr>
        <w:pStyle w:val="ListParagraph"/>
        <w:numPr>
          <w:ilvl w:val="0"/>
          <w:numId w:val="2"/>
        </w:numPr>
      </w:pPr>
      <w:r>
        <w:t xml:space="preserve">Certification Achievement: Successfully pass Stage 1 and Stage 2 audits by Month 9</w:t>
      </w:r>
    </w:p>
    <w:p>
      <w:pPr>
        <w:spacing w:after="200"/>
      </w:pPr>
      <w:r>
        <w:br/>
        <w:t xml:space="preserve"/>
      </w:r>
    </w:p>
    <w:p>
      <w:pPr>
        <w:spacing w:after="400"/>
      </w:pPr>
      <w:r>
        <w:t xml:space="preserve">With committed resources, executive support, and adherence to the remediation roadmap, CloudSync Technologies will establish a robust information security management system that protects customer data, meets regulatory requirements, and demonstrates security maturity to current and prospective enterprise customers.</w:t>
      </w:r>
    </w:p>
    <w:p>
      <w:pPr>
        <w:pageBreakBefore/>
      </w:pPr>
      <w:r>
        <w:br/>
        <w:t xml:space="preserve"/>
      </w:r>
    </w:p>
    <w:p>
      <w:pPr>
        <w:pStyle w:val="Heading1"/>
      </w:pPr>
      <w:r>
        <w:t xml:space="preserve">8. Appendices</w:t>
      </w:r>
    </w:p>
    <w:p>
      <w:pPr>
        <w:pStyle w:val="Heading2"/>
      </w:pPr>
      <w:r>
        <w:t xml:space="preserve">Appendix A: Supporting Documents</w:t>
      </w:r>
    </w:p>
    <w:p>
      <w:pPr>
        <w:pStyle w:val="ListParagraph"/>
        <w:numPr>
          <w:ilvl w:val="0"/>
          <w:numId w:val="2"/>
        </w:numPr>
      </w:pPr>
      <w:r>
        <w:t xml:space="preserve">ISO 27001:2022 Control Matrix (Excel) - Detailed control assessment with status, owners, and gaps</w:t>
      </w:r>
    </w:p>
    <w:p>
      <w:pPr>
        <w:pStyle w:val="ListParagraph"/>
        <w:numPr>
          <w:ilvl w:val="0"/>
          <w:numId w:val="2"/>
        </w:numPr>
      </w:pPr>
      <w:r>
        <w:t xml:space="preserve">Information Security Risk Register (Excel) - Comprehensive risk analysis with scores and treatment plans</w:t>
      </w:r>
    </w:p>
    <w:p>
      <w:pPr>
        <w:pStyle w:val="ListParagraph"/>
        <w:numPr>
          <w:ilvl w:val="0"/>
          <w:numId w:val="2"/>
        </w:numPr>
      </w:pPr>
      <w:r>
        <w:t xml:space="preserve">Gap Analysis and Remediation Plan (Word) - Detailed findings and remediation steps</w:t>
      </w:r>
    </w:p>
    <w:p>
      <w:pPr>
        <w:spacing w:after="200"/>
      </w:pPr>
      <w:r>
        <w:br/>
        <w:t xml:space="preserve"/>
      </w:r>
    </w:p>
    <w:p>
      <w:pPr>
        <w:pStyle w:val="Heading2"/>
      </w:pPr>
      <w:r>
        <w:t xml:space="preserve">Appendix B: References</w:t>
      </w:r>
    </w:p>
    <w:p>
      <w:pPr>
        <w:pStyle w:val="ListParagraph"/>
        <w:numPr>
          <w:ilvl w:val="0"/>
          <w:numId w:val="2"/>
        </w:numPr>
      </w:pPr>
      <w:r>
        <w:t xml:space="preserve">ISO/IEC 27001:2022 - Information Security Management Systems Requirements</w:t>
      </w:r>
    </w:p>
    <w:p>
      <w:pPr>
        <w:pStyle w:val="ListParagraph"/>
        <w:numPr>
          <w:ilvl w:val="0"/>
          <w:numId w:val="2"/>
        </w:numPr>
      </w:pPr>
      <w:r>
        <w:t xml:space="preserve">ISO/IEC 27002:2022 - Information Security Controls</w:t>
      </w:r>
    </w:p>
    <w:p>
      <w:pPr>
        <w:pStyle w:val="ListParagraph"/>
        <w:numPr>
          <w:ilvl w:val="0"/>
          <w:numId w:val="2"/>
        </w:numPr>
      </w:pPr>
      <w:r>
        <w:t xml:space="preserve">NIST Cybersecurity Framework v2.0</w:t>
      </w:r>
    </w:p>
    <w:p>
      <w:pPr>
        <w:pStyle w:val="ListParagraph"/>
        <w:numPr>
          <w:ilvl w:val="0"/>
          <w:numId w:val="2"/>
        </w:numPr>
      </w:pPr>
      <w:r>
        <w:t xml:space="preserve">CIS Controls v8</w:t>
      </w:r>
    </w:p>
    <w:p>
      <w:pPr>
        <w:spacing w:after="400"/>
      </w:pPr>
      <w:r>
        <w:br/>
        <w:t xml:space="preserve"/>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Document Title</w:t>
            </w:r>
          </w:p>
        </w:tc>
        <w:tc>
          <w:tcPr>
            <w:tcW w:type="dxa" w:w="6560"/>
            <w:tcMar>
              <w:top w:type="dxa" w:w="80"/>
              <w:left w:type="dxa" w:w="120"/>
              <w:bottom w:type="dxa" w:w="80"/>
              <w:right w:type="dxa" w:w="120"/>
            </w:tcMar>
          </w:tcPr>
          <w:p>
            <w:r>
              <w:t xml:space="preserve">Information Security Compliance Program - ISO 27001:2022</w:t>
            </w:r>
          </w:p>
        </w:tc>
      </w:tr>
      <w:tr>
        <w:tc>
          <w:tcPr>
            <w:tcW w:type="dxa" w:w="2800"/>
            <w:shd w:fill="D5E8F0" w:val="clear"/>
            <w:tcMar>
              <w:top w:type="dxa" w:w="80"/>
              <w:left w:type="dxa" w:w="120"/>
              <w:bottom w:type="dxa" w:w="80"/>
              <w:right w:type="dxa" w:w="120"/>
            </w:tcMar>
          </w:tcPr>
          <w:p>
            <w:r>
              <w:rPr>
                <w:b/>
                <w:bCs/>
              </w:rPr>
              <w:t xml:space="preserve">Version</w:t>
            </w:r>
          </w:p>
        </w:tc>
        <w:tc>
          <w:tcPr>
            <w:tcW w:type="dxa" w:w="6560"/>
            <w:tcMar>
              <w:top w:type="dxa" w:w="80"/>
              <w:left w:type="dxa" w:w="120"/>
              <w:bottom w:type="dxa" w:w="80"/>
              <w:right w:type="dxa" w:w="120"/>
            </w:tcMar>
          </w:tcPr>
          <w:p>
            <w:r>
              <w:t xml:space="preserve">1.0</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February 15, 2026</w:t>
            </w:r>
          </w:p>
        </w:tc>
      </w:tr>
      <w:tr>
        <w:tc>
          <w:tcPr>
            <w:tcW w:type="dxa" w:w="2800"/>
            <w:shd w:fill="D5E8F0" w:val="clear"/>
            <w:tcMar>
              <w:top w:type="dxa" w:w="80"/>
              <w:left w:type="dxa" w:w="120"/>
              <w:bottom w:type="dxa" w:w="80"/>
              <w:right w:type="dxa" w:w="120"/>
            </w:tcMar>
          </w:tcPr>
          <w:p>
            <w:r>
              <w:rPr>
                <w:b/>
                <w:bCs/>
              </w:rPr>
              <w:t xml:space="preserve">Author</w:t>
            </w:r>
          </w:p>
        </w:tc>
        <w:tc>
          <w:tcPr>
            <w:tcW w:type="dxa" w:w="6560"/>
            <w:tcMar>
              <w:top w:type="dxa" w:w="80"/>
              <w:left w:type="dxa" w:w="120"/>
              <w:bottom w:type="dxa" w:w="80"/>
              <w:right w:type="dxa" w:w="120"/>
            </w:tcMar>
          </w:tcPr>
          <w:p>
            <w:r>
              <w:t xml:space="preserve">GRC Team - CloudSync Technologies</w:t>
            </w:r>
          </w:p>
        </w:tc>
      </w:tr>
      <w:tr>
        <w:tc>
          <w:tcPr>
            <w:tcW w:type="dxa" w:w="2800"/>
            <w:shd w:fill="D5E8F0" w:val="clear"/>
            <w:tcMar>
              <w:top w:type="dxa" w:w="80"/>
              <w:left w:type="dxa" w:w="120"/>
              <w:bottom w:type="dxa" w:w="80"/>
              <w:right w:type="dxa" w:w="120"/>
            </w:tcMar>
          </w:tcPr>
          <w:p>
            <w:r>
              <w:rPr>
                <w:b/>
                <w:bCs/>
              </w:rPr>
              <w:t xml:space="preserve">Classification</w:t>
            </w:r>
          </w:p>
        </w:tc>
        <w:tc>
          <w:tcPr>
            <w:tcW w:type="dxa" w:w="6560"/>
            <w:tcMar>
              <w:top w:type="dxa" w:w="80"/>
              <w:left w:type="dxa" w:w="120"/>
              <w:bottom w:type="dxa" w:w="80"/>
              <w:right w:type="dxa" w:w="120"/>
            </w:tcMar>
          </w:tcPr>
          <w:p>
            <w:r>
              <w:t xml:space="preserve">Internal - Confidential</w:t>
            </w:r>
          </w:p>
        </w:tc>
      </w:tr>
      <w:tr>
        <w:tc>
          <w:tcPr>
            <w:tcW w:type="dxa" w:w="2800"/>
            <w:shd w:fill="D5E8F0" w:val="clear"/>
            <w:tcMar>
              <w:top w:type="dxa" w:w="80"/>
              <w:left w:type="dxa" w:w="120"/>
              <w:bottom w:type="dxa" w:w="80"/>
              <w:right w:type="dxa" w:w="120"/>
            </w:tcMar>
          </w:tcPr>
          <w:p>
            <w:r>
              <w:rPr>
                <w:b/>
                <w:bCs/>
              </w:rPr>
              <w:t xml:space="preserve">Review Frequency</w:t>
            </w:r>
          </w:p>
        </w:tc>
        <w:tc>
          <w:tcPr>
            <w:tcW w:type="dxa" w:w="6560"/>
            <w:tcMar>
              <w:top w:type="dxa" w:w="80"/>
              <w:left w:type="dxa" w:w="120"/>
              <w:bottom w:type="dxa" w:w="80"/>
              <w:right w:type="dxa" w:w="120"/>
            </w:tcMar>
          </w:tcPr>
          <w:p>
            <w:r>
              <w:t xml:space="preserve">Quarterly during implementation; Annually after certification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472C4"/>
      <w:sz w:val="28"/>
      <w:szCs w:val="28"/>
    </w:rPr>
  </w:style>
  <w:style w:type="paragraph" w:styleId="Heading3">
    <w:name w:val="Heading 3"/>
    <w:basedOn w:val="Normal"/>
    <w:next w:val="Normal"/>
    <w:qFormat/>
    <w:pPr>
      <w:spacing w:before="18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2026-02-15T13:17:30.105Z</dcterms:created>
  <dcterms:modified xsi:type="dcterms:W3CDTF">2026-02-15T13:17:30.105Z</dcterms:modified>
</cp:coreProperties>
</file>

<file path=docProps/custom.xml><?xml version="1.0" encoding="utf-8"?>
<Properties xmlns="http://schemas.openxmlformats.org/officeDocument/2006/custom-properties" xmlns:vt="http://schemas.openxmlformats.org/officeDocument/2006/docPropsVTypes"/>
</file>