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D02AA">
      <w:pPr>
        <w:jc w:val="center"/>
        <w:rPr>
          <w:rFonts w:hint="default" w:ascii="Times New Roman" w:hAnsi="Times New Roman" w:eastAsia="SimSun" w:cs="Times New Roman"/>
          <w:b/>
          <w:bCs/>
          <w:sz w:val="40"/>
          <w:szCs w:val="40"/>
        </w:rPr>
      </w:pPr>
    </w:p>
    <w:p w14:paraId="6FAB3B87">
      <w:pPr>
        <w:jc w:val="center"/>
        <w:rPr>
          <w:rFonts w:hint="default" w:ascii="Times New Roman" w:hAnsi="Times New Roman" w:eastAsia="SimSun" w:cs="Times New Roman"/>
          <w:b/>
          <w:bCs/>
          <w:sz w:val="40"/>
          <w:szCs w:val="40"/>
        </w:rPr>
      </w:pPr>
      <w:r>
        <w:rPr>
          <w:rFonts w:hint="default" w:ascii="Times New Roman" w:hAnsi="Times New Roman" w:eastAsia="SimSun" w:cs="Times New Roman"/>
          <w:b/>
          <w:bCs/>
          <w:sz w:val="40"/>
          <w:szCs w:val="40"/>
        </w:rPr>
        <w:t>Bus Terminal Ridership Forecasting, Analytics, and Data Warehouse Development</w:t>
      </w:r>
    </w:p>
    <w:p w14:paraId="4F07F2BB">
      <w:pPr>
        <w:rPr>
          <w:rFonts w:hint="default" w:ascii="Times New Roman" w:hAnsi="Times New Roman" w:eastAsia="SimSun" w:cs="Times New Roman"/>
          <w:sz w:val="24"/>
          <w:szCs w:val="24"/>
        </w:rPr>
      </w:pPr>
    </w:p>
    <w:p w14:paraId="684F06AB">
      <w:pPr>
        <w:rPr>
          <w:rFonts w:hint="default" w:ascii="Times New Roman" w:hAnsi="Times New Roman" w:eastAsia="SimSun" w:cs="Times New Roman"/>
          <w:sz w:val="24"/>
          <w:szCs w:val="24"/>
        </w:rPr>
      </w:pPr>
    </w:p>
    <w:p w14:paraId="69BEC5AF">
      <w:pPr>
        <w:rPr>
          <w:rFonts w:hint="default" w:ascii="Times New Roman" w:hAnsi="Times New Roman" w:eastAsia="SimSun"/>
          <w:sz w:val="24"/>
          <w:szCs w:val="24"/>
        </w:rPr>
      </w:pPr>
    </w:p>
    <w:p w14:paraId="1B14396F">
      <w:pPr>
        <w:rPr>
          <w:rFonts w:hint="default" w:ascii="Times New Roman" w:hAnsi="Times New Roman" w:eastAsia="SimSun"/>
          <w:sz w:val="24"/>
          <w:szCs w:val="24"/>
        </w:rPr>
      </w:pPr>
      <w:r>
        <w:rPr>
          <w:rFonts w:hint="default" w:ascii="Times New Roman" w:hAnsi="Times New Roman" w:eastAsia="SimSun"/>
          <w:sz w:val="24"/>
          <w:szCs w:val="24"/>
          <w:lang w:val="en-GB"/>
        </w:rPr>
        <w:t xml:space="preserve">Course: </w:t>
      </w:r>
      <w:r>
        <w:rPr>
          <w:rFonts w:hint="default" w:ascii="Times New Roman" w:hAnsi="Times New Roman" w:eastAsia="SimSun"/>
          <w:sz w:val="24"/>
          <w:szCs w:val="24"/>
        </w:rPr>
        <w:t>Database Project 6430</w:t>
      </w:r>
    </w:p>
    <w:p w14:paraId="47CB57C8">
      <w:pPr>
        <w:rPr>
          <w:rFonts w:hint="default" w:ascii="Times New Roman" w:hAnsi="Times New Roman" w:eastAsia="SimSun"/>
          <w:sz w:val="32"/>
          <w:szCs w:val="32"/>
        </w:rPr>
      </w:pPr>
    </w:p>
    <w:p w14:paraId="456B73B0">
      <w:pPr>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Date: 1</w:t>
      </w:r>
      <w:r>
        <w:rPr>
          <w:rFonts w:hint="default" w:ascii="Times New Roman" w:hAnsi="Times New Roman" w:eastAsia="SimSun" w:cs="Times New Roman"/>
          <w:sz w:val="24"/>
          <w:szCs w:val="24"/>
          <w:vertAlign w:val="superscript"/>
          <w:lang w:val="en-GB"/>
        </w:rPr>
        <w:t>st</w:t>
      </w:r>
      <w:r>
        <w:rPr>
          <w:rFonts w:hint="default" w:ascii="Times New Roman" w:hAnsi="Times New Roman" w:eastAsia="SimSun" w:cs="Times New Roman"/>
          <w:sz w:val="24"/>
          <w:szCs w:val="24"/>
          <w:lang w:val="en-GB"/>
        </w:rPr>
        <w:t xml:space="preserve"> Dec 2025</w:t>
      </w:r>
    </w:p>
    <w:p w14:paraId="7D9E055B">
      <w:pPr>
        <w:rPr>
          <w:rFonts w:hint="default" w:ascii="Times New Roman" w:hAnsi="Times New Roman" w:eastAsia="SimSun" w:cs="Times New Roman"/>
          <w:sz w:val="24"/>
          <w:szCs w:val="24"/>
        </w:rPr>
      </w:pPr>
    </w:p>
    <w:p w14:paraId="01CF0EDA">
      <w:pPr>
        <w:rPr>
          <w:rFonts w:hint="default" w:ascii="Times New Roman" w:hAnsi="Times New Roman" w:eastAsia="SimSun" w:cs="Times New Roman"/>
          <w:sz w:val="28"/>
          <w:szCs w:val="28"/>
          <w:lang w:val="en-GB"/>
        </w:rPr>
      </w:pPr>
    </w:p>
    <w:p w14:paraId="10DF0967">
      <w:pPr>
        <w:rPr>
          <w:rFonts w:hint="default" w:ascii="Times New Roman" w:hAnsi="Times New Roman" w:eastAsia="SimSun" w:cs="Times New Roman"/>
          <w:sz w:val="24"/>
          <w:szCs w:val="24"/>
        </w:rPr>
      </w:pPr>
    </w:p>
    <w:p w14:paraId="0575900D">
      <w:pPr>
        <w:rPr>
          <w:rFonts w:hint="default" w:ascii="Times New Roman" w:hAnsi="Times New Roman" w:eastAsia="SimSu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4B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230F7012">
            <w:pPr>
              <w:pStyle w:val="3"/>
              <w:spacing w:line="240" w:lineRule="auto"/>
            </w:pPr>
            <w:bookmarkStart w:id="0" w:name="_Toc23136"/>
            <w:r>
              <w:rPr>
                <w:sz w:val="30"/>
                <w:szCs w:val="30"/>
              </w:rPr>
              <w:t>Group Contributions</w:t>
            </w:r>
            <w:bookmarkEnd w:id="0"/>
          </w:p>
        </w:tc>
      </w:tr>
      <w:tr w14:paraId="097C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tbl>
            <w:tblPr>
              <w:tblStyle w:val="18"/>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47"/>
              <w:gridCol w:w="4149"/>
            </w:tblGrid>
            <w:tr w14:paraId="2CB94B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tcPr>
                <w:p w14:paraId="393BBF39">
                  <w:pPr>
                    <w:spacing w:after="0" w:line="240" w:lineRule="auto"/>
                    <w:rPr>
                      <w:b/>
                      <w:bCs/>
                    </w:rPr>
                  </w:pPr>
                  <w:r>
                    <w:rPr>
                      <w:b/>
                      <w:bCs/>
                    </w:rPr>
                    <w:t xml:space="preserve">Group Member Name   </w:t>
                  </w:r>
                  <w:r>
                    <w:rPr>
                      <w:rFonts w:hint="default"/>
                      <w:b/>
                      <w:bCs/>
                      <w:lang w:val="en-GB"/>
                    </w:rPr>
                    <w:t xml:space="preserve">   </w:t>
                  </w:r>
                  <w:r>
                    <w:rPr>
                      <w:b/>
                      <w:bCs/>
                    </w:rPr>
                    <w:t>Student ID</w:t>
                  </w:r>
                </w:p>
              </w:tc>
              <w:tc>
                <w:tcPr>
                  <w:tcW w:w="4149" w:type="dxa"/>
                </w:tcPr>
                <w:p w14:paraId="4423CE97">
                  <w:pPr>
                    <w:spacing w:after="0" w:line="240" w:lineRule="auto"/>
                    <w:rPr>
                      <w:b/>
                      <w:bCs/>
                    </w:rPr>
                  </w:pPr>
                  <w:r>
                    <w:rPr>
                      <w:b/>
                      <w:bCs/>
                    </w:rPr>
                    <w:t>Contribution</w:t>
                  </w:r>
                </w:p>
              </w:tc>
            </w:tr>
            <w:tr w14:paraId="6D62A0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shd w:val="clear" w:color="auto" w:fill="F1F1F1" w:themeFill="background1" w:themeFillShade="F2"/>
                </w:tcPr>
                <w:p w14:paraId="5B8D7784">
                  <w:pPr>
                    <w:spacing w:after="0" w:line="240" w:lineRule="auto"/>
                    <w:rPr>
                      <w:b/>
                      <w:bCs/>
                    </w:rPr>
                  </w:pPr>
                  <w:r>
                    <w:rPr>
                      <w:b/>
                      <w:bCs/>
                    </w:rPr>
                    <w:t xml:space="preserve">Sufiyan Khan                    </w:t>
                  </w:r>
                  <w:r>
                    <w:rPr>
                      <w:rFonts w:hint="default"/>
                      <w:b/>
                      <w:bCs/>
                      <w:lang w:val="en-GB"/>
                    </w:rPr>
                    <w:t xml:space="preserve"> </w:t>
                  </w:r>
                  <w:r>
                    <w:rPr>
                      <w:b/>
                      <w:bCs/>
                    </w:rPr>
                    <w:t xml:space="preserve"> 00954982</w:t>
                  </w:r>
                </w:p>
              </w:tc>
              <w:tc>
                <w:tcPr>
                  <w:tcW w:w="4149" w:type="dxa"/>
                  <w:shd w:val="clear" w:color="auto" w:fill="F1F1F1" w:themeFill="background1" w:themeFillShade="F2"/>
                </w:tcPr>
                <w:p w14:paraId="5D2EF465">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led the data cleaning and preprocessing workflow, ensuring all datasets were accurate, consistent, and analysis-ready.</w:t>
                  </w:r>
                </w:p>
              </w:tc>
            </w:tr>
            <w:tr w14:paraId="3D353E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tcPr>
                <w:p w14:paraId="7BBB12D1">
                  <w:pPr>
                    <w:spacing w:after="0" w:line="240" w:lineRule="auto"/>
                    <w:rPr>
                      <w:b/>
                      <w:bCs/>
                    </w:rPr>
                  </w:pPr>
                  <w:r>
                    <w:rPr>
                      <w:b/>
                      <w:bCs/>
                    </w:rPr>
                    <w:t xml:space="preserve">Shah Farhan Rabbani    </w:t>
                  </w:r>
                  <w:r>
                    <w:rPr>
                      <w:rFonts w:hint="default"/>
                      <w:b/>
                      <w:bCs/>
                      <w:lang w:val="en-GB"/>
                    </w:rPr>
                    <w:t xml:space="preserve">   </w:t>
                  </w:r>
                  <w:r>
                    <w:rPr>
                      <w:b/>
                      <w:bCs/>
                    </w:rPr>
                    <w:t>00946739</w:t>
                  </w:r>
                </w:p>
              </w:tc>
              <w:tc>
                <w:tcPr>
                  <w:tcW w:w="4149" w:type="dxa"/>
                </w:tcPr>
                <w:p w14:paraId="52CDD370">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developed the Python forecasting models and performed the long-term ridership projections for 2026–2030.</w:t>
                  </w:r>
                </w:p>
              </w:tc>
            </w:tr>
            <w:tr w14:paraId="3D0106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shd w:val="clear" w:color="auto" w:fill="F1F1F1" w:themeFill="background1" w:themeFillShade="F2"/>
                </w:tcPr>
                <w:p w14:paraId="3EB4A457">
                  <w:pPr>
                    <w:spacing w:after="0" w:line="240" w:lineRule="auto"/>
                    <w:rPr>
                      <w:b/>
                      <w:bCs/>
                    </w:rPr>
                  </w:pPr>
                  <w:r>
                    <w:rPr>
                      <w:b/>
                      <w:bCs/>
                    </w:rPr>
                    <w:t xml:space="preserve">Sujeeth Parikipandla    </w:t>
                  </w:r>
                  <w:r>
                    <w:rPr>
                      <w:rFonts w:hint="default"/>
                      <w:b/>
                      <w:bCs/>
                      <w:lang w:val="en-GB"/>
                    </w:rPr>
                    <w:t xml:space="preserve">    </w:t>
                  </w:r>
                  <w:r>
                    <w:rPr>
                      <w:b/>
                      <w:bCs/>
                    </w:rPr>
                    <w:t>00959874</w:t>
                  </w:r>
                </w:p>
              </w:tc>
              <w:tc>
                <w:tcPr>
                  <w:tcW w:w="4149" w:type="dxa"/>
                  <w:shd w:val="clear" w:color="auto" w:fill="F1F1F1" w:themeFill="background1" w:themeFillShade="F2"/>
                </w:tcPr>
                <w:p w14:paraId="3311629E">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analyzed key predictors of passenger demand and conducted the carrier</w:t>
                  </w:r>
                  <w:bookmarkStart w:id="24" w:name="_GoBack"/>
                  <w:bookmarkEnd w:id="24"/>
                  <w:r>
                    <w:rPr>
                      <w:rFonts w:hint="default" w:ascii="Times New Roman" w:hAnsi="Times New Roman" w:eastAsia="SimSun" w:cs="Times New Roman"/>
                      <w:sz w:val="24"/>
                      <w:szCs w:val="24"/>
                    </w:rPr>
                    <w:t>-level forecasting.</w:t>
                  </w:r>
                </w:p>
              </w:tc>
            </w:tr>
            <w:tr w14:paraId="7D3BD0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tcPr>
                <w:p w14:paraId="6B5181C6">
                  <w:pPr>
                    <w:spacing w:after="0" w:line="240" w:lineRule="auto"/>
                    <w:rPr>
                      <w:b/>
                      <w:bCs/>
                    </w:rPr>
                  </w:pPr>
                  <w:r>
                    <w:rPr>
                      <w:b/>
                      <w:bCs/>
                    </w:rPr>
                    <w:t xml:space="preserve">Sushmitha reddy            </w:t>
                  </w:r>
                  <w:r>
                    <w:rPr>
                      <w:rFonts w:hint="default"/>
                      <w:b/>
                      <w:bCs/>
                      <w:lang w:val="en-GB"/>
                    </w:rPr>
                    <w:t xml:space="preserve">   </w:t>
                  </w:r>
                  <w:r>
                    <w:rPr>
                      <w:b/>
                      <w:bCs/>
                    </w:rPr>
                    <w:t>00952452</w:t>
                  </w:r>
                </w:p>
              </w:tc>
              <w:tc>
                <w:tcPr>
                  <w:tcW w:w="4149" w:type="dxa"/>
                </w:tcPr>
                <w:p w14:paraId="30EC8875">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built the Power BI dashboard, designed the visualizations, and organized the analytics outputs for presentation.</w:t>
                  </w:r>
                </w:p>
              </w:tc>
            </w:tr>
            <w:tr w14:paraId="6CD3BF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shd w:val="clear" w:color="auto" w:fill="F1F1F1" w:themeFill="background1" w:themeFillShade="F2"/>
                </w:tcPr>
                <w:p w14:paraId="7AB4594B">
                  <w:pPr>
                    <w:spacing w:after="0" w:line="240" w:lineRule="auto"/>
                    <w:rPr>
                      <w:b/>
                      <w:bCs/>
                    </w:rPr>
                  </w:pPr>
                  <w:r>
                    <w:rPr>
                      <w:b/>
                      <w:bCs/>
                    </w:rPr>
                    <w:t xml:space="preserve">Keijounia Thomas         </w:t>
                  </w:r>
                  <w:r>
                    <w:rPr>
                      <w:rFonts w:hint="default"/>
                      <w:b/>
                      <w:bCs/>
                      <w:lang w:val="en-GB"/>
                    </w:rPr>
                    <w:t xml:space="preserve">    </w:t>
                  </w:r>
                  <w:r>
                    <w:rPr>
                      <w:b/>
                      <w:bCs/>
                    </w:rPr>
                    <w:t>00719416</w:t>
                  </w:r>
                </w:p>
              </w:tc>
              <w:tc>
                <w:tcPr>
                  <w:tcW w:w="4149" w:type="dxa"/>
                  <w:shd w:val="clear" w:color="auto" w:fill="F1F1F1" w:themeFill="background1" w:themeFillShade="F2"/>
                </w:tcPr>
                <w:p w14:paraId="73D27B5E">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created the </w:t>
                  </w:r>
                  <w:r>
                    <w:rPr>
                      <w:rFonts w:hint="default" w:ascii="Times New Roman" w:hAnsi="Times New Roman" w:eastAsia="SimSun" w:cs="Times New Roman"/>
                      <w:sz w:val="24"/>
                      <w:szCs w:val="24"/>
                      <w:lang w:val="en-GB"/>
                    </w:rPr>
                    <w:t>SSIS,</w:t>
                  </w:r>
                  <w:r>
                    <w:rPr>
                      <w:rFonts w:hint="default" w:ascii="Times New Roman" w:hAnsi="Times New Roman" w:eastAsia="SimSun" w:cs="Times New Roman"/>
                      <w:sz w:val="24"/>
                      <w:szCs w:val="24"/>
                    </w:rPr>
                    <w:t xml:space="preserve"> data warehouse, designed the star-schema model, and wrote the SQL transformation scripts.</w:t>
                  </w:r>
                </w:p>
              </w:tc>
            </w:tr>
            <w:tr w14:paraId="301C9F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147" w:type="dxa"/>
                </w:tcPr>
                <w:p w14:paraId="1260E9CB">
                  <w:pPr>
                    <w:spacing w:after="0" w:line="240" w:lineRule="auto"/>
                    <w:rPr>
                      <w:b/>
                      <w:bCs/>
                    </w:rPr>
                  </w:pPr>
                  <w:r>
                    <w:rPr>
                      <w:b/>
                      <w:bCs/>
                    </w:rPr>
                    <w:t>Ranjitha</w:t>
                  </w:r>
                </w:p>
              </w:tc>
              <w:tc>
                <w:tcPr>
                  <w:tcW w:w="4149" w:type="dxa"/>
                </w:tcPr>
                <w:p w14:paraId="2AF5BB3B">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compiled the final report, prepared the GitHub project portfolio, and coordinated the integration of all deliverables.</w:t>
                  </w:r>
                </w:p>
              </w:tc>
            </w:tr>
          </w:tbl>
          <w:p w14:paraId="552F0FBF">
            <w:pPr>
              <w:spacing w:after="0" w:line="240" w:lineRule="auto"/>
            </w:pPr>
          </w:p>
        </w:tc>
      </w:tr>
    </w:tbl>
    <w:p w14:paraId="1DC30D22">
      <w:pPr>
        <w:rPr>
          <w:rFonts w:hint="default" w:ascii="Times New Roman" w:hAnsi="Times New Roman" w:cs="Times New Roman"/>
          <w:lang w:val="en-GB"/>
        </w:rPr>
      </w:pPr>
      <w:r>
        <w:rPr>
          <w:rFonts w:hint="default" w:ascii="Times New Roman" w:hAnsi="Times New Roman" w:cs="Times New Roman"/>
          <w:lang w:val="en-GB"/>
        </w:rPr>
        <w:br w:type="page"/>
      </w:r>
    </w:p>
    <w:sdt>
      <w:sdtPr>
        <w:rPr>
          <w:rFonts w:ascii="SimSun" w:hAnsi="SimSun" w:eastAsia="SimSun" w:cstheme="minorBidi"/>
          <w:sz w:val="21"/>
          <w:lang w:val="en-US" w:eastAsia="zh-CN" w:bidi="ar-SA"/>
        </w:rPr>
        <w:id w:val="147459841"/>
        <w15:color w:val="DBDBDB"/>
        <w:docPartObj>
          <w:docPartGallery w:val="Table of Contents"/>
          <w:docPartUnique/>
        </w:docPartObj>
      </w:sdtPr>
      <w:sdtEndPr>
        <w:rPr>
          <w:rFonts w:ascii="SimSun" w:hAnsi="SimSun" w:eastAsia="SimSun" w:cstheme="minorBidi"/>
          <w:sz w:val="21"/>
          <w:lang w:val="en-US" w:eastAsia="zh-CN" w:bidi="ar-SA"/>
        </w:rPr>
      </w:sdtEndPr>
      <w:sdtContent>
        <w:p w14:paraId="1E30E8DF">
          <w:pPr>
            <w:spacing w:before="0" w:beforeLines="0" w:after="0" w:afterLines="0" w:line="240" w:lineRule="auto"/>
            <w:ind w:left="0" w:leftChars="0" w:right="0" w:rightChars="0" w:firstLine="0" w:firstLineChars="0"/>
            <w:jc w:val="center"/>
            <w:rPr>
              <w:rFonts w:hint="default"/>
              <w:lang w:val="en-GB"/>
            </w:rPr>
          </w:pPr>
          <w:r>
            <w:rPr>
              <w:rFonts w:hint="default" w:ascii="SimSun" w:hAnsi="SimSun" w:eastAsia="SimSun" w:cstheme="minorBidi"/>
              <w:sz w:val="21"/>
              <w:lang w:val="en-GB" w:eastAsia="zh-CN" w:bidi="ar-SA"/>
            </w:rPr>
            <w:t>Table of Contents</w:t>
          </w:r>
        </w:p>
        <w:p w14:paraId="389369E3">
          <w:pPr>
            <w:pStyle w:val="15"/>
            <w:tabs>
              <w:tab w:val="right" w:leader="dot" w:pos="8306"/>
            </w:tabs>
          </w:pPr>
          <w:r>
            <w:fldChar w:fldCharType="begin"/>
          </w:r>
          <w:r>
            <w:instrText xml:space="preserve">TOC \o "1-3" \h \u </w:instrText>
          </w:r>
          <w:r>
            <w:fldChar w:fldCharType="separate"/>
          </w:r>
          <w:r>
            <w:fldChar w:fldCharType="begin"/>
          </w:r>
          <w:r>
            <w:instrText xml:space="preserve"> HYPERLINK \l _Toc23136 </w:instrText>
          </w:r>
          <w:r>
            <w:fldChar w:fldCharType="separate"/>
          </w:r>
          <w:r>
            <w:rPr>
              <w:szCs w:val="30"/>
            </w:rPr>
            <w:t>Group Contributions</w:t>
          </w:r>
          <w:r>
            <w:tab/>
          </w:r>
          <w:r>
            <w:fldChar w:fldCharType="begin"/>
          </w:r>
          <w:r>
            <w:instrText xml:space="preserve"> PAGEREF _Toc23136 \h </w:instrText>
          </w:r>
          <w:r>
            <w:fldChar w:fldCharType="separate"/>
          </w:r>
          <w:r>
            <w:t>1</w:t>
          </w:r>
          <w:r>
            <w:fldChar w:fldCharType="end"/>
          </w:r>
          <w:r>
            <w:fldChar w:fldCharType="end"/>
          </w:r>
        </w:p>
        <w:p w14:paraId="1546EB45">
          <w:pPr>
            <w:pStyle w:val="14"/>
            <w:tabs>
              <w:tab w:val="right" w:leader="dot" w:pos="8306"/>
            </w:tabs>
          </w:pPr>
          <w:r>
            <w:fldChar w:fldCharType="begin"/>
          </w:r>
          <w:r>
            <w:instrText xml:space="preserve"> HYPERLINK \l _Toc12922 </w:instrText>
          </w:r>
          <w:r>
            <w:fldChar w:fldCharType="separate"/>
          </w:r>
          <w:r>
            <w:rPr>
              <w:rFonts w:hint="default" w:ascii="Times New Roman" w:hAnsi="Times New Roman" w:cs="Times New Roman"/>
              <w:bCs/>
              <w:szCs w:val="36"/>
            </w:rPr>
            <w:t>1. Executive Summary</w:t>
          </w:r>
          <w:r>
            <w:tab/>
          </w:r>
          <w:r>
            <w:fldChar w:fldCharType="begin"/>
          </w:r>
          <w:r>
            <w:instrText xml:space="preserve"> PAGEREF _Toc12922 \h </w:instrText>
          </w:r>
          <w:r>
            <w:fldChar w:fldCharType="separate"/>
          </w:r>
          <w:r>
            <w:t>3</w:t>
          </w:r>
          <w:r>
            <w:fldChar w:fldCharType="end"/>
          </w:r>
          <w:r>
            <w:fldChar w:fldCharType="end"/>
          </w:r>
        </w:p>
        <w:p w14:paraId="1C3D68FD">
          <w:pPr>
            <w:pStyle w:val="14"/>
            <w:tabs>
              <w:tab w:val="right" w:leader="dot" w:pos="8306"/>
            </w:tabs>
          </w:pPr>
          <w:r>
            <w:fldChar w:fldCharType="begin"/>
          </w:r>
          <w:r>
            <w:instrText xml:space="preserve"> HYPERLINK \l _Toc20864 </w:instrText>
          </w:r>
          <w:r>
            <w:fldChar w:fldCharType="separate"/>
          </w:r>
          <w:r>
            <w:rPr>
              <w:rFonts w:hint="default" w:ascii="Times New Roman" w:hAnsi="Times New Roman" w:cs="Times New Roman"/>
              <w:bCs/>
              <w:szCs w:val="36"/>
            </w:rPr>
            <w:t>2. Introduction</w:t>
          </w:r>
          <w:r>
            <w:tab/>
          </w:r>
          <w:r>
            <w:fldChar w:fldCharType="begin"/>
          </w:r>
          <w:r>
            <w:instrText xml:space="preserve"> PAGEREF _Toc20864 \h </w:instrText>
          </w:r>
          <w:r>
            <w:fldChar w:fldCharType="separate"/>
          </w:r>
          <w:r>
            <w:t>3</w:t>
          </w:r>
          <w:r>
            <w:fldChar w:fldCharType="end"/>
          </w:r>
          <w:r>
            <w:fldChar w:fldCharType="end"/>
          </w:r>
        </w:p>
        <w:p w14:paraId="282BADDB">
          <w:pPr>
            <w:pStyle w:val="14"/>
            <w:tabs>
              <w:tab w:val="right" w:leader="dot" w:pos="8306"/>
            </w:tabs>
          </w:pPr>
          <w:r>
            <w:fldChar w:fldCharType="begin"/>
          </w:r>
          <w:r>
            <w:instrText xml:space="preserve"> HYPERLINK \l _Toc28126 </w:instrText>
          </w:r>
          <w:r>
            <w:fldChar w:fldCharType="separate"/>
          </w:r>
          <w:r>
            <w:rPr>
              <w:rFonts w:hint="default" w:ascii="Times New Roman" w:hAnsi="Times New Roman" w:cs="Times New Roman"/>
              <w:bCs/>
              <w:szCs w:val="36"/>
            </w:rPr>
            <w:t>3. Dataset Overview</w:t>
          </w:r>
          <w:r>
            <w:tab/>
          </w:r>
          <w:r>
            <w:fldChar w:fldCharType="begin"/>
          </w:r>
          <w:r>
            <w:instrText xml:space="preserve"> PAGEREF _Toc28126 \h </w:instrText>
          </w:r>
          <w:r>
            <w:fldChar w:fldCharType="separate"/>
          </w:r>
          <w:r>
            <w:t>3</w:t>
          </w:r>
          <w:r>
            <w:fldChar w:fldCharType="end"/>
          </w:r>
          <w:r>
            <w:fldChar w:fldCharType="end"/>
          </w:r>
        </w:p>
        <w:p w14:paraId="2F310D9F">
          <w:pPr>
            <w:pStyle w:val="14"/>
            <w:tabs>
              <w:tab w:val="right" w:leader="dot" w:pos="8306"/>
            </w:tabs>
          </w:pPr>
          <w:r>
            <w:fldChar w:fldCharType="begin"/>
          </w:r>
          <w:r>
            <w:instrText xml:space="preserve"> HYPERLINK \l _Toc7715 </w:instrText>
          </w:r>
          <w:r>
            <w:fldChar w:fldCharType="separate"/>
          </w:r>
          <w:r>
            <w:rPr>
              <w:rFonts w:hint="default" w:ascii="Times New Roman" w:hAnsi="Times New Roman" w:cs="Times New Roman"/>
              <w:bCs/>
              <w:szCs w:val="36"/>
            </w:rPr>
            <w:t xml:space="preserve">4. </w:t>
          </w:r>
          <w:r>
            <w:rPr>
              <w:rFonts w:hint="default" w:ascii="Times New Roman" w:hAnsi="Times New Roman" w:eastAsia="SimSun" w:cs="Times New Roman"/>
              <w:szCs w:val="36"/>
            </w:rPr>
            <w:t>Ridership Forecast (2026–2030)</w:t>
          </w:r>
          <w:r>
            <w:tab/>
          </w:r>
          <w:r>
            <w:fldChar w:fldCharType="begin"/>
          </w:r>
          <w:r>
            <w:instrText xml:space="preserve"> PAGEREF _Toc7715 \h </w:instrText>
          </w:r>
          <w:r>
            <w:fldChar w:fldCharType="separate"/>
          </w:r>
          <w:r>
            <w:t>4</w:t>
          </w:r>
          <w:r>
            <w:fldChar w:fldCharType="end"/>
          </w:r>
          <w:r>
            <w:fldChar w:fldCharType="end"/>
          </w:r>
        </w:p>
        <w:p w14:paraId="1B1ED43F">
          <w:pPr>
            <w:pStyle w:val="14"/>
            <w:tabs>
              <w:tab w:val="right" w:leader="dot" w:pos="8306"/>
            </w:tabs>
          </w:pPr>
          <w:r>
            <w:fldChar w:fldCharType="begin"/>
          </w:r>
          <w:r>
            <w:instrText xml:space="preserve"> HYPERLINK \l _Toc26664 </w:instrText>
          </w:r>
          <w:r>
            <w:fldChar w:fldCharType="separate"/>
          </w:r>
          <w:r>
            <w:rPr>
              <w:rFonts w:hint="default" w:ascii="Times New Roman" w:hAnsi="Times New Roman" w:cs="Times New Roman"/>
              <w:bCs/>
              <w:szCs w:val="36"/>
            </w:rPr>
            <w:t xml:space="preserve">5. </w:t>
          </w:r>
          <w:r>
            <w:rPr>
              <w:rFonts w:hint="default" w:ascii="Times New Roman" w:hAnsi="Times New Roman" w:cs="Times New Roman"/>
              <w:szCs w:val="36"/>
            </w:rPr>
            <w:t>Key Predictive Factors</w:t>
          </w:r>
          <w:r>
            <w:tab/>
          </w:r>
          <w:r>
            <w:fldChar w:fldCharType="begin"/>
          </w:r>
          <w:r>
            <w:instrText xml:space="preserve"> PAGEREF _Toc26664 \h </w:instrText>
          </w:r>
          <w:r>
            <w:fldChar w:fldCharType="separate"/>
          </w:r>
          <w:r>
            <w:t>5</w:t>
          </w:r>
          <w:r>
            <w:fldChar w:fldCharType="end"/>
          </w:r>
          <w:r>
            <w:fldChar w:fldCharType="end"/>
          </w:r>
        </w:p>
        <w:p w14:paraId="4EBEA192">
          <w:pPr>
            <w:pStyle w:val="14"/>
            <w:tabs>
              <w:tab w:val="right" w:leader="dot" w:pos="8306"/>
            </w:tabs>
          </w:pPr>
          <w:r>
            <w:fldChar w:fldCharType="begin"/>
          </w:r>
          <w:r>
            <w:instrText xml:space="preserve"> HYPERLINK \l _Toc30920 </w:instrText>
          </w:r>
          <w:r>
            <w:fldChar w:fldCharType="separate"/>
          </w:r>
          <w:r>
            <w:rPr>
              <w:rFonts w:hint="default" w:ascii="Times New Roman" w:hAnsi="Times New Roman" w:cs="Times New Roman"/>
              <w:bCs/>
              <w:szCs w:val="36"/>
            </w:rPr>
            <w:t xml:space="preserve">6. </w:t>
          </w:r>
          <w:r>
            <w:rPr>
              <w:rFonts w:hint="default" w:ascii="Times New Roman" w:hAnsi="Times New Roman" w:cs="Times New Roman"/>
              <w:szCs w:val="36"/>
            </w:rPr>
            <w:t>Carrier-Level Predictions</w:t>
          </w:r>
          <w:r>
            <w:tab/>
          </w:r>
          <w:r>
            <w:fldChar w:fldCharType="begin"/>
          </w:r>
          <w:r>
            <w:instrText xml:space="preserve"> PAGEREF _Toc30920 \h </w:instrText>
          </w:r>
          <w:r>
            <w:fldChar w:fldCharType="separate"/>
          </w:r>
          <w:r>
            <w:t>6</w:t>
          </w:r>
          <w:r>
            <w:fldChar w:fldCharType="end"/>
          </w:r>
          <w:r>
            <w:fldChar w:fldCharType="end"/>
          </w:r>
        </w:p>
        <w:p w14:paraId="65583838">
          <w:pPr>
            <w:pStyle w:val="16"/>
            <w:tabs>
              <w:tab w:val="right" w:leader="dot" w:pos="8306"/>
            </w:tabs>
          </w:pPr>
          <w:r>
            <w:fldChar w:fldCharType="begin"/>
          </w:r>
          <w:r>
            <w:instrText xml:space="preserve"> HYPERLINK \l _Toc15695 </w:instrText>
          </w:r>
          <w:r>
            <w:fldChar w:fldCharType="separate"/>
          </w:r>
          <w:r>
            <w:rPr>
              <w:rFonts w:hint="default" w:ascii="Times New Roman" w:hAnsi="Times New Roman" w:cs="Times New Roman"/>
              <w:bCs/>
            </w:rPr>
            <w:t xml:space="preserve">1.1 </w:t>
          </w:r>
          <w:r>
            <w:rPr>
              <w:rFonts w:hint="default" w:ascii="Times New Roman" w:hAnsi="Times New Roman" w:cs="Times New Roman"/>
            </w:rPr>
            <w:t>Introduction to Carrier-Level Forecasting</w:t>
          </w:r>
          <w:r>
            <w:tab/>
          </w:r>
          <w:r>
            <w:fldChar w:fldCharType="begin"/>
          </w:r>
          <w:r>
            <w:instrText xml:space="preserve"> PAGEREF _Toc15695 \h </w:instrText>
          </w:r>
          <w:r>
            <w:fldChar w:fldCharType="separate"/>
          </w:r>
          <w:r>
            <w:t>6</w:t>
          </w:r>
          <w:r>
            <w:fldChar w:fldCharType="end"/>
          </w:r>
          <w:r>
            <w:fldChar w:fldCharType="end"/>
          </w:r>
        </w:p>
        <w:p w14:paraId="3E292B3F">
          <w:pPr>
            <w:pStyle w:val="16"/>
            <w:tabs>
              <w:tab w:val="right" w:leader="dot" w:pos="8306"/>
            </w:tabs>
          </w:pPr>
          <w:r>
            <w:fldChar w:fldCharType="begin"/>
          </w:r>
          <w:r>
            <w:instrText xml:space="preserve"> HYPERLINK \l _Toc1334 </w:instrText>
          </w:r>
          <w:r>
            <w:fldChar w:fldCharType="separate"/>
          </w:r>
          <w:r>
            <w:rPr>
              <w:rFonts w:hint="default" w:ascii="Times New Roman" w:hAnsi="Times New Roman" w:cs="Times New Roman"/>
              <w:lang w:val="en-GB"/>
            </w:rPr>
            <w:t>1.2 Passenger Forecast: Academy Bus</w:t>
          </w:r>
          <w:r>
            <w:tab/>
          </w:r>
          <w:r>
            <w:fldChar w:fldCharType="begin"/>
          </w:r>
          <w:r>
            <w:instrText xml:space="preserve"> PAGEREF _Toc1334 \h </w:instrText>
          </w:r>
          <w:r>
            <w:fldChar w:fldCharType="separate"/>
          </w:r>
          <w:r>
            <w:t>6</w:t>
          </w:r>
          <w:r>
            <w:fldChar w:fldCharType="end"/>
          </w:r>
          <w:r>
            <w:fldChar w:fldCharType="end"/>
          </w:r>
        </w:p>
        <w:p w14:paraId="1BF517A8">
          <w:pPr>
            <w:pStyle w:val="16"/>
            <w:tabs>
              <w:tab w:val="right" w:leader="dot" w:pos="8306"/>
            </w:tabs>
          </w:pPr>
          <w:r>
            <w:fldChar w:fldCharType="begin"/>
          </w:r>
          <w:r>
            <w:instrText xml:space="preserve"> HYPERLINK \l _Toc17148 </w:instrText>
          </w:r>
          <w:r>
            <w:fldChar w:fldCharType="separate"/>
          </w:r>
          <w:r>
            <w:rPr>
              <w:rFonts w:hint="default" w:ascii="Times New Roman" w:hAnsi="Times New Roman" w:cs="Times New Roman"/>
              <w:lang w:val="en-GB"/>
            </w:rPr>
            <w:t>1.3 Passenger Forecast: Coach USA</w:t>
          </w:r>
          <w:r>
            <w:tab/>
          </w:r>
          <w:r>
            <w:fldChar w:fldCharType="begin"/>
          </w:r>
          <w:r>
            <w:instrText xml:space="preserve"> PAGEREF _Toc17148 \h </w:instrText>
          </w:r>
          <w:r>
            <w:fldChar w:fldCharType="separate"/>
          </w:r>
          <w:r>
            <w:t>7</w:t>
          </w:r>
          <w:r>
            <w:fldChar w:fldCharType="end"/>
          </w:r>
          <w:r>
            <w:fldChar w:fldCharType="end"/>
          </w:r>
        </w:p>
        <w:p w14:paraId="5EF5BBAF">
          <w:pPr>
            <w:pStyle w:val="14"/>
            <w:tabs>
              <w:tab w:val="right" w:leader="dot" w:pos="8306"/>
            </w:tabs>
          </w:pPr>
          <w:r>
            <w:fldChar w:fldCharType="begin"/>
          </w:r>
          <w:r>
            <w:instrText xml:space="preserve"> HYPERLINK \l _Toc1900 </w:instrText>
          </w:r>
          <w:r>
            <w:fldChar w:fldCharType="separate"/>
          </w:r>
          <w:r>
            <w:rPr>
              <w:rFonts w:hint="default" w:ascii="Times New Roman" w:hAnsi="Times New Roman" w:cs="Times New Roman"/>
              <w:bCs/>
              <w:szCs w:val="36"/>
            </w:rPr>
            <w:t xml:space="preserve">7. </w:t>
          </w:r>
          <w:r>
            <w:rPr>
              <w:rFonts w:hint="default" w:ascii="Times New Roman" w:hAnsi="Times New Roman" w:cs="Times New Roman"/>
              <w:szCs w:val="36"/>
            </w:rPr>
            <w:t>Busiest Times Forecast (Week, Month, Year)</w:t>
          </w:r>
          <w:r>
            <w:tab/>
          </w:r>
          <w:r>
            <w:fldChar w:fldCharType="begin"/>
          </w:r>
          <w:r>
            <w:instrText xml:space="preserve"> PAGEREF _Toc1900 \h </w:instrText>
          </w:r>
          <w:r>
            <w:fldChar w:fldCharType="separate"/>
          </w:r>
          <w:r>
            <w:t>7</w:t>
          </w:r>
          <w:r>
            <w:fldChar w:fldCharType="end"/>
          </w:r>
          <w:r>
            <w:fldChar w:fldCharType="end"/>
          </w:r>
        </w:p>
        <w:p w14:paraId="6405BA1D">
          <w:pPr>
            <w:pStyle w:val="15"/>
            <w:tabs>
              <w:tab w:val="right" w:leader="dot" w:pos="8306"/>
            </w:tabs>
          </w:pPr>
          <w:r>
            <w:fldChar w:fldCharType="begin"/>
          </w:r>
          <w:r>
            <w:instrText xml:space="preserve"> HYPERLINK \l _Toc17987 </w:instrText>
          </w:r>
          <w:r>
            <w:fldChar w:fldCharType="separate"/>
          </w:r>
          <w:r>
            <w:rPr>
              <w:rFonts w:hint="default" w:ascii="Times New Roman" w:hAnsi="Times New Roman" w:cs="Times New Roman"/>
              <w:bCs/>
              <w:szCs w:val="26"/>
              <w:lang w:val="en-GB"/>
            </w:rPr>
            <w:t xml:space="preserve">1.1 </w:t>
          </w:r>
          <w:r>
            <w:rPr>
              <w:rFonts w:hint="default" w:ascii="Times New Roman" w:hAnsi="Times New Roman" w:cs="Times New Roman"/>
              <w:bCs/>
              <w:szCs w:val="26"/>
            </w:rPr>
            <w:t>Weekly Trends Interpretation</w:t>
          </w:r>
          <w:r>
            <w:tab/>
          </w:r>
          <w:r>
            <w:fldChar w:fldCharType="begin"/>
          </w:r>
          <w:r>
            <w:instrText xml:space="preserve"> PAGEREF _Toc17987 \h </w:instrText>
          </w:r>
          <w:r>
            <w:fldChar w:fldCharType="separate"/>
          </w:r>
          <w:r>
            <w:t>8</w:t>
          </w:r>
          <w:r>
            <w:fldChar w:fldCharType="end"/>
          </w:r>
          <w:r>
            <w:fldChar w:fldCharType="end"/>
          </w:r>
        </w:p>
        <w:p w14:paraId="47998D81">
          <w:pPr>
            <w:pStyle w:val="15"/>
            <w:tabs>
              <w:tab w:val="right" w:leader="dot" w:pos="8306"/>
            </w:tabs>
          </w:pPr>
          <w:r>
            <w:fldChar w:fldCharType="begin"/>
          </w:r>
          <w:r>
            <w:instrText xml:space="preserve"> HYPERLINK \l _Toc5368 </w:instrText>
          </w:r>
          <w:r>
            <w:fldChar w:fldCharType="separate"/>
          </w:r>
          <w:r>
            <w:rPr>
              <w:rFonts w:hint="default" w:ascii="Times New Roman" w:hAnsi="Times New Roman" w:cs="Times New Roman"/>
              <w:bCs/>
              <w:szCs w:val="26"/>
              <w:lang w:val="en-GB"/>
            </w:rPr>
            <w:t xml:space="preserve">1.2 </w:t>
          </w:r>
          <w:r>
            <w:rPr>
              <w:rFonts w:hint="default" w:ascii="Times New Roman" w:hAnsi="Times New Roman" w:cs="Times New Roman"/>
              <w:bCs/>
              <w:szCs w:val="26"/>
            </w:rPr>
            <w:t>Monthly Trends Interpretation</w:t>
          </w:r>
          <w:r>
            <w:tab/>
          </w:r>
          <w:r>
            <w:fldChar w:fldCharType="begin"/>
          </w:r>
          <w:r>
            <w:instrText xml:space="preserve"> PAGEREF _Toc5368 \h </w:instrText>
          </w:r>
          <w:r>
            <w:fldChar w:fldCharType="separate"/>
          </w:r>
          <w:r>
            <w:t>8</w:t>
          </w:r>
          <w:r>
            <w:fldChar w:fldCharType="end"/>
          </w:r>
          <w:r>
            <w:fldChar w:fldCharType="end"/>
          </w:r>
        </w:p>
        <w:p w14:paraId="1F2A46DB">
          <w:pPr>
            <w:pStyle w:val="15"/>
            <w:tabs>
              <w:tab w:val="right" w:leader="dot" w:pos="8306"/>
            </w:tabs>
          </w:pPr>
          <w:r>
            <w:fldChar w:fldCharType="begin"/>
          </w:r>
          <w:r>
            <w:instrText xml:space="preserve"> HYPERLINK \l _Toc14369 </w:instrText>
          </w:r>
          <w:r>
            <w:fldChar w:fldCharType="separate"/>
          </w:r>
          <w:r>
            <w:rPr>
              <w:rFonts w:hint="default" w:ascii="Times New Roman" w:hAnsi="Times New Roman" w:cs="Times New Roman"/>
              <w:bCs/>
              <w:szCs w:val="26"/>
              <w:lang w:val="en-GB"/>
            </w:rPr>
            <w:t xml:space="preserve">1.3 </w:t>
          </w:r>
          <w:r>
            <w:rPr>
              <w:rFonts w:hint="default" w:ascii="Times New Roman" w:hAnsi="Times New Roman" w:cs="Times New Roman"/>
              <w:bCs/>
              <w:szCs w:val="26"/>
            </w:rPr>
            <w:t>Yearly Trends Interpretation</w:t>
          </w:r>
          <w:r>
            <w:tab/>
          </w:r>
          <w:r>
            <w:fldChar w:fldCharType="begin"/>
          </w:r>
          <w:r>
            <w:instrText xml:space="preserve"> PAGEREF _Toc14369 \h </w:instrText>
          </w:r>
          <w:r>
            <w:fldChar w:fldCharType="separate"/>
          </w:r>
          <w:r>
            <w:t>9</w:t>
          </w:r>
          <w:r>
            <w:fldChar w:fldCharType="end"/>
          </w:r>
          <w:r>
            <w:fldChar w:fldCharType="end"/>
          </w:r>
        </w:p>
        <w:p w14:paraId="15396974">
          <w:pPr>
            <w:pStyle w:val="16"/>
            <w:tabs>
              <w:tab w:val="right" w:leader="dot" w:pos="8306"/>
            </w:tabs>
          </w:pPr>
          <w:r>
            <w:fldChar w:fldCharType="begin"/>
          </w:r>
          <w:r>
            <w:instrText xml:space="preserve"> HYPERLINK \l _Toc19960 </w:instrText>
          </w:r>
          <w:r>
            <w:fldChar w:fldCharType="separate"/>
          </w:r>
          <w:r>
            <w:rPr>
              <w:rFonts w:hint="default" w:ascii="Times New Roman" w:hAnsi="Times New Roman" w:cs="Times New Roman"/>
              <w:bCs/>
            </w:rPr>
            <w:t>Peak Periods to Prepare For:</w:t>
          </w:r>
          <w:r>
            <w:tab/>
          </w:r>
          <w:r>
            <w:fldChar w:fldCharType="begin"/>
          </w:r>
          <w:r>
            <w:instrText xml:space="preserve"> PAGEREF _Toc19960 \h </w:instrText>
          </w:r>
          <w:r>
            <w:fldChar w:fldCharType="separate"/>
          </w:r>
          <w:r>
            <w:t>9</w:t>
          </w:r>
          <w:r>
            <w:fldChar w:fldCharType="end"/>
          </w:r>
          <w:r>
            <w:fldChar w:fldCharType="end"/>
          </w:r>
        </w:p>
        <w:p w14:paraId="031627ED">
          <w:pPr>
            <w:pStyle w:val="14"/>
            <w:tabs>
              <w:tab w:val="right" w:leader="dot" w:pos="8306"/>
            </w:tabs>
          </w:pPr>
          <w:r>
            <w:fldChar w:fldCharType="begin"/>
          </w:r>
          <w:r>
            <w:instrText xml:space="preserve"> HYPERLINK \l _Toc18155 </w:instrText>
          </w:r>
          <w:r>
            <w:fldChar w:fldCharType="separate"/>
          </w:r>
          <w:r>
            <w:rPr>
              <w:rFonts w:hint="default" w:ascii="Times New Roman" w:hAnsi="Times New Roman" w:cs="Times New Roman"/>
              <w:bCs/>
              <w:szCs w:val="36"/>
            </w:rPr>
            <w:t xml:space="preserve">8. </w:t>
          </w:r>
          <w:r>
            <w:rPr>
              <w:rFonts w:hint="default" w:ascii="Times New Roman" w:hAnsi="Times New Roman" w:cs="Times New Roman"/>
              <w:szCs w:val="36"/>
            </w:rPr>
            <w:t>Comparison to 2019 (Pre-COVID Baseline)</w:t>
          </w:r>
          <w:r>
            <w:tab/>
          </w:r>
          <w:r>
            <w:fldChar w:fldCharType="begin"/>
          </w:r>
          <w:r>
            <w:instrText xml:space="preserve"> PAGEREF _Toc18155 \h </w:instrText>
          </w:r>
          <w:r>
            <w:fldChar w:fldCharType="separate"/>
          </w:r>
          <w:r>
            <w:t>10</w:t>
          </w:r>
          <w:r>
            <w:fldChar w:fldCharType="end"/>
          </w:r>
          <w:r>
            <w:fldChar w:fldCharType="end"/>
          </w:r>
        </w:p>
        <w:p w14:paraId="0ED3FEC9">
          <w:pPr>
            <w:pStyle w:val="14"/>
            <w:tabs>
              <w:tab w:val="right" w:leader="dot" w:pos="8306"/>
            </w:tabs>
          </w:pPr>
          <w:r>
            <w:fldChar w:fldCharType="begin"/>
          </w:r>
          <w:r>
            <w:instrText xml:space="preserve"> HYPERLINK \l _Toc17249 </w:instrText>
          </w:r>
          <w:r>
            <w:fldChar w:fldCharType="separate"/>
          </w:r>
          <w:r>
            <w:rPr>
              <w:rFonts w:hint="default" w:ascii="Times New Roman" w:hAnsi="Times New Roman" w:eastAsia="Times New Roman" w:cs="Times New Roman"/>
              <w:bCs/>
              <w:szCs w:val="36"/>
            </w:rPr>
            <w:t xml:space="preserve">9. </w:t>
          </w:r>
          <w:r>
            <w:rPr>
              <w:rFonts w:hint="default" w:ascii="Times New Roman" w:hAnsi="Times New Roman" w:eastAsia="SimSun" w:cs="Times New Roman"/>
              <w:bCs/>
              <w:szCs w:val="36"/>
            </w:rPr>
            <w:t>Data Warehouse Design</w:t>
          </w:r>
          <w:r>
            <w:tab/>
          </w:r>
          <w:r>
            <w:fldChar w:fldCharType="begin"/>
          </w:r>
          <w:r>
            <w:instrText xml:space="preserve"> PAGEREF _Toc17249 \h </w:instrText>
          </w:r>
          <w:r>
            <w:fldChar w:fldCharType="separate"/>
          </w:r>
          <w:r>
            <w:t>10</w:t>
          </w:r>
          <w:r>
            <w:fldChar w:fldCharType="end"/>
          </w:r>
          <w:r>
            <w:fldChar w:fldCharType="end"/>
          </w:r>
        </w:p>
        <w:p w14:paraId="6C8E801F">
          <w:pPr>
            <w:pStyle w:val="14"/>
            <w:tabs>
              <w:tab w:val="right" w:leader="dot" w:pos="8306"/>
            </w:tabs>
          </w:pPr>
          <w:r>
            <w:fldChar w:fldCharType="begin"/>
          </w:r>
          <w:r>
            <w:instrText xml:space="preserve"> HYPERLINK \l _Toc5123 </w:instrText>
          </w:r>
          <w:r>
            <w:fldChar w:fldCharType="separate"/>
          </w:r>
          <w:r>
            <w:rPr>
              <w:rFonts w:hint="default" w:ascii="Times New Roman" w:hAnsi="Times New Roman" w:cs="Times New Roman"/>
              <w:bCs/>
              <w:szCs w:val="36"/>
            </w:rPr>
            <w:t>10. Recommendations</w:t>
          </w:r>
          <w:r>
            <w:tab/>
          </w:r>
          <w:r>
            <w:fldChar w:fldCharType="begin"/>
          </w:r>
          <w:r>
            <w:instrText xml:space="preserve"> PAGEREF _Toc5123 \h </w:instrText>
          </w:r>
          <w:r>
            <w:fldChar w:fldCharType="separate"/>
          </w:r>
          <w:r>
            <w:t>12</w:t>
          </w:r>
          <w:r>
            <w:fldChar w:fldCharType="end"/>
          </w:r>
          <w:r>
            <w:fldChar w:fldCharType="end"/>
          </w:r>
        </w:p>
        <w:p w14:paraId="0D9D38B0">
          <w:pPr>
            <w:pStyle w:val="16"/>
            <w:tabs>
              <w:tab w:val="right" w:leader="dot" w:pos="8306"/>
            </w:tabs>
          </w:pPr>
          <w:r>
            <w:fldChar w:fldCharType="begin"/>
          </w:r>
          <w:r>
            <w:instrText xml:space="preserve"> HYPERLINK \l _Toc7228 </w:instrText>
          </w:r>
          <w:r>
            <w:fldChar w:fldCharType="separate"/>
          </w:r>
          <w:r>
            <w:rPr>
              <w:rFonts w:hint="default" w:ascii="Times New Roman" w:hAnsi="Times New Roman" w:cs="Times New Roman"/>
            </w:rPr>
            <w:t>1.</w:t>
          </w:r>
          <w:r>
            <w:rPr>
              <w:rFonts w:hint="default" w:ascii="Times New Roman" w:hAnsi="Times New Roman" w:cs="Times New Roman"/>
              <w:lang w:val="en-GB"/>
            </w:rPr>
            <w:t>1</w:t>
          </w:r>
          <w:r>
            <w:rPr>
              <w:rFonts w:hint="default" w:ascii="Times New Roman" w:hAnsi="Times New Roman" w:cs="Times New Roman"/>
            </w:rPr>
            <w:t xml:space="preserve"> Increase Staging Capacity 2028–2030</w:t>
          </w:r>
          <w:r>
            <w:tab/>
          </w:r>
          <w:r>
            <w:fldChar w:fldCharType="begin"/>
          </w:r>
          <w:r>
            <w:instrText xml:space="preserve"> PAGEREF _Toc7228 \h </w:instrText>
          </w:r>
          <w:r>
            <w:fldChar w:fldCharType="separate"/>
          </w:r>
          <w:r>
            <w:t>12</w:t>
          </w:r>
          <w:r>
            <w:fldChar w:fldCharType="end"/>
          </w:r>
          <w:r>
            <w:fldChar w:fldCharType="end"/>
          </w:r>
        </w:p>
        <w:p w14:paraId="6E3AA8F4">
          <w:pPr>
            <w:pStyle w:val="16"/>
            <w:tabs>
              <w:tab w:val="right" w:leader="dot" w:pos="8306"/>
            </w:tabs>
          </w:pPr>
          <w:r>
            <w:fldChar w:fldCharType="begin"/>
          </w:r>
          <w:r>
            <w:instrText xml:space="preserve"> HYPERLINK \l _Toc28833 </w:instrText>
          </w:r>
          <w:r>
            <w:fldChar w:fldCharType="separate"/>
          </w:r>
          <w:r>
            <w:rPr>
              <w:rFonts w:hint="default" w:ascii="Times New Roman" w:hAnsi="Times New Roman" w:cs="Times New Roman"/>
              <w:bCs/>
              <w:szCs w:val="26"/>
              <w:lang w:val="en-GB"/>
            </w:rPr>
            <w:t>1</w:t>
          </w:r>
          <w:r>
            <w:rPr>
              <w:rFonts w:hint="default" w:ascii="Times New Roman" w:hAnsi="Times New Roman" w:cs="Times New Roman"/>
              <w:bCs/>
              <w:szCs w:val="26"/>
            </w:rPr>
            <w:t>.</w:t>
          </w:r>
          <w:r>
            <w:rPr>
              <w:rFonts w:hint="default" w:ascii="Times New Roman" w:hAnsi="Times New Roman" w:cs="Times New Roman"/>
              <w:bCs/>
              <w:szCs w:val="26"/>
              <w:lang w:val="en-GB"/>
            </w:rPr>
            <w:t>2</w:t>
          </w:r>
          <w:r>
            <w:rPr>
              <w:rFonts w:hint="default" w:ascii="Times New Roman" w:hAnsi="Times New Roman" w:cs="Times New Roman"/>
              <w:bCs/>
              <w:szCs w:val="26"/>
            </w:rPr>
            <w:t xml:space="preserve"> Prioritize High-Growth Carriers</w:t>
          </w:r>
          <w:r>
            <w:tab/>
          </w:r>
          <w:r>
            <w:fldChar w:fldCharType="begin"/>
          </w:r>
          <w:r>
            <w:instrText xml:space="preserve"> PAGEREF _Toc28833 \h </w:instrText>
          </w:r>
          <w:r>
            <w:fldChar w:fldCharType="separate"/>
          </w:r>
          <w:r>
            <w:t>12</w:t>
          </w:r>
          <w:r>
            <w:fldChar w:fldCharType="end"/>
          </w:r>
          <w:r>
            <w:fldChar w:fldCharType="end"/>
          </w:r>
        </w:p>
        <w:p w14:paraId="11D19DB6">
          <w:pPr>
            <w:pStyle w:val="16"/>
            <w:tabs>
              <w:tab w:val="right" w:leader="dot" w:pos="8306"/>
            </w:tabs>
          </w:pPr>
          <w:r>
            <w:fldChar w:fldCharType="begin"/>
          </w:r>
          <w:r>
            <w:instrText xml:space="preserve"> HYPERLINK \l _Toc23026 </w:instrText>
          </w:r>
          <w:r>
            <w:fldChar w:fldCharType="separate"/>
          </w:r>
          <w:r>
            <w:rPr>
              <w:rFonts w:hint="default" w:ascii="Times New Roman" w:hAnsi="Times New Roman" w:cs="Times New Roman"/>
              <w:bCs/>
              <w:szCs w:val="26"/>
              <w:lang w:val="en-GB"/>
            </w:rPr>
            <w:t xml:space="preserve">1.3 </w:t>
          </w:r>
          <w:r>
            <w:rPr>
              <w:rFonts w:hint="default" w:ascii="Times New Roman" w:hAnsi="Times New Roman" w:cs="Times New Roman"/>
              <w:bCs/>
              <w:szCs w:val="26"/>
            </w:rPr>
            <w:t>Staff for Seasonal and Holiday Peaks</w:t>
          </w:r>
          <w:r>
            <w:tab/>
          </w:r>
          <w:r>
            <w:fldChar w:fldCharType="begin"/>
          </w:r>
          <w:r>
            <w:instrText xml:space="preserve"> PAGEREF _Toc23026 \h </w:instrText>
          </w:r>
          <w:r>
            <w:fldChar w:fldCharType="separate"/>
          </w:r>
          <w:r>
            <w:t>12</w:t>
          </w:r>
          <w:r>
            <w:fldChar w:fldCharType="end"/>
          </w:r>
          <w:r>
            <w:fldChar w:fldCharType="end"/>
          </w:r>
        </w:p>
        <w:p w14:paraId="371C3796">
          <w:pPr>
            <w:pStyle w:val="16"/>
            <w:tabs>
              <w:tab w:val="right" w:leader="dot" w:pos="8306"/>
            </w:tabs>
          </w:pPr>
          <w:r>
            <w:fldChar w:fldCharType="begin"/>
          </w:r>
          <w:r>
            <w:instrText xml:space="preserve"> HYPERLINK \l _Toc8556 </w:instrText>
          </w:r>
          <w:r>
            <w:fldChar w:fldCharType="separate"/>
          </w:r>
          <w:r>
            <w:rPr>
              <w:rFonts w:hint="default" w:ascii="Times New Roman" w:hAnsi="Times New Roman" w:cs="Times New Roman"/>
              <w:bCs/>
              <w:szCs w:val="26"/>
              <w:lang w:val="en-GB"/>
            </w:rPr>
            <w:t>1.4</w:t>
          </w:r>
          <w:r>
            <w:rPr>
              <w:rFonts w:hint="default" w:ascii="Times New Roman" w:hAnsi="Times New Roman" w:cs="Times New Roman"/>
              <w:bCs/>
              <w:szCs w:val="26"/>
            </w:rPr>
            <w:t xml:space="preserve"> Continue Monitoring External Factors</w:t>
          </w:r>
          <w:r>
            <w:tab/>
          </w:r>
          <w:r>
            <w:fldChar w:fldCharType="begin"/>
          </w:r>
          <w:r>
            <w:instrText xml:space="preserve"> PAGEREF _Toc8556 \h </w:instrText>
          </w:r>
          <w:r>
            <w:fldChar w:fldCharType="separate"/>
          </w:r>
          <w:r>
            <w:t>12</w:t>
          </w:r>
          <w:r>
            <w:fldChar w:fldCharType="end"/>
          </w:r>
          <w:r>
            <w:fldChar w:fldCharType="end"/>
          </w:r>
        </w:p>
        <w:p w14:paraId="66065C8A">
          <w:pPr>
            <w:pStyle w:val="14"/>
            <w:tabs>
              <w:tab w:val="right" w:leader="dot" w:pos="8306"/>
            </w:tabs>
          </w:pPr>
          <w:r>
            <w:fldChar w:fldCharType="begin"/>
          </w:r>
          <w:r>
            <w:instrText xml:space="preserve"> HYPERLINK \l _Toc23527 </w:instrText>
          </w:r>
          <w:r>
            <w:fldChar w:fldCharType="separate"/>
          </w:r>
          <w:r>
            <w:rPr>
              <w:rFonts w:hint="default" w:ascii="Times New Roman" w:hAnsi="Times New Roman" w:cs="Times New Roman"/>
              <w:bCs/>
              <w:szCs w:val="36"/>
            </w:rPr>
            <w:t>11. Conclusion</w:t>
          </w:r>
          <w:r>
            <w:tab/>
          </w:r>
          <w:r>
            <w:fldChar w:fldCharType="begin"/>
          </w:r>
          <w:r>
            <w:instrText xml:space="preserve"> PAGEREF _Toc23527 \h </w:instrText>
          </w:r>
          <w:r>
            <w:fldChar w:fldCharType="separate"/>
          </w:r>
          <w:r>
            <w:t>12</w:t>
          </w:r>
          <w:r>
            <w:fldChar w:fldCharType="end"/>
          </w:r>
          <w:r>
            <w:fldChar w:fldCharType="end"/>
          </w:r>
        </w:p>
        <w:p w14:paraId="7B8A1D9A">
          <w:pPr>
            <w:pStyle w:val="14"/>
            <w:tabs>
              <w:tab w:val="right" w:leader="dot" w:pos="8306"/>
            </w:tabs>
          </w:pPr>
          <w:r>
            <w:fldChar w:fldCharType="begin"/>
          </w:r>
          <w:r>
            <w:instrText xml:space="preserve"> HYPERLINK \l _Toc26668 </w:instrText>
          </w:r>
          <w:r>
            <w:fldChar w:fldCharType="separate"/>
          </w:r>
          <w:r>
            <w:rPr>
              <w:rFonts w:hint="default" w:cs="Times New Roman"/>
              <w:bCs/>
              <w:szCs w:val="36"/>
              <w:lang w:val="en-GB"/>
            </w:rPr>
            <w:t>12. References</w:t>
          </w:r>
          <w:r>
            <w:tab/>
          </w:r>
          <w:r>
            <w:fldChar w:fldCharType="begin"/>
          </w:r>
          <w:r>
            <w:instrText xml:space="preserve"> PAGEREF _Toc26668 \h </w:instrText>
          </w:r>
          <w:r>
            <w:fldChar w:fldCharType="separate"/>
          </w:r>
          <w:r>
            <w:t>14</w:t>
          </w:r>
          <w:r>
            <w:fldChar w:fldCharType="end"/>
          </w:r>
          <w:r>
            <w:fldChar w:fldCharType="end"/>
          </w:r>
        </w:p>
        <w:p w14:paraId="44B2B67A">
          <w:r>
            <w:fldChar w:fldCharType="end"/>
          </w:r>
        </w:p>
      </w:sdtContent>
    </w:sdt>
    <w:p w14:paraId="3C5B72BC"/>
    <w:p w14:paraId="3D1BF9BE">
      <w:pPr>
        <w:rPr>
          <w:rStyle w:val="12"/>
          <w:rFonts w:hint="default" w:ascii="Times New Roman" w:hAnsi="Times New Roman" w:cs="Times New Roman"/>
          <w:sz w:val="36"/>
          <w:szCs w:val="36"/>
        </w:rPr>
      </w:pPr>
      <w:r>
        <w:rPr>
          <w:rStyle w:val="12"/>
          <w:rFonts w:hint="default" w:ascii="Times New Roman" w:hAnsi="Times New Roman" w:cs="Times New Roman"/>
          <w:sz w:val="36"/>
          <w:szCs w:val="36"/>
        </w:rPr>
        <w:br w:type="page"/>
      </w:r>
    </w:p>
    <w:p w14:paraId="20603617">
      <w:pPr>
        <w:rPr>
          <w:rStyle w:val="12"/>
          <w:rFonts w:hint="default" w:ascii="Times New Roman" w:hAnsi="Times New Roman" w:cs="Times New Roman"/>
          <w:sz w:val="36"/>
          <w:szCs w:val="36"/>
        </w:rPr>
      </w:pPr>
    </w:p>
    <w:p w14:paraId="68A981BD">
      <w:pPr>
        <w:pStyle w:val="2"/>
        <w:keepNext w:val="0"/>
        <w:keepLines w:val="0"/>
        <w:widowControl/>
        <w:numPr>
          <w:ilvl w:val="0"/>
          <w:numId w:val="1"/>
        </w:numPr>
        <w:suppressLineNumbers w:val="0"/>
        <w:rPr>
          <w:rFonts w:hint="default" w:ascii="Times New Roman" w:hAnsi="Times New Roman" w:cs="Times New Roman"/>
          <w:sz w:val="36"/>
          <w:szCs w:val="36"/>
        </w:rPr>
      </w:pPr>
      <w:bookmarkStart w:id="1" w:name="_Toc12922"/>
      <w:r>
        <w:rPr>
          <w:rStyle w:val="12"/>
          <w:rFonts w:hint="default" w:ascii="Times New Roman" w:hAnsi="Times New Roman" w:cs="Times New Roman"/>
          <w:b/>
          <w:bCs/>
          <w:sz w:val="36"/>
          <w:szCs w:val="36"/>
        </w:rPr>
        <w:t>Executive Summary</w:t>
      </w:r>
      <w:bookmarkEnd w:id="1"/>
    </w:p>
    <w:p w14:paraId="7D5F061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analyzes historical ridership data from a major metropolitan bus terminal to generate forecasts, determine key ridership drivers, compare current usage with pre-pandemic patterns, and design a scalable data warehouse. The primary objective is to support the Port Authority’s operational planning for temporary staging facilities that will be in place from 2026 through 2030. Using forecasting models, Python analytics, and Power BI visualizations, we developed detailed projections of ridership at terminal-wide and carrier-level granularity. Furthermore, the project includes a dimensional data warehouse optimized for reporting and machine-learning workloads and concludes with a GitHub repository hosting the project's final outputs.</w:t>
      </w:r>
    </w:p>
    <w:p w14:paraId="05C932FF">
      <w:pPr>
        <w:keepNext w:val="0"/>
        <w:keepLines w:val="0"/>
        <w:widowControl/>
        <w:suppressLineNumbers w:val="0"/>
        <w:rPr>
          <w:rFonts w:hint="default" w:ascii="Times New Roman" w:hAnsi="Times New Roman" w:cs="Times New Roman"/>
        </w:rPr>
      </w:pPr>
    </w:p>
    <w:p w14:paraId="60DC7681">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36"/>
          <w:szCs w:val="36"/>
        </w:rPr>
      </w:pPr>
      <w:bookmarkStart w:id="2" w:name="_Toc20864"/>
      <w:r>
        <w:rPr>
          <w:rStyle w:val="12"/>
          <w:rFonts w:hint="default" w:ascii="Times New Roman" w:hAnsi="Times New Roman" w:cs="Times New Roman"/>
          <w:b/>
          <w:bCs/>
          <w:sz w:val="36"/>
          <w:szCs w:val="36"/>
        </w:rPr>
        <w:t>Introduction</w:t>
      </w:r>
      <w:bookmarkEnd w:id="2"/>
    </w:p>
    <w:p w14:paraId="04E4C24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Public transportation ridership is influenced by seasonal patterns, economic trends, service frequency, and external factors such as holidays, special events, and fuel prices. In anticipation of major terminal reconstruction and planned staging facilities, understanding future ridership demand is crucial. The goal of this project is to quantify ridership expectations from 2026–2030, determine when peak loads will occur, analyze differences from pre-COVID baselines, and build a data warehouse to support ongoing analytics.</w:t>
      </w:r>
    </w:p>
    <w:p w14:paraId="22A672B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analysis was conducted in Python, SQL (Snowflake), and Power BI, with rigorous cleaning, feature engineering, forecasting, and visualization. Outputs include forecasting plots, carrier-level breakdowns, temporal analyses, and a GitHub repository consolidating all materials.</w:t>
      </w:r>
    </w:p>
    <w:p w14:paraId="3B42D1AD">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36"/>
          <w:szCs w:val="36"/>
        </w:rPr>
      </w:pPr>
      <w:bookmarkStart w:id="3" w:name="_Toc28126"/>
      <w:r>
        <w:rPr>
          <w:rStyle w:val="12"/>
          <w:rFonts w:hint="default" w:ascii="Times New Roman" w:hAnsi="Times New Roman" w:cs="Times New Roman"/>
          <w:b/>
          <w:bCs/>
          <w:sz w:val="36"/>
          <w:szCs w:val="36"/>
        </w:rPr>
        <w:t>Dataset Overview</w:t>
      </w:r>
      <w:bookmarkEnd w:id="3"/>
    </w:p>
    <w:p w14:paraId="564E4629">
      <w:pPr>
        <w:pStyle w:val="11"/>
        <w:keepNext w:val="0"/>
        <w:keepLines w:val="0"/>
        <w:widowControl/>
        <w:suppressLineNumbers w:val="0"/>
      </w:pPr>
      <w:r>
        <w:t>The cleaned dataset used for this analysis includes the following critical fields necessary for ridership forecasting and</w:t>
      </w:r>
      <w:r>
        <w:rPr>
          <w:rFonts w:hint="default"/>
          <w:lang w:val="en-GB"/>
        </w:rPr>
        <w:t xml:space="preserve"> Power</w:t>
      </w:r>
      <w:r>
        <w:t xml:space="preserve"> BI analytics:</w:t>
      </w:r>
    </w:p>
    <w:p w14:paraId="2B2F06C4">
      <w:pPr>
        <w:pStyle w:val="11"/>
        <w:keepNext w:val="0"/>
        <w:keepLines w:val="0"/>
        <w:widowControl/>
        <w:numPr>
          <w:ilvl w:val="0"/>
          <w:numId w:val="2"/>
        </w:numPr>
        <w:suppressLineNumbers w:val="0"/>
        <w:ind w:left="420" w:leftChars="0" w:hanging="420" w:firstLineChars="0"/>
        <w:rPr>
          <w:b w:val="0"/>
          <w:bCs w:val="0"/>
        </w:rPr>
      </w:pPr>
      <w:r>
        <w:rPr>
          <w:rStyle w:val="12"/>
          <w:b w:val="0"/>
          <w:bCs w:val="0"/>
        </w:rPr>
        <w:t>FULL_DATE</w:t>
      </w:r>
      <w:r>
        <w:rPr>
          <w:b w:val="0"/>
          <w:bCs w:val="0"/>
        </w:rPr>
        <w:t xml:space="preserve"> – full calendar date</w:t>
      </w:r>
    </w:p>
    <w:p w14:paraId="3566368F">
      <w:pPr>
        <w:pStyle w:val="11"/>
        <w:keepNext w:val="0"/>
        <w:keepLines w:val="0"/>
        <w:widowControl/>
        <w:numPr>
          <w:ilvl w:val="0"/>
          <w:numId w:val="2"/>
        </w:numPr>
        <w:suppressLineNumbers w:val="0"/>
        <w:ind w:left="420" w:leftChars="0" w:hanging="420" w:firstLineChars="0"/>
        <w:rPr>
          <w:b w:val="0"/>
          <w:bCs w:val="0"/>
        </w:rPr>
      </w:pPr>
      <w:r>
        <w:rPr>
          <w:rStyle w:val="12"/>
          <w:b w:val="0"/>
          <w:bCs w:val="0"/>
        </w:rPr>
        <w:t>YEAR</w:t>
      </w:r>
      <w:r>
        <w:rPr>
          <w:b w:val="0"/>
          <w:bCs w:val="0"/>
        </w:rPr>
        <w:t xml:space="preserve">, </w:t>
      </w:r>
      <w:r>
        <w:rPr>
          <w:rStyle w:val="12"/>
          <w:b w:val="0"/>
          <w:bCs w:val="0"/>
        </w:rPr>
        <w:t>WEEK_NUMBER</w:t>
      </w:r>
      <w:r>
        <w:rPr>
          <w:b w:val="0"/>
          <w:bCs w:val="0"/>
        </w:rPr>
        <w:t xml:space="preserve">, </w:t>
      </w:r>
      <w:r>
        <w:rPr>
          <w:rStyle w:val="12"/>
          <w:b w:val="0"/>
          <w:bCs w:val="0"/>
        </w:rPr>
        <w:t>MONTH</w:t>
      </w:r>
      <w:r>
        <w:rPr>
          <w:b w:val="0"/>
          <w:bCs w:val="0"/>
        </w:rPr>
        <w:t xml:space="preserve"> – time-based fields</w:t>
      </w:r>
    </w:p>
    <w:p w14:paraId="0A6A39E4">
      <w:pPr>
        <w:pStyle w:val="11"/>
        <w:keepNext w:val="0"/>
        <w:keepLines w:val="0"/>
        <w:widowControl/>
        <w:numPr>
          <w:ilvl w:val="0"/>
          <w:numId w:val="2"/>
        </w:numPr>
        <w:suppressLineNumbers w:val="0"/>
        <w:ind w:left="420" w:leftChars="0" w:hanging="420" w:firstLineChars="0"/>
        <w:rPr>
          <w:b w:val="0"/>
          <w:bCs w:val="0"/>
        </w:rPr>
      </w:pPr>
      <w:r>
        <w:rPr>
          <w:rStyle w:val="12"/>
          <w:b w:val="0"/>
          <w:bCs w:val="0"/>
        </w:rPr>
        <w:t>PASSENGERS</w:t>
      </w:r>
      <w:r>
        <w:rPr>
          <w:b w:val="0"/>
          <w:bCs w:val="0"/>
        </w:rPr>
        <w:t xml:space="preserve"> – number of passengers per record</w:t>
      </w:r>
    </w:p>
    <w:p w14:paraId="37DF4A73">
      <w:pPr>
        <w:pStyle w:val="11"/>
        <w:keepNext w:val="0"/>
        <w:keepLines w:val="0"/>
        <w:widowControl/>
        <w:numPr>
          <w:ilvl w:val="0"/>
          <w:numId w:val="2"/>
        </w:numPr>
        <w:suppressLineNumbers w:val="0"/>
        <w:ind w:left="420" w:leftChars="0" w:hanging="420" w:firstLineChars="0"/>
        <w:rPr>
          <w:b w:val="0"/>
          <w:bCs w:val="0"/>
        </w:rPr>
      </w:pPr>
      <w:r>
        <w:rPr>
          <w:rStyle w:val="12"/>
          <w:b w:val="0"/>
          <w:bCs w:val="0"/>
        </w:rPr>
        <w:t>CARRIER</w:t>
      </w:r>
      <w:r>
        <w:rPr>
          <w:b w:val="0"/>
          <w:bCs w:val="0"/>
        </w:rPr>
        <w:t xml:space="preserve"> – operator responsible for service</w:t>
      </w:r>
    </w:p>
    <w:p w14:paraId="6549CF4E">
      <w:pPr>
        <w:pStyle w:val="11"/>
        <w:keepNext w:val="0"/>
        <w:keepLines w:val="0"/>
        <w:widowControl/>
        <w:numPr>
          <w:ilvl w:val="0"/>
          <w:numId w:val="2"/>
        </w:numPr>
        <w:suppressLineNumbers w:val="0"/>
        <w:ind w:left="420" w:leftChars="0" w:hanging="420" w:firstLineChars="0"/>
        <w:rPr>
          <w:b w:val="0"/>
          <w:bCs w:val="0"/>
        </w:rPr>
      </w:pPr>
      <w:r>
        <w:rPr>
          <w:rStyle w:val="12"/>
          <w:b w:val="0"/>
          <w:bCs w:val="0"/>
        </w:rPr>
        <w:t>SERVICE_TYPE</w:t>
      </w:r>
      <w:r>
        <w:rPr>
          <w:b w:val="0"/>
          <w:bCs w:val="0"/>
        </w:rPr>
        <w:t xml:space="preserve"> – commuter, express, local bus, etc.</w:t>
      </w:r>
    </w:p>
    <w:p w14:paraId="1C478215">
      <w:pPr>
        <w:pStyle w:val="11"/>
        <w:keepNext w:val="0"/>
        <w:keepLines w:val="0"/>
        <w:widowControl/>
        <w:numPr>
          <w:ilvl w:val="0"/>
          <w:numId w:val="2"/>
        </w:numPr>
        <w:suppressLineNumbers w:val="0"/>
        <w:ind w:left="420" w:leftChars="0" w:hanging="420" w:firstLineChars="0"/>
        <w:rPr>
          <w:b w:val="0"/>
          <w:bCs w:val="0"/>
        </w:rPr>
      </w:pPr>
      <w:r>
        <w:rPr>
          <w:rStyle w:val="12"/>
          <w:b w:val="0"/>
          <w:bCs w:val="0"/>
        </w:rPr>
        <w:t>DEPARTURES</w:t>
      </w:r>
      <w:r>
        <w:rPr>
          <w:b w:val="0"/>
          <w:bCs w:val="0"/>
        </w:rPr>
        <w:t xml:space="preserve"> – number of bus departures</w:t>
      </w:r>
    </w:p>
    <w:p w14:paraId="7C62CE54">
      <w:pPr>
        <w:pStyle w:val="11"/>
        <w:keepNext w:val="0"/>
        <w:keepLines w:val="0"/>
        <w:widowControl/>
        <w:numPr>
          <w:ilvl w:val="0"/>
          <w:numId w:val="2"/>
        </w:numPr>
        <w:suppressLineNumbers w:val="0"/>
        <w:ind w:left="420" w:leftChars="0" w:hanging="420" w:firstLineChars="0"/>
        <w:rPr>
          <w:b w:val="0"/>
          <w:bCs w:val="0"/>
        </w:rPr>
      </w:pPr>
      <w:r>
        <w:rPr>
          <w:rStyle w:val="12"/>
          <w:b w:val="0"/>
          <w:bCs w:val="0"/>
        </w:rPr>
        <w:t>PERCENT_OF_2019</w:t>
      </w:r>
      <w:r>
        <w:rPr>
          <w:b w:val="0"/>
          <w:bCs w:val="0"/>
        </w:rPr>
        <w:t xml:space="preserve"> – normalized ridership metric comparing to pre-COVID levels</w:t>
      </w:r>
    </w:p>
    <w:p w14:paraId="004989BE">
      <w:pPr>
        <w:pStyle w:val="11"/>
        <w:keepNext w:val="0"/>
        <w:keepLines w:val="0"/>
        <w:widowControl/>
        <w:numPr>
          <w:ilvl w:val="0"/>
          <w:numId w:val="2"/>
        </w:numPr>
        <w:suppressLineNumbers w:val="0"/>
        <w:ind w:left="420" w:leftChars="0" w:hanging="420" w:firstLineChars="0"/>
        <w:rPr>
          <w:b w:val="0"/>
          <w:bCs w:val="0"/>
        </w:rPr>
      </w:pPr>
      <w:r>
        <w:rPr>
          <w:rStyle w:val="12"/>
          <w:b w:val="0"/>
          <w:bCs w:val="0"/>
        </w:rPr>
        <w:t>FUEL_PRICE</w:t>
      </w:r>
      <w:r>
        <w:rPr>
          <w:b w:val="0"/>
          <w:bCs w:val="0"/>
        </w:rPr>
        <w:t xml:space="preserve">, </w:t>
      </w:r>
      <w:r>
        <w:rPr>
          <w:rStyle w:val="12"/>
          <w:b w:val="0"/>
          <w:bCs w:val="0"/>
        </w:rPr>
        <w:t>HOLIDAY_FLAG</w:t>
      </w:r>
      <w:r>
        <w:rPr>
          <w:b w:val="0"/>
          <w:bCs w:val="0"/>
        </w:rPr>
        <w:t xml:space="preserve"> – external factors that may influence demand</w:t>
      </w:r>
    </w:p>
    <w:p w14:paraId="6B2A7FEB">
      <w:pPr>
        <w:pStyle w:val="11"/>
        <w:keepNext w:val="0"/>
        <w:keepLines w:val="0"/>
        <w:widowControl/>
        <w:suppressLineNumbers w:val="0"/>
      </w:pPr>
      <w:r>
        <w:t>The data was cleaned for missing values, normalized where necessary, and validated before the forecasting and modeling phases.</w:t>
      </w:r>
    </w:p>
    <w:p w14:paraId="3DAEB677">
      <w:pPr>
        <w:pStyle w:val="2"/>
        <w:numPr>
          <w:ilvl w:val="0"/>
          <w:numId w:val="1"/>
        </w:numPr>
        <w:bidi w:val="0"/>
        <w:rPr>
          <w:rFonts w:hint="default" w:ascii="Times New Roman" w:hAnsi="Times New Roman" w:cs="Times New Roman"/>
        </w:rPr>
      </w:pPr>
      <w:r>
        <w:rPr>
          <w:rFonts w:hint="default" w:ascii="Times New Roman" w:hAnsi="Times New Roman" w:cs="Times New Roman"/>
        </w:rPr>
        <w:t xml:space="preserve"> </w:t>
      </w:r>
      <w:bookmarkStart w:id="4" w:name="_Toc7715"/>
      <w:r>
        <w:rPr>
          <w:rFonts w:hint="default" w:ascii="Times New Roman" w:hAnsi="Times New Roman" w:eastAsia="SimSun" w:cs="Times New Roman"/>
          <w:sz w:val="36"/>
          <w:szCs w:val="36"/>
        </w:rPr>
        <w:t>Ridership Forecast (2026–2030)</w:t>
      </w:r>
      <w:bookmarkEnd w:id="4"/>
    </w:p>
    <w:p w14:paraId="14837932">
      <w:pPr>
        <w:pStyle w:val="11"/>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first objective of this project is to forecast the number of passengers expected to use the Port Authority Bus Terminal between 2026 and 2030. These projections are essential because the Port Authority will be constructing temporary staging facilities, and accurate estimates of future passenger demand will determine the required capacity, staffing, scheduling, and operational planning for these facilities. Using historical passenger counts, we developed a time-series forecasting model to predict future usage patterns and quantify expected growth over the five-year horizon.</w:t>
      </w:r>
    </w:p>
    <w:p w14:paraId="7140526C">
      <w:pPr>
        <w:pStyle w:val="11"/>
        <w:keepNext w:val="0"/>
        <w:keepLines w:val="0"/>
        <w:widowControl/>
        <w:suppressLineNumbers w:val="0"/>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drawing>
          <wp:inline distT="0" distB="0" distL="114300" distR="114300">
            <wp:extent cx="5266690" cy="2194560"/>
            <wp:effectExtent l="0" t="0" r="10160" b="15240"/>
            <wp:docPr id="5" name="Picture 5" descr="monthly_forecast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nthly_forecast_plot"/>
                    <pic:cNvPicPr>
                      <a:picLocks noChangeAspect="1"/>
                    </pic:cNvPicPr>
                  </pic:nvPicPr>
                  <pic:blipFill>
                    <a:blip r:embed="rId5"/>
                    <a:stretch>
                      <a:fillRect/>
                    </a:stretch>
                  </pic:blipFill>
                  <pic:spPr>
                    <a:xfrm>
                      <a:off x="0" y="0"/>
                      <a:ext cx="5266690" cy="2194560"/>
                    </a:xfrm>
                    <a:prstGeom prst="rect">
                      <a:avLst/>
                    </a:prstGeom>
                  </pic:spPr>
                </pic:pic>
              </a:graphicData>
            </a:graphic>
          </wp:inline>
        </w:drawing>
      </w:r>
    </w:p>
    <w:p w14:paraId="1A3BA9A1">
      <w:pPr>
        <w:pStyle w:val="11"/>
        <w:keepNext w:val="0"/>
        <w:keepLines w:val="0"/>
        <w:widowControl/>
        <w:suppressLineNumbers w:val="0"/>
        <w:rPr>
          <w:rFonts w:hint="default" w:ascii="Times New Roman" w:hAnsi="Times New Roman" w:eastAsia="SimSun" w:cs="Times New Roman"/>
          <w:sz w:val="24"/>
          <w:szCs w:val="24"/>
          <w:lang w:val="en-GB"/>
        </w:rPr>
      </w:pPr>
    </w:p>
    <w:p w14:paraId="6D51874E">
      <w:pPr>
        <w:pStyle w:val="11"/>
        <w:keepNext w:val="0"/>
        <w:keepLines w:val="0"/>
        <w:widowControl/>
        <w:suppressLineNumbers w:val="0"/>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drawing>
          <wp:inline distT="0" distB="0" distL="114300" distR="114300">
            <wp:extent cx="5274310" cy="2637155"/>
            <wp:effectExtent l="0" t="0" r="2540" b="10795"/>
            <wp:docPr id="6" name="Picture 6" descr="yearly_forecast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yearly_forecast_plot"/>
                    <pic:cNvPicPr>
                      <a:picLocks noChangeAspect="1"/>
                    </pic:cNvPicPr>
                  </pic:nvPicPr>
                  <pic:blipFill>
                    <a:blip r:embed="rId6"/>
                    <a:stretch>
                      <a:fillRect/>
                    </a:stretch>
                  </pic:blipFill>
                  <pic:spPr>
                    <a:xfrm>
                      <a:off x="0" y="0"/>
                      <a:ext cx="5274310" cy="2637155"/>
                    </a:xfrm>
                    <a:prstGeom prst="rect">
                      <a:avLst/>
                    </a:prstGeom>
                  </pic:spPr>
                </pic:pic>
              </a:graphicData>
            </a:graphic>
          </wp:inline>
        </w:drawing>
      </w:r>
    </w:p>
    <w:p w14:paraId="2568BDCB">
      <w:pPr>
        <w:pStyle w:val="11"/>
        <w:keepNext w:val="0"/>
        <w:keepLines w:val="0"/>
        <w:widowControl/>
        <w:suppressLineNumbers w:val="0"/>
        <w:rPr>
          <w:rFonts w:hint="default" w:ascii="Times New Roman" w:hAnsi="Times New Roman" w:eastAsia="SimSun" w:cs="Times New Roman"/>
          <w:sz w:val="24"/>
          <w:szCs w:val="24"/>
        </w:rPr>
      </w:pPr>
    </w:p>
    <w:p w14:paraId="68ECA229">
      <w:pPr>
        <w:pStyle w:val="11"/>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numerical forecast results generated by the model show a clear and consistent upward trend in projected passenger volume from 2026 through 2030. In 2026, the terminal is expected to serve approximat</w:t>
      </w:r>
      <w:r>
        <w:rPr>
          <w:rFonts w:hint="default" w:ascii="Times New Roman" w:hAnsi="Times New Roman" w:eastAsia="SimSun" w:cs="Times New Roman"/>
          <w:b w:val="0"/>
          <w:bCs w:val="0"/>
          <w:sz w:val="24"/>
          <w:szCs w:val="24"/>
        </w:rPr>
        <w:t xml:space="preserve">ely </w:t>
      </w:r>
      <w:r>
        <w:rPr>
          <w:rStyle w:val="12"/>
          <w:rFonts w:hint="default" w:ascii="Times New Roman" w:hAnsi="Times New Roman" w:eastAsia="SimSun" w:cs="Times New Roman"/>
          <w:b w:val="0"/>
          <w:bCs w:val="0"/>
          <w:sz w:val="24"/>
          <w:szCs w:val="24"/>
        </w:rPr>
        <w:t>44.7 million passengers</w:t>
      </w:r>
      <w:r>
        <w:rPr>
          <w:rFonts w:hint="default" w:ascii="Times New Roman" w:hAnsi="Times New Roman" w:eastAsia="SimSun" w:cs="Times New Roman"/>
          <w:b w:val="0"/>
          <w:bCs w:val="0"/>
          <w:sz w:val="24"/>
          <w:szCs w:val="24"/>
        </w:rPr>
        <w:t xml:space="preserve">, increasing to </w:t>
      </w:r>
      <w:r>
        <w:rPr>
          <w:rStyle w:val="12"/>
          <w:rFonts w:hint="default" w:ascii="Times New Roman" w:hAnsi="Times New Roman" w:eastAsia="SimSun" w:cs="Times New Roman"/>
          <w:b w:val="0"/>
          <w:bCs w:val="0"/>
          <w:sz w:val="24"/>
          <w:szCs w:val="24"/>
        </w:rPr>
        <w:t>52.1 million in 2027</w:t>
      </w:r>
      <w:r>
        <w:rPr>
          <w:rFonts w:hint="default" w:ascii="Times New Roman" w:hAnsi="Times New Roman" w:eastAsia="SimSun" w:cs="Times New Roman"/>
          <w:b w:val="0"/>
          <w:bCs w:val="0"/>
          <w:sz w:val="24"/>
          <w:szCs w:val="24"/>
        </w:rPr>
        <w:t xml:space="preserve">, </w:t>
      </w:r>
      <w:r>
        <w:rPr>
          <w:rStyle w:val="12"/>
          <w:rFonts w:hint="default" w:ascii="Times New Roman" w:hAnsi="Times New Roman" w:eastAsia="SimSun" w:cs="Times New Roman"/>
          <w:b w:val="0"/>
          <w:bCs w:val="0"/>
          <w:sz w:val="24"/>
          <w:szCs w:val="24"/>
        </w:rPr>
        <w:t>59.5 million in 2028</w:t>
      </w:r>
      <w:r>
        <w:rPr>
          <w:rFonts w:hint="default" w:ascii="Times New Roman" w:hAnsi="Times New Roman" w:eastAsia="SimSun" w:cs="Times New Roman"/>
          <w:b w:val="0"/>
          <w:bCs w:val="0"/>
          <w:sz w:val="24"/>
          <w:szCs w:val="24"/>
        </w:rPr>
        <w:t xml:space="preserve">, and </w:t>
      </w:r>
      <w:r>
        <w:rPr>
          <w:rStyle w:val="12"/>
          <w:rFonts w:hint="default" w:ascii="Times New Roman" w:hAnsi="Times New Roman" w:eastAsia="SimSun" w:cs="Times New Roman"/>
          <w:b w:val="0"/>
          <w:bCs w:val="0"/>
          <w:sz w:val="24"/>
          <w:szCs w:val="24"/>
        </w:rPr>
        <w:t>66.9 million in 2029</w:t>
      </w:r>
      <w:r>
        <w:rPr>
          <w:rFonts w:hint="default" w:ascii="Times New Roman" w:hAnsi="Times New Roman" w:eastAsia="SimSun" w:cs="Times New Roman"/>
          <w:b w:val="0"/>
          <w:bCs w:val="0"/>
          <w:sz w:val="24"/>
          <w:szCs w:val="24"/>
        </w:rPr>
        <w:t xml:space="preserve">. By 2030, annual ridership is projected to reach </w:t>
      </w:r>
      <w:r>
        <w:rPr>
          <w:rStyle w:val="12"/>
          <w:rFonts w:hint="default" w:ascii="Times New Roman" w:hAnsi="Times New Roman" w:eastAsia="SimSun" w:cs="Times New Roman"/>
          <w:b w:val="0"/>
          <w:bCs w:val="0"/>
          <w:sz w:val="24"/>
          <w:szCs w:val="24"/>
        </w:rPr>
        <w:t>74.3 million passengers</w:t>
      </w:r>
      <w:r>
        <w:rPr>
          <w:rFonts w:hint="default" w:ascii="Times New Roman" w:hAnsi="Times New Roman" w:eastAsia="SimSun" w:cs="Times New Roman"/>
          <w:b w:val="0"/>
          <w:bCs w:val="0"/>
          <w:sz w:val="24"/>
          <w:szCs w:val="24"/>
        </w:rPr>
        <w:t xml:space="preserve">. The extremely narrow confidence intervals around each prediction indicate high model </w:t>
      </w:r>
      <w:r>
        <w:rPr>
          <w:rFonts w:hint="default" w:ascii="Times New Roman" w:hAnsi="Times New Roman" w:eastAsia="SimSun" w:cs="Times New Roman"/>
          <w:sz w:val="24"/>
          <w:szCs w:val="24"/>
        </w:rPr>
        <w:t>stability and strong confidence in the forecasted values. Overall, the Excel forecast results confirm robust year-over-year growth, underscoring the need for scalable and flexible temporary staging facilities capable of handling increasing passenger volumes over the next five years.</w:t>
      </w:r>
    </w:p>
    <w:p w14:paraId="09DB558B">
      <w:pPr>
        <w:pStyle w:val="11"/>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rPr>
        <w:drawing>
          <wp:inline distT="0" distB="0" distL="114300" distR="114300">
            <wp:extent cx="3767455" cy="1447800"/>
            <wp:effectExtent l="0" t="0" r="444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3767455" cy="1447800"/>
                    </a:xfrm>
                    <a:prstGeom prst="rect">
                      <a:avLst/>
                    </a:prstGeom>
                    <a:noFill/>
                    <a:ln>
                      <a:noFill/>
                    </a:ln>
                  </pic:spPr>
                </pic:pic>
              </a:graphicData>
            </a:graphic>
          </wp:inline>
        </w:drawing>
      </w:r>
    </w:p>
    <w:p w14:paraId="70C2B9A5">
      <w:pPr>
        <w:pStyle w:val="2"/>
        <w:numPr>
          <w:ilvl w:val="0"/>
          <w:numId w:val="1"/>
        </w:numPr>
        <w:bidi w:val="0"/>
        <w:rPr>
          <w:rFonts w:hint="default" w:ascii="Times New Roman" w:hAnsi="Times New Roman" w:cs="Times New Roman"/>
          <w:sz w:val="36"/>
          <w:szCs w:val="36"/>
        </w:rPr>
      </w:pPr>
      <w:bookmarkStart w:id="5" w:name="_Toc26664"/>
      <w:r>
        <w:rPr>
          <w:rFonts w:hint="default" w:ascii="Times New Roman" w:hAnsi="Times New Roman" w:cs="Times New Roman"/>
          <w:sz w:val="36"/>
          <w:szCs w:val="36"/>
        </w:rPr>
        <w:t>Key Predictive Factors</w:t>
      </w:r>
      <w:bookmarkEnd w:id="5"/>
    </w:p>
    <w:p w14:paraId="7AC6CCD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To determine the most important factors that drive passenger volume at the bus terminal, we analyzed the cleaned dataset using a supervised machine-learning approach. The model was trained to predict total monthly passengers and then evaluated using feature-importance metrics that quantify how much each variable contributes to the prediction. This analysis provides the Port Authority with a clear understanding of which operational, temporal, and carrier-related factors have the greatest impact on ridership trends.</w:t>
      </w:r>
    </w:p>
    <w:p w14:paraId="25BCFD67">
      <w:pPr>
        <w:pStyle w:val="11"/>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The results show t</w:t>
      </w:r>
      <w:r>
        <w:rPr>
          <w:rFonts w:hint="default" w:ascii="Times New Roman" w:hAnsi="Times New Roman" w:cs="Times New Roman"/>
          <w:b w:val="0"/>
          <w:bCs w:val="0"/>
        </w:rPr>
        <w:t xml:space="preserve">hat </w:t>
      </w:r>
      <w:r>
        <w:rPr>
          <w:rStyle w:val="12"/>
          <w:rFonts w:hint="default" w:ascii="Times New Roman" w:hAnsi="Times New Roman" w:cs="Times New Roman"/>
          <w:b w:val="0"/>
          <w:bCs w:val="0"/>
        </w:rPr>
        <w:t>time-based factors</w:t>
      </w:r>
      <w:r>
        <w:rPr>
          <w:rFonts w:hint="default" w:ascii="Times New Roman" w:hAnsi="Times New Roman" w:cs="Times New Roman"/>
          <w:b w:val="0"/>
          <w:bCs w:val="0"/>
        </w:rPr>
        <w:t xml:space="preserve"> are the strongest predictors of passenger activity. Specifically, </w:t>
      </w:r>
      <w:r>
        <w:rPr>
          <w:rStyle w:val="12"/>
          <w:rFonts w:hint="default" w:ascii="Times New Roman" w:hAnsi="Times New Roman" w:cs="Times New Roman"/>
          <w:b w:val="0"/>
          <w:bCs w:val="0"/>
        </w:rPr>
        <w:t>month</w:t>
      </w:r>
      <w:r>
        <w:rPr>
          <w:rFonts w:hint="default" w:ascii="Times New Roman" w:hAnsi="Times New Roman" w:cs="Times New Roman"/>
          <w:b w:val="0"/>
          <w:bCs w:val="0"/>
        </w:rPr>
        <w:t xml:space="preserve">, </w:t>
      </w:r>
      <w:r>
        <w:rPr>
          <w:rStyle w:val="12"/>
          <w:rFonts w:hint="default" w:ascii="Times New Roman" w:hAnsi="Times New Roman" w:cs="Times New Roman"/>
          <w:b w:val="0"/>
          <w:bCs w:val="0"/>
        </w:rPr>
        <w:t>day of week</w:t>
      </w:r>
      <w:r>
        <w:rPr>
          <w:rFonts w:hint="default" w:ascii="Times New Roman" w:hAnsi="Times New Roman" w:cs="Times New Roman"/>
          <w:b w:val="0"/>
          <w:bCs w:val="0"/>
        </w:rPr>
        <w:t xml:space="preserve">, and </w:t>
      </w:r>
      <w:r>
        <w:rPr>
          <w:rStyle w:val="12"/>
          <w:rFonts w:hint="default" w:ascii="Times New Roman" w:hAnsi="Times New Roman" w:cs="Times New Roman"/>
          <w:b w:val="0"/>
          <w:bCs w:val="0"/>
        </w:rPr>
        <w:t>season</w:t>
      </w:r>
      <w:r>
        <w:rPr>
          <w:rFonts w:hint="default" w:ascii="Times New Roman" w:hAnsi="Times New Roman" w:cs="Times New Roman"/>
          <w:b w:val="0"/>
          <w:bCs w:val="0"/>
        </w:rPr>
        <w:t xml:space="preserve"> consistently ranked at the top of the importance list, reflecting strong recurring patterns in commuter behavior, holidays, weather cycles, and tourism peaks. Passenger volumes tend to rise sharply during summer months and major travel periods, while winter months typically show lower demand, making these temporal variables essential for forecasting.</w:t>
      </w:r>
    </w:p>
    <w:p w14:paraId="4B444D3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A second major group of predictors comes from </w:t>
      </w:r>
      <w:r>
        <w:rPr>
          <w:rStyle w:val="12"/>
          <w:rFonts w:hint="default" w:ascii="Times New Roman" w:hAnsi="Times New Roman" w:cs="Times New Roman"/>
          <w:b w:val="0"/>
          <w:bCs w:val="0"/>
        </w:rPr>
        <w:t>carrier-related activity</w:t>
      </w:r>
      <w:r>
        <w:rPr>
          <w:rFonts w:hint="default" w:ascii="Times New Roman" w:hAnsi="Times New Roman" w:cs="Times New Roman"/>
          <w:b w:val="0"/>
          <w:bCs w:val="0"/>
        </w:rPr>
        <w:t xml:space="preserve">, including </w:t>
      </w:r>
      <w:r>
        <w:rPr>
          <w:rStyle w:val="12"/>
          <w:rFonts w:hint="default" w:ascii="Times New Roman" w:hAnsi="Times New Roman" w:cs="Times New Roman"/>
          <w:b w:val="0"/>
          <w:bCs w:val="0"/>
        </w:rPr>
        <w:t>total scheduled trips</w:t>
      </w:r>
      <w:r>
        <w:rPr>
          <w:rFonts w:hint="default" w:ascii="Times New Roman" w:hAnsi="Times New Roman" w:cs="Times New Roman"/>
          <w:b w:val="0"/>
          <w:bCs w:val="0"/>
        </w:rPr>
        <w:t xml:space="preserve">, </w:t>
      </w:r>
      <w:r>
        <w:rPr>
          <w:rStyle w:val="12"/>
          <w:rFonts w:hint="default" w:ascii="Times New Roman" w:hAnsi="Times New Roman" w:cs="Times New Roman"/>
          <w:b w:val="0"/>
          <w:bCs w:val="0"/>
        </w:rPr>
        <w:t>number of active carriers</w:t>
      </w:r>
      <w:r>
        <w:rPr>
          <w:rFonts w:hint="default" w:ascii="Times New Roman" w:hAnsi="Times New Roman" w:cs="Times New Roman"/>
          <w:b w:val="0"/>
          <w:bCs w:val="0"/>
        </w:rPr>
        <w:t xml:space="preserve">, and </w:t>
      </w:r>
      <w:r>
        <w:rPr>
          <w:rStyle w:val="12"/>
          <w:rFonts w:hint="default" w:ascii="Times New Roman" w:hAnsi="Times New Roman" w:cs="Times New Roman"/>
          <w:b w:val="0"/>
          <w:bCs w:val="0"/>
        </w:rPr>
        <w:t>carrier-specific passenger counts</w:t>
      </w:r>
      <w:r>
        <w:rPr>
          <w:rFonts w:hint="default" w:ascii="Times New Roman" w:hAnsi="Times New Roman" w:cs="Times New Roman"/>
          <w:b w:val="0"/>
          <w:bCs w:val="0"/>
        </w:rPr>
        <w:t>. Carriers with high-frequency service contribute disproportionately to the terminal’s total demand, meaning fluctuations in their schedules or performance strongly influence overall ridersh</w:t>
      </w:r>
      <w:r>
        <w:rPr>
          <w:rFonts w:hint="default" w:ascii="Times New Roman" w:hAnsi="Times New Roman" w:cs="Times New Roman"/>
        </w:rPr>
        <w:t>ip. This demonstrates that operational planning, route availability, and carrier service levels significantly shape daily and monthly passenger flow.</w:t>
      </w:r>
    </w:p>
    <w:p w14:paraId="04A963C0">
      <w:pPr>
        <w:pStyle w:val="11"/>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 xml:space="preserve">Finally, </w:t>
      </w:r>
      <w:r>
        <w:rPr>
          <w:rStyle w:val="12"/>
          <w:rFonts w:hint="default" w:ascii="Times New Roman" w:hAnsi="Times New Roman" w:cs="Times New Roman"/>
          <w:b w:val="0"/>
          <w:bCs w:val="0"/>
        </w:rPr>
        <w:t>external demand indicators</w:t>
      </w:r>
      <w:r>
        <w:rPr>
          <w:rFonts w:hint="default" w:ascii="Times New Roman" w:hAnsi="Times New Roman" w:cs="Times New Roman"/>
          <w:b w:val="0"/>
          <w:bCs w:val="0"/>
        </w:rPr>
        <w:t>, such as annual trends and year-over-year growth, also play an important role. These variables capture long-term recovery from the COVID-19 pandemic and the broader regional transportation demand patterns. Their importance confirms that passenger volume is not random but part of a sustained multi-year upward trend.</w:t>
      </w:r>
    </w:p>
    <w:p w14:paraId="44FA0D1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Overall, the most influential predictors of passenger volume are </w:t>
      </w:r>
      <w:r>
        <w:rPr>
          <w:rStyle w:val="12"/>
          <w:rFonts w:hint="default" w:ascii="Times New Roman" w:hAnsi="Times New Roman" w:cs="Times New Roman"/>
          <w:b w:val="0"/>
          <w:bCs w:val="0"/>
        </w:rPr>
        <w:t>time-based patterns</w:t>
      </w:r>
      <w:r>
        <w:rPr>
          <w:rFonts w:hint="default" w:ascii="Times New Roman" w:hAnsi="Times New Roman" w:cs="Times New Roman"/>
          <w:b w:val="0"/>
          <w:bCs w:val="0"/>
        </w:rPr>
        <w:t xml:space="preserve">, </w:t>
      </w:r>
      <w:r>
        <w:rPr>
          <w:rStyle w:val="12"/>
          <w:rFonts w:hint="default" w:ascii="Times New Roman" w:hAnsi="Times New Roman" w:cs="Times New Roman"/>
          <w:b w:val="0"/>
          <w:bCs w:val="0"/>
        </w:rPr>
        <w:t>carrier activity levels</w:t>
      </w:r>
      <w:r>
        <w:rPr>
          <w:rFonts w:hint="default" w:ascii="Times New Roman" w:hAnsi="Times New Roman" w:cs="Times New Roman"/>
          <w:b w:val="0"/>
          <w:bCs w:val="0"/>
        </w:rPr>
        <w:t xml:space="preserve">, and </w:t>
      </w:r>
      <w:r>
        <w:rPr>
          <w:rStyle w:val="12"/>
          <w:rFonts w:hint="default" w:ascii="Times New Roman" w:hAnsi="Times New Roman" w:cs="Times New Roman"/>
          <w:b w:val="0"/>
          <w:bCs w:val="0"/>
        </w:rPr>
        <w:t>long-term demand trends</w:t>
      </w:r>
      <w:r>
        <w:rPr>
          <w:rFonts w:hint="default" w:ascii="Times New Roman" w:hAnsi="Times New Roman" w:cs="Times New Roman"/>
          <w:b w:val="0"/>
          <w:bCs w:val="0"/>
        </w:rPr>
        <w:t xml:space="preserve">. Understanding these factors </w:t>
      </w:r>
      <w:r>
        <w:rPr>
          <w:rFonts w:hint="default" w:ascii="Times New Roman" w:hAnsi="Times New Roman" w:cs="Times New Roman"/>
        </w:rPr>
        <w:t>allows the Port Authority to anticipate peak periods more accurately, optimize resource allocation, and support data-driven decisions for facility design, staffing, and operational planning.</w:t>
      </w:r>
    </w:p>
    <w:p w14:paraId="054A9615">
      <w:pPr>
        <w:pStyle w:val="11"/>
        <w:keepNext w:val="0"/>
        <w:keepLines w:val="0"/>
        <w:widowControl/>
        <w:suppressLineNumbers w:val="0"/>
        <w:rPr>
          <w:rFonts w:hint="default" w:ascii="Times New Roman" w:hAnsi="Times New Roman" w:cs="Times New Roman"/>
        </w:rPr>
      </w:pPr>
    </w:p>
    <w:p w14:paraId="742D2A3D">
      <w:pPr>
        <w:keepNext w:val="0"/>
        <w:keepLines w:val="0"/>
        <w:widowControl/>
        <w:suppressLineNumbers w:val="0"/>
        <w:rPr>
          <w:rFonts w:hint="default" w:ascii="Times New Roman" w:hAnsi="Times New Roman" w:cs="Times New Roman"/>
        </w:rPr>
      </w:pPr>
    </w:p>
    <w:p w14:paraId="4D2C4D5F">
      <w:pPr>
        <w:pStyle w:val="2"/>
        <w:numPr>
          <w:ilvl w:val="0"/>
          <w:numId w:val="1"/>
        </w:numPr>
        <w:bidi w:val="0"/>
        <w:rPr>
          <w:rFonts w:hint="default" w:ascii="Times New Roman" w:hAnsi="Times New Roman" w:cs="Times New Roman"/>
          <w:sz w:val="36"/>
          <w:szCs w:val="36"/>
        </w:rPr>
      </w:pPr>
      <w:bookmarkStart w:id="6" w:name="_Toc30920"/>
      <w:r>
        <w:rPr>
          <w:rFonts w:hint="default" w:ascii="Times New Roman" w:hAnsi="Times New Roman" w:cs="Times New Roman"/>
          <w:sz w:val="36"/>
          <w:szCs w:val="36"/>
        </w:rPr>
        <w:t>Carrier-Level Predictions</w:t>
      </w:r>
      <w:bookmarkEnd w:id="6"/>
    </w:p>
    <w:p w14:paraId="2C514D56">
      <w:pPr>
        <w:pStyle w:val="4"/>
        <w:numPr>
          <w:ilvl w:val="1"/>
          <w:numId w:val="3"/>
        </w:numPr>
        <w:bidi w:val="0"/>
        <w:rPr>
          <w:rFonts w:hint="default" w:ascii="Times New Roman" w:hAnsi="Times New Roman" w:cs="Times New Roman"/>
        </w:rPr>
      </w:pPr>
      <w:bookmarkStart w:id="7" w:name="_Toc15695"/>
      <w:r>
        <w:rPr>
          <w:rFonts w:hint="default" w:ascii="Times New Roman" w:hAnsi="Times New Roman" w:cs="Times New Roman"/>
        </w:rPr>
        <w:t>Introduction to Carrier-Level Forecasting</w:t>
      </w:r>
      <w:bookmarkEnd w:id="7"/>
    </w:p>
    <w:p w14:paraId="517CDFD0">
      <w:pPr>
        <w:pStyle w:val="11"/>
        <w:keepNext w:val="0"/>
        <w:keepLines w:val="0"/>
        <w:widowControl/>
        <w:numPr>
          <w:ilvl w:val="0"/>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t>To extend the forecasting analysis beyond total passenger counts, we developed separate predictive models for each carrier operating within the bus terminal. This approach allows us to understand how ridership growth will differ across service providers, which is essential for allocating staging space, scheduling platform availability, and planning operational resources. Using monthly aggregated passenger totals from the cleaned dataset, we fit time-series models to each carrier’s historical data and then projected their expected passenger volumes through the 2026–2030 planning horizon. This method produces individualized forecasts that reflect each carrier’s unique service patterns, demand cycles, and ridership recovery trajectories.</w:t>
      </w:r>
    </w:p>
    <w:p w14:paraId="161A71AF">
      <w:pPr>
        <w:pStyle w:val="4"/>
        <w:bidi w:val="0"/>
        <w:rPr>
          <w:rFonts w:hint="default" w:ascii="Times New Roman" w:hAnsi="Times New Roman" w:cs="Times New Roman"/>
          <w:lang w:val="en-GB"/>
        </w:rPr>
      </w:pPr>
      <w:bookmarkStart w:id="8" w:name="_Toc1334"/>
      <w:r>
        <w:rPr>
          <w:rFonts w:hint="default" w:ascii="Times New Roman" w:hAnsi="Times New Roman" w:cs="Times New Roman"/>
          <w:lang w:val="en-GB"/>
        </w:rPr>
        <w:t>1.2 Passenger Forecast: Academy Bus</w:t>
      </w:r>
      <w:bookmarkEnd w:id="8"/>
    </w:p>
    <w:p w14:paraId="4D0846B7">
      <w:pPr>
        <w:pStyle w:val="11"/>
        <w:keepNext w:val="0"/>
        <w:keepLines w:val="0"/>
        <w:widowControl/>
        <w:suppressLineNumbers w:val="0"/>
        <w:rPr>
          <w:rFonts w:hint="default" w:ascii="Times New Roman" w:hAnsi="Times New Roman" w:cs="Times New Roman"/>
        </w:rPr>
      </w:pPr>
      <w:r>
        <w:drawing>
          <wp:inline distT="0" distB="0" distL="114300" distR="114300">
            <wp:extent cx="2983230" cy="1477010"/>
            <wp:effectExtent l="0" t="0" r="7620" b="889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8"/>
                    <a:stretch>
                      <a:fillRect/>
                    </a:stretch>
                  </pic:blipFill>
                  <pic:spPr>
                    <a:xfrm>
                      <a:off x="0" y="0"/>
                      <a:ext cx="2983230" cy="147701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rPr>
        <w:t xml:space="preserve">The first forecast plot, representing </w:t>
      </w:r>
      <w:r>
        <w:rPr>
          <w:rStyle w:val="7"/>
          <w:rFonts w:hint="default" w:ascii="Times New Roman" w:hAnsi="Times New Roman" w:cs="Times New Roman"/>
        </w:rPr>
        <w:t>Academy Bus</w:t>
      </w:r>
      <w:r>
        <w:rPr>
          <w:rFonts w:hint="default" w:ascii="Times New Roman" w:hAnsi="Times New Roman" w:cs="Times New Roman"/>
        </w:rPr>
        <w:t>, shows a stable historical pattern followed by a pronounced upward projection extending through the end of the decade. Historically, Academy has maintained consistent ridership with modest monthly fluctuations tied to commuter seasons. However, the forecast curve indicates accelerated growth beginning in 2026, reflecting both post-pandemic recovery and increased demand along Academy’s commuter corridors. The smooth trajectory of the model suggests highly predictable monthly patterns, making Academy one of the more stable carriers in terms of future planning. This implies that staging resources allocated to Academy should scale gradually but consistently over the next five years.</w:t>
      </w:r>
    </w:p>
    <w:p w14:paraId="24D990F7">
      <w:pPr>
        <w:pStyle w:val="11"/>
        <w:keepNext w:val="0"/>
        <w:keepLines w:val="0"/>
        <w:widowControl/>
        <w:suppressLineNumbers w:val="0"/>
        <w:rPr>
          <w:rFonts w:hint="default" w:ascii="Times New Roman" w:hAnsi="Times New Roman" w:cs="Times New Roman"/>
        </w:rPr>
      </w:pPr>
    </w:p>
    <w:p w14:paraId="52D50291">
      <w:pPr>
        <w:pStyle w:val="11"/>
        <w:keepNext w:val="0"/>
        <w:keepLines w:val="0"/>
        <w:widowControl/>
        <w:suppressLineNumbers w:val="0"/>
        <w:rPr>
          <w:rFonts w:hint="default" w:ascii="Times New Roman" w:hAnsi="Times New Roman" w:cs="Times New Roman"/>
        </w:rPr>
      </w:pPr>
    </w:p>
    <w:p w14:paraId="0CBC9954">
      <w:pPr>
        <w:pStyle w:val="11"/>
        <w:keepNext w:val="0"/>
        <w:keepLines w:val="0"/>
        <w:widowControl/>
        <w:suppressLineNumbers w:val="0"/>
        <w:rPr>
          <w:rFonts w:hint="default" w:ascii="Times New Roman" w:hAnsi="Times New Roman" w:cs="Times New Roman"/>
        </w:rPr>
      </w:pPr>
    </w:p>
    <w:p w14:paraId="0275A1D6">
      <w:pPr>
        <w:pStyle w:val="11"/>
        <w:keepNext w:val="0"/>
        <w:keepLines w:val="0"/>
        <w:widowControl/>
        <w:suppressLineNumbers w:val="0"/>
        <w:rPr>
          <w:rFonts w:hint="default" w:ascii="Times New Roman" w:hAnsi="Times New Roman" w:cs="Times New Roman"/>
        </w:rPr>
      </w:pPr>
    </w:p>
    <w:p w14:paraId="7ABA2B51">
      <w:pPr>
        <w:pStyle w:val="11"/>
        <w:keepNext w:val="0"/>
        <w:keepLines w:val="0"/>
        <w:widowControl/>
        <w:suppressLineNumbers w:val="0"/>
        <w:rPr>
          <w:rFonts w:hint="default" w:cs="Times New Roman"/>
          <w:b/>
          <w:bCs/>
          <w:lang w:val="en-GB"/>
        </w:rPr>
      </w:pPr>
    </w:p>
    <w:p w14:paraId="0687DFEC">
      <w:pPr>
        <w:pStyle w:val="4"/>
        <w:bidi w:val="0"/>
        <w:rPr>
          <w:rFonts w:hint="default" w:ascii="Times New Roman" w:hAnsi="Times New Roman" w:cs="Times New Roman"/>
          <w:lang w:val="en-GB"/>
        </w:rPr>
      </w:pPr>
      <w:bookmarkStart w:id="9" w:name="_Toc17148"/>
      <w:r>
        <w:rPr>
          <w:rFonts w:hint="default" w:ascii="Times New Roman" w:hAnsi="Times New Roman" w:cs="Times New Roman"/>
          <w:lang w:val="en-GB"/>
        </w:rPr>
        <w:t>1.3 Passenger Forecast: Coach USA</w:t>
      </w:r>
      <w:bookmarkEnd w:id="9"/>
    </w:p>
    <w:p w14:paraId="7463BC66">
      <w:pPr>
        <w:pStyle w:val="11"/>
        <w:keepNext w:val="0"/>
        <w:keepLines w:val="0"/>
        <w:widowControl/>
        <w:suppressLineNumbers w:val="0"/>
        <w:rPr>
          <w:rFonts w:hint="default" w:ascii="Times New Roman" w:hAnsi="Times New Roman" w:cs="Times New Roman"/>
        </w:rPr>
      </w:pPr>
      <w:r>
        <w:drawing>
          <wp:inline distT="0" distB="0" distL="114300" distR="114300">
            <wp:extent cx="4441190" cy="2177415"/>
            <wp:effectExtent l="0" t="0" r="16510" b="1333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9"/>
                    <a:stretch>
                      <a:fillRect/>
                    </a:stretch>
                  </pic:blipFill>
                  <pic:spPr>
                    <a:xfrm>
                      <a:off x="0" y="0"/>
                      <a:ext cx="4441190" cy="217741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rPr>
        <w:t xml:space="preserve">The second plot, covering </w:t>
      </w:r>
      <w:r>
        <w:rPr>
          <w:rStyle w:val="7"/>
          <w:rFonts w:hint="default" w:ascii="Times New Roman" w:hAnsi="Times New Roman" w:cs="Times New Roman"/>
        </w:rPr>
        <w:t>Coach USA</w:t>
      </w:r>
      <w:r>
        <w:rPr>
          <w:rFonts w:hint="default" w:ascii="Times New Roman" w:hAnsi="Times New Roman" w:cs="Times New Roman"/>
        </w:rPr>
        <w:t>, displays a similar seasonal structure but with visibly larger historical peaks compared to other commuter carriers. Coach USA’s forecasted trend shows strong growth with steeper increases than Academy, indicating that Coach USA is expected to contribute a greater share of the terminal’s total passenger expansion between 2026 and 2030. The model captures Coach USA’s higher volatility but still projects a clear upward trajectory, suggesting increased commuter demand and higher service utilization. For operational planning, this means Coach USA will likely require expanded staging capacity sooner than lower-volume carriers to manage the larger passenger influx predicted in the late 2020s.</w:t>
      </w:r>
    </w:p>
    <w:p w14:paraId="70752A72">
      <w:pPr>
        <w:pStyle w:val="11"/>
        <w:keepNext w:val="0"/>
        <w:keepLines w:val="0"/>
        <w:widowControl/>
        <w:suppressLineNumbers w:val="0"/>
        <w:rPr>
          <w:rFonts w:hint="default" w:ascii="Times New Roman" w:hAnsi="Times New Roman" w:cs="Times New Roman"/>
        </w:rPr>
      </w:pPr>
      <w:r>
        <w:rPr>
          <w:rStyle w:val="22"/>
          <w:rFonts w:hint="default" w:ascii="Times New Roman" w:hAnsi="Times New Roman" w:cs="Times New Roman"/>
          <w:lang w:val="en-GB"/>
        </w:rPr>
        <w:t xml:space="preserve">1.4 </w:t>
      </w:r>
      <w:r>
        <w:rPr>
          <w:rStyle w:val="22"/>
          <w:rFonts w:hint="default" w:ascii="Times New Roman" w:hAnsi="Times New Roman" w:cs="Times New Roman"/>
        </w:rPr>
        <w:t>Summary</w:t>
      </w:r>
      <w:r>
        <w:rPr>
          <w:rStyle w:val="22"/>
          <w:rFonts w:hint="default" w:ascii="Times New Roman" w:hAnsi="Times New Roman" w:cs="Times New Roman"/>
        </w:rPr>
        <w:br w:type="textWrapping"/>
      </w:r>
      <w:r>
        <w:rPr>
          <w:rFonts w:hint="default" w:ascii="Times New Roman" w:hAnsi="Times New Roman" w:cs="Times New Roman"/>
        </w:rPr>
        <w:t>Across all carriers modeled, the forecasts consistently show rising passenger volumes throughout the 2026–2030 period, with the magnitude of growth varying significantly by carrier. High-frequency commuter operators such as Coach USA and Academy Bus exhibit the strongest upward trends, while some intercity carriers show more moderate increases. These carrier-specific predictions are crucial for ensuring that temporary staging facilities are designed to handle uneven growth across service providers. By understanding which carriers are expected to generate the greatest demand, the Port Authority can develop targeted operational strategies, allocate space more efficiently, and ensure that platform capacity aligns with projected ridership levels during the facility construction period.</w:t>
      </w:r>
    </w:p>
    <w:p w14:paraId="4905C2D5">
      <w:pPr>
        <w:pStyle w:val="11"/>
        <w:keepNext w:val="0"/>
        <w:keepLines w:val="0"/>
        <w:widowControl/>
        <w:suppressLineNumbers w:val="0"/>
        <w:rPr>
          <w:rFonts w:hint="default" w:ascii="Times New Roman" w:hAnsi="Times New Roman" w:cs="Times New Roman"/>
        </w:rPr>
      </w:pPr>
    </w:p>
    <w:p w14:paraId="7B6F8199">
      <w:pPr>
        <w:keepNext w:val="0"/>
        <w:keepLines w:val="0"/>
        <w:widowControl/>
        <w:suppressLineNumbers w:val="0"/>
        <w:rPr>
          <w:rFonts w:hint="default" w:ascii="Times New Roman" w:hAnsi="Times New Roman" w:cs="Times New Roman"/>
        </w:rPr>
      </w:pPr>
    </w:p>
    <w:p w14:paraId="7AB8DFFF">
      <w:pPr>
        <w:pStyle w:val="2"/>
        <w:numPr>
          <w:ilvl w:val="0"/>
          <w:numId w:val="1"/>
        </w:numPr>
        <w:bidi w:val="0"/>
        <w:rPr>
          <w:rFonts w:hint="default" w:ascii="Times New Roman" w:hAnsi="Times New Roman" w:cs="Times New Roman"/>
          <w:sz w:val="36"/>
          <w:szCs w:val="36"/>
        </w:rPr>
      </w:pPr>
      <w:bookmarkStart w:id="10" w:name="_Toc1900"/>
      <w:r>
        <w:rPr>
          <w:rFonts w:hint="default" w:ascii="Times New Roman" w:hAnsi="Times New Roman" w:cs="Times New Roman"/>
          <w:sz w:val="36"/>
          <w:szCs w:val="36"/>
        </w:rPr>
        <w:t>Busiest Times Forecast (Week, Month, Year)</w:t>
      </w:r>
      <w:bookmarkEnd w:id="10"/>
    </w:p>
    <w:p w14:paraId="69B7DEA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To determine the busiest times for the bus terminal staging facilities between 2026 and 2030, we first analyzed historical passenger traffic patterns. Historical seasonality is one of the strongest indicators of future demand, especially for transportation systems where human mobility patterns are largely cyclical. By extracting weekly, monthly, and yearly trends from the existing dataset, we can project the recurring high-traffic periods that the staging facilities should be prepared for during the 2026–2030 window.</w:t>
      </w:r>
    </w:p>
    <w:p w14:paraId="41F97E8A">
      <w:pPr>
        <w:keepNext w:val="0"/>
        <w:keepLines w:val="0"/>
        <w:widowControl/>
        <w:suppressLineNumbers w:val="0"/>
        <w:rPr>
          <w:rFonts w:hint="default" w:ascii="Times New Roman" w:hAnsi="Times New Roman" w:cs="Times New Roman"/>
        </w:rPr>
      </w:pPr>
    </w:p>
    <w:p w14:paraId="00FC2B6C">
      <w:pPr>
        <w:pStyle w:val="3"/>
        <w:keepNext w:val="0"/>
        <w:keepLines w:val="0"/>
        <w:widowControl/>
        <w:suppressLineNumbers w:val="0"/>
        <w:rPr>
          <w:rFonts w:hint="default" w:ascii="Times New Roman" w:hAnsi="Times New Roman" w:cs="Times New Roman"/>
          <w:sz w:val="26"/>
          <w:szCs w:val="26"/>
        </w:rPr>
      </w:pPr>
      <w:bookmarkStart w:id="11" w:name="_Toc17987"/>
      <w:r>
        <w:rPr>
          <w:rStyle w:val="12"/>
          <w:rFonts w:hint="default" w:ascii="Times New Roman" w:hAnsi="Times New Roman" w:cs="Times New Roman"/>
          <w:b/>
          <w:bCs/>
          <w:sz w:val="26"/>
          <w:szCs w:val="26"/>
          <w:lang w:val="en-GB"/>
        </w:rPr>
        <w:t xml:space="preserve">1.1 </w:t>
      </w:r>
      <w:r>
        <w:rPr>
          <w:rStyle w:val="12"/>
          <w:rFonts w:hint="default" w:ascii="Times New Roman" w:hAnsi="Times New Roman" w:cs="Times New Roman"/>
          <w:b/>
          <w:bCs/>
          <w:sz w:val="26"/>
          <w:szCs w:val="26"/>
        </w:rPr>
        <w:t>Weekly Trends Interpretation</w:t>
      </w:r>
      <w:bookmarkEnd w:id="11"/>
    </w:p>
    <w:p w14:paraId="53EB22C5">
      <w:pPr>
        <w:pStyle w:val="11"/>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The weekly visualization reve</w:t>
      </w:r>
      <w:r>
        <w:rPr>
          <w:rFonts w:hint="default" w:ascii="Times New Roman" w:hAnsi="Times New Roman" w:cs="Times New Roman"/>
          <w:b w:val="0"/>
          <w:bCs w:val="0"/>
        </w:rPr>
        <w:t xml:space="preserve">als sharp spikes in passenger traffic around </w:t>
      </w:r>
      <w:r>
        <w:rPr>
          <w:rStyle w:val="12"/>
          <w:rFonts w:hint="default" w:ascii="Times New Roman" w:hAnsi="Times New Roman" w:cs="Times New Roman"/>
          <w:b w:val="0"/>
          <w:bCs w:val="0"/>
        </w:rPr>
        <w:t>weeks 28–32</w:t>
      </w:r>
      <w:r>
        <w:rPr>
          <w:rFonts w:hint="default" w:ascii="Times New Roman" w:hAnsi="Times New Roman" w:cs="Times New Roman"/>
          <w:b w:val="0"/>
          <w:bCs w:val="0"/>
        </w:rPr>
        <w:t xml:space="preserve">, which correspond to the </w:t>
      </w:r>
      <w:r>
        <w:rPr>
          <w:rStyle w:val="12"/>
          <w:rFonts w:hint="default" w:ascii="Times New Roman" w:hAnsi="Times New Roman" w:cs="Times New Roman"/>
          <w:b w:val="0"/>
          <w:bCs w:val="0"/>
        </w:rPr>
        <w:t>mid-summer peak</w:t>
      </w:r>
      <w:r>
        <w:rPr>
          <w:rFonts w:hint="default" w:ascii="Times New Roman" w:hAnsi="Times New Roman" w:cs="Times New Roman"/>
          <w:b w:val="0"/>
          <w:bCs w:val="0"/>
        </w:rPr>
        <w:t xml:space="preserve">. This is typically associated with increased travel during summer vacations and higher tourism volumes. Additionally, weeks near the end of the year (weeks </w:t>
      </w:r>
      <w:r>
        <w:rPr>
          <w:rStyle w:val="12"/>
          <w:rFonts w:hint="default" w:ascii="Times New Roman" w:hAnsi="Times New Roman" w:cs="Times New Roman"/>
          <w:b w:val="0"/>
          <w:bCs w:val="0"/>
        </w:rPr>
        <w:t>47–52</w:t>
      </w:r>
      <w:r>
        <w:rPr>
          <w:rFonts w:hint="default" w:ascii="Times New Roman" w:hAnsi="Times New Roman" w:cs="Times New Roman"/>
          <w:b w:val="0"/>
          <w:bCs w:val="0"/>
        </w:rPr>
        <w:t xml:space="preserve">) also show elevated activity, which aligns with holiday travel patterns such as Thanksgiving, Christmas, and New Year. The early weeks (weeks 1–3) show unusually high values due to alignment with the start of the dataset but trend lower afterward. These patterns suggest that </w:t>
      </w:r>
      <w:r>
        <w:rPr>
          <w:rStyle w:val="12"/>
          <w:rFonts w:hint="default" w:ascii="Times New Roman" w:hAnsi="Times New Roman" w:cs="Times New Roman"/>
          <w:b w:val="0"/>
          <w:bCs w:val="0"/>
        </w:rPr>
        <w:t>summer and end-of-year holiday periods will continue to be the busiest weekly windows from 2026 to 2030</w:t>
      </w:r>
      <w:r>
        <w:rPr>
          <w:rFonts w:hint="default" w:ascii="Times New Roman" w:hAnsi="Times New Roman" w:cs="Times New Roman"/>
          <w:b w:val="0"/>
          <w:bCs w:val="0"/>
        </w:rPr>
        <w:t>.</w:t>
      </w:r>
    </w:p>
    <w:p w14:paraId="3343BF9F">
      <w:pPr>
        <w:pStyle w:val="11"/>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3873500" cy="1645285"/>
            <wp:effectExtent l="0" t="0" r="12700" b="12065"/>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10"/>
                    <a:stretch>
                      <a:fillRect/>
                    </a:stretch>
                  </pic:blipFill>
                  <pic:spPr>
                    <a:xfrm>
                      <a:off x="0" y="0"/>
                      <a:ext cx="3873500" cy="1645285"/>
                    </a:xfrm>
                    <a:prstGeom prst="rect">
                      <a:avLst/>
                    </a:prstGeom>
                    <a:noFill/>
                    <a:ln w="9525">
                      <a:noFill/>
                    </a:ln>
                  </pic:spPr>
                </pic:pic>
              </a:graphicData>
            </a:graphic>
          </wp:inline>
        </w:drawing>
      </w:r>
    </w:p>
    <w:p w14:paraId="7A125686">
      <w:pPr>
        <w:keepNext w:val="0"/>
        <w:keepLines w:val="0"/>
        <w:widowControl/>
        <w:suppressLineNumbers w:val="0"/>
        <w:rPr>
          <w:rFonts w:hint="default" w:ascii="Times New Roman" w:hAnsi="Times New Roman" w:cs="Times New Roman"/>
        </w:rPr>
      </w:pPr>
    </w:p>
    <w:p w14:paraId="6B23D013">
      <w:pPr>
        <w:pStyle w:val="3"/>
        <w:keepNext w:val="0"/>
        <w:keepLines w:val="0"/>
        <w:widowControl/>
        <w:suppressLineNumbers w:val="0"/>
        <w:rPr>
          <w:rFonts w:hint="default" w:ascii="Times New Roman" w:hAnsi="Times New Roman" w:cs="Times New Roman"/>
        </w:rPr>
      </w:pPr>
      <w:bookmarkStart w:id="12" w:name="_Toc5368"/>
      <w:r>
        <w:rPr>
          <w:rStyle w:val="12"/>
          <w:rFonts w:hint="default" w:ascii="Times New Roman" w:hAnsi="Times New Roman" w:cs="Times New Roman"/>
          <w:b/>
          <w:bCs/>
          <w:sz w:val="26"/>
          <w:szCs w:val="26"/>
          <w:lang w:val="en-GB"/>
        </w:rPr>
        <w:t xml:space="preserve">1.2 </w:t>
      </w:r>
      <w:r>
        <w:rPr>
          <w:rStyle w:val="12"/>
          <w:rFonts w:hint="default" w:ascii="Times New Roman" w:hAnsi="Times New Roman" w:cs="Times New Roman"/>
          <w:b/>
          <w:bCs/>
          <w:sz w:val="26"/>
          <w:szCs w:val="26"/>
        </w:rPr>
        <w:t>Monthly Trends Interpretation</w:t>
      </w:r>
      <w:bookmarkEnd w:id="12"/>
    </w:p>
    <w:p w14:paraId="12091486">
      <w:pPr>
        <w:pStyle w:val="11"/>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Monthly passen</w:t>
      </w:r>
      <w:r>
        <w:rPr>
          <w:rFonts w:hint="default" w:ascii="Times New Roman" w:hAnsi="Times New Roman" w:cs="Times New Roman"/>
          <w:b w:val="0"/>
          <w:bCs w:val="0"/>
        </w:rPr>
        <w:t xml:space="preserve">ger totals follow a clear seasonal structure. The graph shows a pronounced surge in </w:t>
      </w:r>
      <w:r>
        <w:rPr>
          <w:rStyle w:val="12"/>
          <w:rFonts w:hint="default" w:ascii="Times New Roman" w:hAnsi="Times New Roman" w:cs="Times New Roman"/>
          <w:b w:val="0"/>
          <w:bCs w:val="0"/>
        </w:rPr>
        <w:t>July</w:t>
      </w:r>
      <w:r>
        <w:rPr>
          <w:rFonts w:hint="default" w:ascii="Times New Roman" w:hAnsi="Times New Roman" w:cs="Times New Roman"/>
          <w:b w:val="0"/>
          <w:bCs w:val="0"/>
        </w:rPr>
        <w:t xml:space="preserve">, marking it as the highest-demand month historically. This spike aligns with vacation travel, school holidays, and increased commuter flow. Other strong months include </w:t>
      </w:r>
      <w:r>
        <w:rPr>
          <w:rStyle w:val="12"/>
          <w:rFonts w:hint="default" w:ascii="Times New Roman" w:hAnsi="Times New Roman" w:cs="Times New Roman"/>
          <w:b w:val="0"/>
          <w:bCs w:val="0"/>
        </w:rPr>
        <w:t>August, September, and December</w:t>
      </w:r>
      <w:r>
        <w:rPr>
          <w:rFonts w:hint="default" w:ascii="Times New Roman" w:hAnsi="Times New Roman" w:cs="Times New Roman"/>
          <w:b w:val="0"/>
          <w:bCs w:val="0"/>
        </w:rPr>
        <w:t xml:space="preserve">, further reflecting holiday and back-to-school travel patterns. Lower-volume months such as </w:t>
      </w:r>
      <w:r>
        <w:rPr>
          <w:rStyle w:val="12"/>
          <w:rFonts w:hint="default" w:ascii="Times New Roman" w:hAnsi="Times New Roman" w:cs="Times New Roman"/>
          <w:b w:val="0"/>
          <w:bCs w:val="0"/>
        </w:rPr>
        <w:t>February and March</w:t>
      </w:r>
      <w:r>
        <w:rPr>
          <w:rFonts w:hint="default" w:ascii="Times New Roman" w:hAnsi="Times New Roman" w:cs="Times New Roman"/>
          <w:b w:val="0"/>
          <w:bCs w:val="0"/>
        </w:rPr>
        <w:t xml:space="preserve"> indicate the typical winter lull. This means that for 2026–2030, </w:t>
      </w:r>
      <w:r>
        <w:rPr>
          <w:rStyle w:val="12"/>
          <w:rFonts w:hint="default" w:ascii="Times New Roman" w:hAnsi="Times New Roman" w:cs="Times New Roman"/>
          <w:b w:val="0"/>
          <w:bCs w:val="0"/>
        </w:rPr>
        <w:t>the terminal must allocate more capacity and staging resources in July, followed by August, December, and September</w:t>
      </w:r>
      <w:r>
        <w:rPr>
          <w:rFonts w:hint="default" w:ascii="Times New Roman" w:hAnsi="Times New Roman" w:cs="Times New Roman"/>
          <w:b w:val="0"/>
          <w:bCs w:val="0"/>
        </w:rPr>
        <w:t>.</w:t>
      </w:r>
    </w:p>
    <w:p w14:paraId="442D35A0">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580255" cy="1945640"/>
            <wp:effectExtent l="0" t="0" r="10795" b="1651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1"/>
                    <a:stretch>
                      <a:fillRect/>
                    </a:stretch>
                  </pic:blipFill>
                  <pic:spPr>
                    <a:xfrm>
                      <a:off x="0" y="0"/>
                      <a:ext cx="4580255" cy="1945640"/>
                    </a:xfrm>
                    <a:prstGeom prst="rect">
                      <a:avLst/>
                    </a:prstGeom>
                    <a:noFill/>
                    <a:ln w="9525">
                      <a:noFill/>
                    </a:ln>
                  </pic:spPr>
                </pic:pic>
              </a:graphicData>
            </a:graphic>
          </wp:inline>
        </w:drawing>
      </w:r>
    </w:p>
    <w:p w14:paraId="59DB4A40">
      <w:pPr>
        <w:pStyle w:val="3"/>
        <w:keepNext w:val="0"/>
        <w:keepLines w:val="0"/>
        <w:widowControl/>
        <w:suppressLineNumbers w:val="0"/>
        <w:rPr>
          <w:rFonts w:hint="default" w:ascii="Times New Roman" w:hAnsi="Times New Roman" w:cs="Times New Roman"/>
          <w:sz w:val="26"/>
          <w:szCs w:val="26"/>
        </w:rPr>
      </w:pPr>
      <w:bookmarkStart w:id="13" w:name="_Toc14369"/>
      <w:r>
        <w:rPr>
          <w:rStyle w:val="12"/>
          <w:rFonts w:hint="default" w:ascii="Times New Roman" w:hAnsi="Times New Roman" w:cs="Times New Roman"/>
          <w:b/>
          <w:bCs/>
          <w:sz w:val="26"/>
          <w:szCs w:val="26"/>
          <w:lang w:val="en-GB"/>
        </w:rPr>
        <w:t xml:space="preserve">1.3 </w:t>
      </w:r>
      <w:r>
        <w:rPr>
          <w:rStyle w:val="12"/>
          <w:rFonts w:hint="default" w:ascii="Times New Roman" w:hAnsi="Times New Roman" w:cs="Times New Roman"/>
          <w:b/>
          <w:bCs/>
          <w:sz w:val="26"/>
          <w:szCs w:val="26"/>
        </w:rPr>
        <w:t>Yearly Trends Interpretation</w:t>
      </w:r>
      <w:bookmarkEnd w:id="13"/>
    </w:p>
    <w:p w14:paraId="0FC01B45">
      <w:pPr>
        <w:pStyle w:val="11"/>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The yearly trend displays a strong upward trajectory in total passenger counts from 2023 to 2024, which in</w:t>
      </w:r>
      <w:r>
        <w:rPr>
          <w:rFonts w:hint="default" w:ascii="Times New Roman" w:hAnsi="Times New Roman" w:cs="Times New Roman"/>
          <w:b w:val="0"/>
          <w:bCs w:val="0"/>
        </w:rPr>
        <w:t xml:space="preserve">dicates a growth pattern likely to continue into the projection years. This upward slope suggests </w:t>
      </w:r>
      <w:r>
        <w:rPr>
          <w:rStyle w:val="12"/>
          <w:rFonts w:hint="default" w:ascii="Times New Roman" w:hAnsi="Times New Roman" w:cs="Times New Roman"/>
          <w:b w:val="0"/>
          <w:bCs w:val="0"/>
        </w:rPr>
        <w:t>post-pandemic recovery</w:t>
      </w:r>
      <w:r>
        <w:rPr>
          <w:rFonts w:hint="default" w:ascii="Times New Roman" w:hAnsi="Times New Roman" w:cs="Times New Roman"/>
          <w:b w:val="0"/>
          <w:bCs w:val="0"/>
        </w:rPr>
        <w:t>, increasing commuter activity, and overall growth in transit demand. If this trend continues</w:t>
      </w:r>
      <w:r>
        <w:rPr>
          <w:rFonts w:hint="default" w:cs="Times New Roman"/>
          <w:b w:val="0"/>
          <w:bCs w:val="0"/>
          <w:lang w:val="en-GB"/>
        </w:rPr>
        <w:t xml:space="preserve"> </w:t>
      </w:r>
      <w:r>
        <w:rPr>
          <w:rFonts w:hint="default" w:ascii="Times New Roman" w:hAnsi="Times New Roman" w:cs="Times New Roman"/>
          <w:b w:val="0"/>
          <w:bCs w:val="0"/>
        </w:rPr>
        <w:t xml:space="preserve">as supported by the forecasts in the terminal will experience </w:t>
      </w:r>
      <w:r>
        <w:rPr>
          <w:rStyle w:val="12"/>
          <w:rFonts w:hint="default" w:ascii="Times New Roman" w:hAnsi="Times New Roman" w:cs="Times New Roman"/>
          <w:b w:val="0"/>
          <w:bCs w:val="0"/>
        </w:rPr>
        <w:t>year-over-year increases in demand</w:t>
      </w:r>
      <w:r>
        <w:rPr>
          <w:rFonts w:hint="default" w:ascii="Times New Roman" w:hAnsi="Times New Roman" w:cs="Times New Roman"/>
          <w:b w:val="0"/>
          <w:bCs w:val="0"/>
        </w:rPr>
        <w:t>, making it essential to plan for higher capacity needs each progressive year between 2026 and 2030.</w:t>
      </w:r>
    </w:p>
    <w:p w14:paraId="203C874B">
      <w:pPr>
        <w:pStyle w:val="11"/>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275455" cy="1814830"/>
            <wp:effectExtent l="0" t="0" r="10795" b="1397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2"/>
                    <a:stretch>
                      <a:fillRect/>
                    </a:stretch>
                  </pic:blipFill>
                  <pic:spPr>
                    <a:xfrm>
                      <a:off x="0" y="0"/>
                      <a:ext cx="4275455" cy="1814830"/>
                    </a:xfrm>
                    <a:prstGeom prst="rect">
                      <a:avLst/>
                    </a:prstGeom>
                    <a:noFill/>
                    <a:ln w="9525">
                      <a:noFill/>
                    </a:ln>
                  </pic:spPr>
                </pic:pic>
              </a:graphicData>
            </a:graphic>
          </wp:inline>
        </w:drawing>
      </w:r>
    </w:p>
    <w:p w14:paraId="49B7D32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Combining weekly, monthly, and yearly insights, the busiest times for the bus terminal staging facilities between 2026 and 2030 will align with:</w:t>
      </w:r>
    </w:p>
    <w:p w14:paraId="17C5C95A">
      <w:pPr>
        <w:pStyle w:val="4"/>
        <w:keepNext w:val="0"/>
        <w:keepLines w:val="0"/>
        <w:widowControl/>
        <w:suppressLineNumbers w:val="0"/>
        <w:rPr>
          <w:rFonts w:hint="default" w:ascii="Times New Roman" w:hAnsi="Times New Roman" w:cs="Times New Roman"/>
        </w:rPr>
      </w:pPr>
      <w:bookmarkStart w:id="14" w:name="_Toc19960"/>
      <w:r>
        <w:rPr>
          <w:rStyle w:val="12"/>
          <w:rFonts w:hint="default" w:ascii="Times New Roman" w:hAnsi="Times New Roman" w:cs="Times New Roman"/>
          <w:b/>
          <w:bCs/>
        </w:rPr>
        <w:t>Peak Periods to Prepare For:</w:t>
      </w:r>
      <w:bookmarkEnd w:id="14"/>
    </w:p>
    <w:p w14:paraId="294FCAA4">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Weekly:</w:t>
      </w:r>
      <w:r>
        <w:rPr>
          <w:rFonts w:hint="default" w:ascii="Times New Roman" w:hAnsi="Times New Roman" w:cs="Times New Roman"/>
        </w:rPr>
        <w:t xml:space="preserve"> Weeks 28–32 (mid-summer peak) and Weeks 47–52 (holiday season)</w:t>
      </w:r>
    </w:p>
    <w:p w14:paraId="11B0C528">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Monthly:</w:t>
      </w:r>
      <w:r>
        <w:rPr>
          <w:rFonts w:hint="default" w:ascii="Times New Roman" w:hAnsi="Times New Roman" w:cs="Times New Roman"/>
        </w:rPr>
        <w:t xml:space="preserve"> July (highest), followed by August, December, and September</w:t>
      </w:r>
    </w:p>
    <w:p w14:paraId="2DEEEC5E">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Yearly:</w:t>
      </w:r>
      <w:r>
        <w:rPr>
          <w:rFonts w:hint="default" w:ascii="Times New Roman" w:hAnsi="Times New Roman" w:cs="Times New Roman"/>
        </w:rPr>
        <w:t xml:space="preserve"> Consistent increases each year, requiring scalable staging capacity</w:t>
      </w:r>
    </w:p>
    <w:p w14:paraId="650739E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These patterns should directly guide staffing levels, staging facility sizing, transportation logistics, and operational planning for the Port Authority during the 2026–2030 development period.</w:t>
      </w:r>
    </w:p>
    <w:p w14:paraId="31A44DC6">
      <w:pPr>
        <w:pStyle w:val="11"/>
        <w:keepNext w:val="0"/>
        <w:keepLines w:val="0"/>
        <w:widowControl/>
        <w:suppressLineNumbers w:val="0"/>
        <w:rPr>
          <w:rFonts w:hint="default" w:ascii="Times New Roman" w:hAnsi="Times New Roman" w:cs="Times New Roman"/>
        </w:rPr>
      </w:pPr>
    </w:p>
    <w:p w14:paraId="0E6B9FE5">
      <w:pPr>
        <w:keepNext w:val="0"/>
        <w:keepLines w:val="0"/>
        <w:widowControl/>
        <w:suppressLineNumbers w:val="0"/>
        <w:rPr>
          <w:rFonts w:hint="default" w:ascii="Times New Roman" w:hAnsi="Times New Roman" w:cs="Times New Roman"/>
          <w:b/>
          <w:bCs/>
          <w:sz w:val="36"/>
          <w:szCs w:val="36"/>
        </w:rPr>
      </w:pPr>
    </w:p>
    <w:p w14:paraId="5BE68125">
      <w:pPr>
        <w:pStyle w:val="2"/>
        <w:numPr>
          <w:ilvl w:val="0"/>
          <w:numId w:val="1"/>
        </w:numPr>
        <w:bidi w:val="0"/>
        <w:rPr>
          <w:rFonts w:hint="default" w:ascii="Times New Roman" w:hAnsi="Times New Roman" w:cs="Times New Roman"/>
          <w:sz w:val="36"/>
          <w:szCs w:val="36"/>
        </w:rPr>
      </w:pPr>
      <w:bookmarkStart w:id="15" w:name="_Toc18155"/>
      <w:r>
        <w:rPr>
          <w:rFonts w:hint="default" w:ascii="Times New Roman" w:hAnsi="Times New Roman" w:cs="Times New Roman"/>
          <w:sz w:val="36"/>
          <w:szCs w:val="36"/>
        </w:rPr>
        <w:t>Comparison to 2019 (Pre-COVID Baseline)</w:t>
      </w:r>
      <w:bookmarkEnd w:id="15"/>
    </w:p>
    <w:p w14:paraId="4450EC6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current ridership levels compare to the last stable, pre-pandemic benchmark year, we evaluated passenger volume trends against 2019—the final year before COVID-19 disrupted commuting patterns, travel demand, and operational schedules. By aggregating annual passenger totals from the dataset, we can directly compare recent usage levels to 2019 and determine whether the system has fully recovered, is still below pre-pandemic levels, or has exceeded historical norms. This comparison is essential because 2019 represents the last “normal” year of bus terminal activity, free from pandemic-related restrictions, reduced service frequencies, and shifts in ridership behavior.</w:t>
      </w:r>
    </w:p>
    <w:p w14:paraId="502B507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Our analysis shows that current passenger usage is trending upward toward, and in some cases surpassing, the volumes recorded in 2019. This indicates a strong recovery in travel demand and suggests that commuter behavior is returning to patterns consistent with pre-COVID operations. If current growth continues on the projected trajectory, the terminal is likely to exceed 2019 traffic levels over the next few years, reinforcing the need for expanded staging capacity during the 2026–2030 period. This comparison not only confirms the pace of recovery but also highlights the increasing pressure on terminal infrastructure as ridership approaches and exceeds pre-pandemic benchmarks.</w:t>
      </w:r>
    </w:p>
    <w:p w14:paraId="0275CD1D">
      <w:pPr>
        <w:pStyle w:val="17"/>
        <w:numPr>
          <w:ilvl w:val="0"/>
          <w:numId w:val="0"/>
        </w:numPr>
        <w:rPr>
          <w:rFonts w:hint="default" w:ascii="Times New Roman" w:hAnsi="Times New Roman" w:eastAsia="Times New Roman" w:cs="Times New Roman"/>
          <w:b/>
          <w:bCs/>
          <w:sz w:val="36"/>
          <w:szCs w:val="36"/>
        </w:rPr>
      </w:pPr>
    </w:p>
    <w:p w14:paraId="1AB9C267">
      <w:pPr>
        <w:pStyle w:val="17"/>
        <w:numPr>
          <w:ilvl w:val="0"/>
          <w:numId w:val="1"/>
        </w:numPr>
        <w:ind w:left="0" w:leftChars="0" w:firstLine="0" w:firstLineChars="0"/>
        <w:outlineLvl w:val="0"/>
        <w:rPr>
          <w:rFonts w:hint="default" w:ascii="Times New Roman" w:hAnsi="Times New Roman" w:eastAsia="Times New Roman" w:cs="Times New Roman"/>
          <w:sz w:val="24"/>
          <w:szCs w:val="24"/>
        </w:rPr>
      </w:pPr>
      <w:bookmarkStart w:id="16" w:name="_Toc17249"/>
      <w:r>
        <w:rPr>
          <w:rFonts w:hint="default" w:ascii="Times New Roman" w:hAnsi="Times New Roman" w:eastAsia="SimSun" w:cs="Times New Roman"/>
          <w:b/>
          <w:bCs/>
          <w:sz w:val="36"/>
          <w:szCs w:val="36"/>
        </w:rPr>
        <w:t>Data Warehouse Design</w:t>
      </w:r>
      <w:bookmarkEnd w:id="16"/>
      <w:r>
        <w:rPr>
          <w:rFonts w:hint="default" w:ascii="Times New Roman" w:hAnsi="Times New Roman" w:eastAsia="Times New Roman" w:cs="Times New Roman"/>
          <w:sz w:val="24"/>
          <w:szCs w:val="24"/>
        </w:rPr>
        <w:t xml:space="preserve">   </w:t>
      </w:r>
    </w:p>
    <w:p w14:paraId="48C8BD3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321627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69865" cy="3216275"/>
                    </a:xfrm>
                    <a:prstGeom prst="rect">
                      <a:avLst/>
                    </a:prstGeom>
                    <a:noFill/>
                    <a:ln>
                      <a:noFill/>
                    </a:ln>
                  </pic:spPr>
                </pic:pic>
              </a:graphicData>
            </a:graphic>
          </wp:inline>
        </w:drawing>
      </w:r>
    </w:p>
    <w:p w14:paraId="7859E959">
      <w:pPr>
        <w:pStyle w:val="11"/>
        <w:keepNext w:val="0"/>
        <w:keepLines w:val="0"/>
        <w:widowControl/>
        <w:suppressLineNumbers w:val="0"/>
        <w:rPr>
          <w:rFonts w:hint="default" w:ascii="Times New Roman" w:hAnsi="Times New Roman" w:cs="Times New Roman"/>
        </w:rPr>
      </w:pPr>
    </w:p>
    <w:p w14:paraId="1DD5274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 warehouse focuses on storin</w:t>
      </w:r>
      <w:r>
        <w:rPr>
          <w:rFonts w:hint="default" w:ascii="Times New Roman" w:hAnsi="Times New Roman" w:cs="Times New Roman"/>
          <w:b w:val="0"/>
          <w:bCs w:val="0"/>
        </w:rPr>
        <w:t xml:space="preserve">g </w:t>
      </w:r>
      <w:r>
        <w:rPr>
          <w:rStyle w:val="12"/>
          <w:rFonts w:hint="default" w:ascii="Times New Roman" w:hAnsi="Times New Roman" w:cs="Times New Roman"/>
          <w:b w:val="0"/>
          <w:bCs w:val="0"/>
        </w:rPr>
        <w:t>only the fields required for analytics</w:t>
      </w:r>
      <w:r>
        <w:rPr>
          <w:rFonts w:hint="default" w:ascii="Times New Roman" w:hAnsi="Times New Roman" w:cs="Times New Roman"/>
          <w:b w:val="0"/>
          <w:bCs w:val="0"/>
        </w:rPr>
        <w:t xml:space="preserve">, removing any raw or transactional details that do not contribute to reporting. For ridership analysis, the </w:t>
      </w:r>
      <w:r>
        <w:rPr>
          <w:rStyle w:val="12"/>
          <w:rFonts w:hint="default" w:ascii="Times New Roman" w:hAnsi="Times New Roman" w:cs="Times New Roman"/>
          <w:b w:val="0"/>
          <w:bCs w:val="0"/>
        </w:rPr>
        <w:t>Fact_Ridership</w:t>
      </w:r>
      <w:r>
        <w:rPr>
          <w:rFonts w:hint="default" w:ascii="Times New Roman" w:hAnsi="Times New Roman" w:cs="Times New Roman"/>
          <w:b w:val="0"/>
          <w:bCs w:val="0"/>
        </w:rPr>
        <w:t xml:space="preserve"> table forms the center of the warehouse. It includes the essential numeric measures an</w:t>
      </w:r>
      <w:r>
        <w:rPr>
          <w:rFonts w:hint="default" w:ascii="Times New Roman" w:hAnsi="Times New Roman" w:cs="Times New Roman"/>
        </w:rPr>
        <w:t xml:space="preserve">alysts use: </w:t>
      </w:r>
      <w:r>
        <w:rPr>
          <w:rStyle w:val="7"/>
          <w:rFonts w:hint="default" w:ascii="Times New Roman" w:hAnsi="Times New Roman" w:cs="Times New Roman"/>
        </w:rPr>
        <w:t>Passengers</w:t>
      </w:r>
      <w:r>
        <w:rPr>
          <w:rFonts w:hint="default" w:ascii="Times New Roman" w:hAnsi="Times New Roman" w:cs="Times New Roman"/>
        </w:rPr>
        <w:t xml:space="preserve">, </w:t>
      </w:r>
      <w:r>
        <w:rPr>
          <w:rStyle w:val="7"/>
          <w:rFonts w:hint="default" w:ascii="Times New Roman" w:hAnsi="Times New Roman" w:cs="Times New Roman"/>
        </w:rPr>
        <w:t>Departures</w:t>
      </w:r>
      <w:r>
        <w:rPr>
          <w:rFonts w:hint="default" w:ascii="Times New Roman" w:hAnsi="Times New Roman" w:cs="Times New Roman"/>
        </w:rPr>
        <w:t xml:space="preserve">, and </w:t>
      </w:r>
      <w:r>
        <w:rPr>
          <w:rStyle w:val="7"/>
          <w:rFonts w:hint="default" w:ascii="Times New Roman" w:hAnsi="Times New Roman" w:cs="Times New Roman"/>
        </w:rPr>
        <w:t>Percent of 2019</w:t>
      </w:r>
      <w:r>
        <w:rPr>
          <w:rFonts w:hint="default" w:ascii="Times New Roman" w:hAnsi="Times New Roman" w:cs="Times New Roman"/>
        </w:rPr>
        <w:t xml:space="preserve"> (a calculated metric for comparing post-COVID recovery against 2019 levels). These measures allow users to track changes in ridership volume, operational intensity, and performance relative to the benchmark year. The foreign keys</w:t>
      </w:r>
      <w:r>
        <w:rPr>
          <w:rFonts w:hint="default" w:cs="Times New Roman"/>
          <w:lang w:val="en-GB"/>
        </w:rPr>
        <w:t xml:space="preserve">, </w:t>
      </w:r>
      <w:r>
        <w:rPr>
          <w:rStyle w:val="7"/>
          <w:rFonts w:hint="default" w:ascii="Times New Roman" w:hAnsi="Times New Roman" w:cs="Times New Roman"/>
        </w:rPr>
        <w:t>Date_Key, Carrier_Key, Service_Type_Key, Factor_Key</w:t>
      </w:r>
      <w:r>
        <w:rPr>
          <w:rStyle w:val="7"/>
          <w:rFonts w:hint="default" w:cs="Times New Roman"/>
          <w:lang w:val="en-GB"/>
        </w:rPr>
        <w:t xml:space="preserve"> </w:t>
      </w:r>
      <w:r>
        <w:rPr>
          <w:rFonts w:hint="default" w:ascii="Times New Roman" w:hAnsi="Times New Roman" w:cs="Times New Roman"/>
        </w:rPr>
        <w:t>enable slicing and drilling down the fact data by time, airline, service category, and external conditions.</w:t>
      </w:r>
    </w:p>
    <w:p w14:paraId="5B162DE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supporting </w:t>
      </w:r>
      <w:r>
        <w:rPr>
          <w:rStyle w:val="12"/>
          <w:rFonts w:hint="default" w:ascii="Times New Roman" w:hAnsi="Times New Roman" w:cs="Times New Roman"/>
          <w:b w:val="0"/>
          <w:bCs w:val="0"/>
        </w:rPr>
        <w:t>dimension tables</w:t>
      </w:r>
      <w:r>
        <w:rPr>
          <w:rFonts w:hint="default" w:ascii="Times New Roman" w:hAnsi="Times New Roman" w:cs="Times New Roman"/>
        </w:rPr>
        <w:t xml:space="preserve"> provide clean categories needed for filtering, grouping, and trend reporting. </w:t>
      </w:r>
      <w:r>
        <w:rPr>
          <w:rStyle w:val="7"/>
          <w:rFonts w:hint="default" w:ascii="Times New Roman" w:hAnsi="Times New Roman" w:cs="Times New Roman"/>
        </w:rPr>
        <w:t>DIM_DATE</w:t>
      </w:r>
      <w:r>
        <w:rPr>
          <w:rFonts w:hint="default" w:ascii="Times New Roman" w:hAnsi="Times New Roman" w:cs="Times New Roman"/>
        </w:rPr>
        <w:t xml:space="preserve"> contains a minimal but complete set of calendar attributes such as </w:t>
      </w:r>
      <w:r>
        <w:rPr>
          <w:rStyle w:val="7"/>
          <w:rFonts w:hint="default" w:ascii="Times New Roman" w:hAnsi="Times New Roman" w:cs="Times New Roman"/>
        </w:rPr>
        <w:t>Full_Date, Year, Week_Number</w:t>
      </w:r>
      <w:r>
        <w:rPr>
          <w:rFonts w:hint="default" w:ascii="Times New Roman" w:hAnsi="Times New Roman" w:cs="Times New Roman"/>
        </w:rPr>
        <w:t xml:space="preserve">, allowing analysts to compare ridership trends across years (especially for COVID vs. pre-COVID periods), perform weekly/monthly aggregations, and analyze seasonality. </w:t>
      </w:r>
      <w:r>
        <w:rPr>
          <w:rStyle w:val="7"/>
          <w:rFonts w:hint="default" w:ascii="Times New Roman" w:hAnsi="Times New Roman" w:cs="Times New Roman"/>
        </w:rPr>
        <w:t>DIM_CARRIER</w:t>
      </w:r>
      <w:r>
        <w:rPr>
          <w:rFonts w:hint="default" w:ascii="Times New Roman" w:hAnsi="Times New Roman" w:cs="Times New Roman"/>
        </w:rPr>
        <w:t xml:space="preserve"> includes only </w:t>
      </w:r>
      <w:r>
        <w:rPr>
          <w:rStyle w:val="7"/>
          <w:rFonts w:hint="default" w:ascii="Times New Roman" w:hAnsi="Times New Roman" w:cs="Times New Roman"/>
        </w:rPr>
        <w:t>Carrier</w:t>
      </w:r>
      <w:r>
        <w:rPr>
          <w:rFonts w:hint="default" w:ascii="Times New Roman" w:hAnsi="Times New Roman" w:cs="Times New Roman"/>
        </w:rPr>
        <w:t xml:space="preserve"> and its key, which simplifies carrier-level performance comparisons without storing unnecessary airline metadata. </w:t>
      </w:r>
      <w:r>
        <w:rPr>
          <w:rStyle w:val="7"/>
          <w:rFonts w:hint="default" w:ascii="Times New Roman" w:hAnsi="Times New Roman" w:cs="Times New Roman"/>
        </w:rPr>
        <w:t>DIM_SERVICE_TYPE</w:t>
      </w:r>
      <w:r>
        <w:rPr>
          <w:rFonts w:hint="default" w:ascii="Times New Roman" w:hAnsi="Times New Roman" w:cs="Times New Roman"/>
        </w:rPr>
        <w:t xml:space="preserve"> captures different service types, which is crucial for understanding how recovery differs by travel type.</w:t>
      </w:r>
    </w:p>
    <w:p w14:paraId="467DC78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w:t>
      </w:r>
      <w:r>
        <w:rPr>
          <w:rStyle w:val="7"/>
          <w:rFonts w:hint="default" w:ascii="Times New Roman" w:hAnsi="Times New Roman" w:cs="Times New Roman"/>
        </w:rPr>
        <w:t>DIM_EXTERNAL_FACTORS</w:t>
      </w:r>
      <w:r>
        <w:rPr>
          <w:rFonts w:hint="default" w:ascii="Times New Roman" w:hAnsi="Times New Roman" w:cs="Times New Roman"/>
        </w:rPr>
        <w:t xml:space="preserve"> includes only the external variables that have a measurable effect on ridership: </w:t>
      </w:r>
      <w:r>
        <w:rPr>
          <w:rStyle w:val="7"/>
          <w:rFonts w:hint="default" w:ascii="Times New Roman" w:hAnsi="Times New Roman" w:cs="Times New Roman"/>
        </w:rPr>
        <w:t>Fuel Price</w:t>
      </w:r>
      <w:r>
        <w:rPr>
          <w:rFonts w:hint="default" w:ascii="Times New Roman" w:hAnsi="Times New Roman" w:cs="Times New Roman"/>
        </w:rPr>
        <w:t xml:space="preserve"> and </w:t>
      </w:r>
      <w:r>
        <w:rPr>
          <w:rStyle w:val="7"/>
          <w:rFonts w:hint="default" w:ascii="Times New Roman" w:hAnsi="Times New Roman" w:cs="Times New Roman"/>
        </w:rPr>
        <w:t>Holiday Flag</w:t>
      </w:r>
      <w:r>
        <w:rPr>
          <w:rFonts w:hint="default" w:ascii="Times New Roman" w:hAnsi="Times New Roman" w:cs="Times New Roman"/>
        </w:rPr>
        <w:t xml:space="preserve"> (expected demand spikes). These fields support analytics focused on causal relationships and forecasting. By keeping the schema lean</w:t>
      </w:r>
      <w:r>
        <w:rPr>
          <w:rFonts w:hint="default" w:cs="Times New Roman"/>
          <w:lang w:val="en-GB"/>
        </w:rPr>
        <w:t xml:space="preserve"> </w:t>
      </w:r>
      <w:r>
        <w:rPr>
          <w:rFonts w:hint="default" w:ascii="Times New Roman" w:hAnsi="Times New Roman" w:cs="Times New Roman"/>
        </w:rPr>
        <w:t>selecting only fields used for measures, filters, trend analysis, time intelligence, and modeling</w:t>
      </w:r>
      <w:r>
        <w:rPr>
          <w:rFonts w:hint="default" w:cs="Times New Roman"/>
          <w:lang w:val="en-GB"/>
        </w:rPr>
        <w:t xml:space="preserve"> </w:t>
      </w:r>
      <w:r>
        <w:rPr>
          <w:rFonts w:hint="default" w:ascii="Times New Roman" w:hAnsi="Times New Roman" w:cs="Times New Roman"/>
        </w:rPr>
        <w:t>the data warehouse becomes optimized for Power BI performance, forecasting models, and SQL regression analysis. This streamlined warehouse eliminates complexity while preserving all the analytical value required for insights.</w:t>
      </w:r>
    </w:p>
    <w:p w14:paraId="055463BA">
      <w:pPr>
        <w:pStyle w:val="11"/>
        <w:keepNext w:val="0"/>
        <w:keepLines w:val="0"/>
        <w:widowControl/>
        <w:suppressLineNumbers w:val="0"/>
        <w:rPr>
          <w:rFonts w:hint="default" w:ascii="Times New Roman" w:hAnsi="Times New Roman" w:cs="Times New Roman"/>
          <w:b/>
          <w:bCs/>
          <w:sz w:val="26"/>
          <w:szCs w:val="26"/>
          <w:lang w:val="en-GB"/>
        </w:rPr>
      </w:pPr>
      <w:r>
        <w:rPr>
          <w:rFonts w:hint="default" w:cs="Times New Roman"/>
          <w:b/>
          <w:bCs/>
          <w:sz w:val="26"/>
          <w:szCs w:val="26"/>
          <w:lang w:val="en-GB"/>
        </w:rPr>
        <w:t xml:space="preserve">1.1 </w:t>
      </w:r>
      <w:r>
        <w:rPr>
          <w:rFonts w:hint="default" w:ascii="Times New Roman" w:hAnsi="Times New Roman" w:cs="Times New Roman"/>
          <w:b/>
          <w:bCs/>
          <w:sz w:val="26"/>
          <w:szCs w:val="26"/>
          <w:lang w:val="en-GB"/>
        </w:rPr>
        <w:t>Line chart 6-months forecast</w:t>
      </w:r>
    </w:p>
    <w:p w14:paraId="0452854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960" cy="30010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267960" cy="3001010"/>
                    </a:xfrm>
                    <a:prstGeom prst="rect">
                      <a:avLst/>
                    </a:prstGeom>
                    <a:noFill/>
                    <a:ln>
                      <a:noFill/>
                    </a:ln>
                  </pic:spPr>
                </pic:pic>
              </a:graphicData>
            </a:graphic>
          </wp:inline>
        </w:drawing>
      </w:r>
    </w:p>
    <w:p w14:paraId="28025C5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line chart shows daily passenger counts with natural fluctuations around a central band between roughl</w:t>
      </w:r>
      <w:r>
        <w:rPr>
          <w:rFonts w:hint="default" w:ascii="Times New Roman" w:hAnsi="Times New Roman" w:cs="Times New Roman"/>
          <w:b w:val="0"/>
          <w:bCs w:val="0"/>
        </w:rPr>
        <w:t xml:space="preserve">y </w:t>
      </w:r>
      <w:r>
        <w:rPr>
          <w:rStyle w:val="12"/>
          <w:rFonts w:hint="default" w:ascii="Times New Roman" w:hAnsi="Times New Roman" w:cs="Times New Roman"/>
          <w:b w:val="0"/>
          <w:bCs w:val="0"/>
        </w:rPr>
        <w:t>1.1M and 1.25M passengers</w:t>
      </w:r>
      <w:r>
        <w:rPr>
          <w:rFonts w:hint="default" w:ascii="Times New Roman" w:hAnsi="Times New Roman" w:cs="Times New Roman"/>
          <w:b w:val="0"/>
          <w:bCs w:val="0"/>
        </w:rPr>
        <w:t>. Throu</w:t>
      </w:r>
      <w:r>
        <w:rPr>
          <w:rFonts w:hint="default" w:ascii="Times New Roman" w:hAnsi="Times New Roman" w:cs="Times New Roman"/>
        </w:rPr>
        <w:t>ghout the historical period, the series displays repeated short-term rises and dips, but the overall movement stays within a relatively stable range. There is no major long-term upward or downward trend</w:t>
      </w:r>
      <w:r>
        <w:rPr>
          <w:rFonts w:hint="default" w:cs="Times New Roman"/>
          <w:lang w:val="en-GB"/>
        </w:rPr>
        <w:t xml:space="preserve"> </w:t>
      </w:r>
      <w:r>
        <w:rPr>
          <w:rFonts w:hint="default" w:ascii="Times New Roman" w:hAnsi="Times New Roman" w:cs="Times New Roman"/>
        </w:rPr>
        <w:t>ridership appears to be oscillating around a consistent average, suggesting a mature and stable demand pattern. The variation also reflects normal operational cycles, seasonality, and weekly travel behavior.</w:t>
      </w:r>
    </w:p>
    <w:p w14:paraId="42C9ACC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forecast area (shaded region) widens as it projects forward, which is expected since uncertainty increases over time. The central forecast li</w:t>
      </w:r>
      <w:r>
        <w:rPr>
          <w:rFonts w:hint="default" w:ascii="Times New Roman" w:hAnsi="Times New Roman" w:cs="Times New Roman"/>
          <w:b w:val="0"/>
          <w:bCs w:val="0"/>
        </w:rPr>
        <w:t xml:space="preserve">ne indicates a </w:t>
      </w:r>
      <w:r>
        <w:rPr>
          <w:rStyle w:val="12"/>
          <w:rFonts w:hint="default" w:ascii="Times New Roman" w:hAnsi="Times New Roman" w:cs="Times New Roman"/>
          <w:b w:val="0"/>
          <w:bCs w:val="0"/>
        </w:rPr>
        <w:t>slight upward tendency</w:t>
      </w:r>
      <w:r>
        <w:rPr>
          <w:rFonts w:hint="default" w:ascii="Times New Roman" w:hAnsi="Times New Roman" w:cs="Times New Roman"/>
          <w:b w:val="0"/>
          <w:bCs w:val="0"/>
        </w:rPr>
        <w:t xml:space="preserve">, suggesting that passenger volumes may grow modestly over the next six months. However, the confidence interval reveals that actual values could fall anywhere between a mild dip and a continuation of current highs. Overall, the model predicts </w:t>
      </w:r>
      <w:r>
        <w:rPr>
          <w:rStyle w:val="12"/>
          <w:rFonts w:hint="default" w:ascii="Times New Roman" w:hAnsi="Times New Roman" w:cs="Times New Roman"/>
          <w:b w:val="0"/>
          <w:bCs w:val="0"/>
        </w:rPr>
        <w:t>stable to slightly improving ridership</w:t>
      </w:r>
      <w:r>
        <w:rPr>
          <w:rFonts w:hint="default" w:ascii="Times New Roman" w:hAnsi="Times New Roman" w:cs="Times New Roman"/>
          <w:b w:val="0"/>
          <w:bCs w:val="0"/>
        </w:rPr>
        <w:t>, with no sign</w:t>
      </w:r>
      <w:r>
        <w:rPr>
          <w:rFonts w:hint="default" w:ascii="Times New Roman" w:hAnsi="Times New Roman" w:cs="Times New Roman"/>
        </w:rPr>
        <w:t>s of dramatic shifts</w:t>
      </w:r>
      <w:r>
        <w:rPr>
          <w:rFonts w:hint="default" w:cs="Times New Roman"/>
          <w:lang w:val="en-GB"/>
        </w:rPr>
        <w:t xml:space="preserve"> </w:t>
      </w:r>
      <w:r>
        <w:rPr>
          <w:rFonts w:hint="default" w:ascii="Times New Roman" w:hAnsi="Times New Roman" w:cs="Times New Roman"/>
        </w:rPr>
        <w:t>indicating that the system is likely maintaining healthy passenger levels moving into the forecast period.</w:t>
      </w:r>
    </w:p>
    <w:p w14:paraId="04ED41A1">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36"/>
          <w:szCs w:val="36"/>
        </w:rPr>
      </w:pPr>
      <w:bookmarkStart w:id="17" w:name="_Toc5123"/>
      <w:r>
        <w:rPr>
          <w:rStyle w:val="12"/>
          <w:rFonts w:hint="default" w:ascii="Times New Roman" w:hAnsi="Times New Roman" w:cs="Times New Roman"/>
          <w:b/>
          <w:bCs/>
          <w:sz w:val="36"/>
          <w:szCs w:val="36"/>
        </w:rPr>
        <w:t>Recommendations</w:t>
      </w:r>
      <w:bookmarkEnd w:id="17"/>
    </w:p>
    <w:p w14:paraId="54E47D35">
      <w:pPr>
        <w:pStyle w:val="4"/>
        <w:bidi w:val="0"/>
        <w:rPr>
          <w:rFonts w:hint="default" w:ascii="Times New Roman" w:hAnsi="Times New Roman" w:cs="Times New Roman"/>
        </w:rPr>
      </w:pPr>
      <w:bookmarkStart w:id="18" w:name="_Toc7228"/>
      <w:r>
        <w:rPr>
          <w:rFonts w:hint="default" w:ascii="Times New Roman" w:hAnsi="Times New Roman" w:cs="Times New Roman"/>
        </w:rPr>
        <w:t>1.</w:t>
      </w:r>
      <w:r>
        <w:rPr>
          <w:rFonts w:hint="default" w:ascii="Times New Roman" w:hAnsi="Times New Roman" w:cs="Times New Roman"/>
          <w:lang w:val="en-GB"/>
        </w:rPr>
        <w:t>1</w:t>
      </w:r>
      <w:r>
        <w:rPr>
          <w:rFonts w:hint="default" w:ascii="Times New Roman" w:hAnsi="Times New Roman" w:cs="Times New Roman"/>
        </w:rPr>
        <w:t xml:space="preserve"> Increase Staging Capacity 2028–2030</w:t>
      </w:r>
      <w:bookmarkEnd w:id="18"/>
    </w:p>
    <w:p w14:paraId="100750A1">
      <w:pPr>
        <w:pStyle w:val="11"/>
        <w:keepNext w:val="0"/>
        <w:keepLines w:val="0"/>
        <w:widowControl/>
        <w:suppressLineNumbers w:val="0"/>
      </w:pPr>
      <w:r>
        <w:t xml:space="preserve">Ridership is expected to grow by nearly </w:t>
      </w:r>
      <w:r>
        <w:rPr>
          <w:rStyle w:val="12"/>
        </w:rPr>
        <w:t>30 million passengers</w:t>
      </w:r>
      <w:r>
        <w:t xml:space="preserve"> in four years, requiring expanded infrastructure and efficient operational planning.</w:t>
      </w:r>
    </w:p>
    <w:p w14:paraId="7A06F5C5">
      <w:pPr>
        <w:pStyle w:val="4"/>
        <w:keepNext w:val="0"/>
        <w:keepLines w:val="0"/>
        <w:widowControl/>
        <w:suppressLineNumbers w:val="0"/>
        <w:rPr>
          <w:rFonts w:hint="default" w:ascii="Times New Roman" w:hAnsi="Times New Roman" w:cs="Times New Roman"/>
          <w:sz w:val="26"/>
          <w:szCs w:val="26"/>
        </w:rPr>
      </w:pPr>
      <w:bookmarkStart w:id="19" w:name="_Toc28833"/>
      <w:r>
        <w:rPr>
          <w:rStyle w:val="12"/>
          <w:rFonts w:hint="default" w:ascii="Times New Roman" w:hAnsi="Times New Roman" w:cs="Times New Roman"/>
          <w:b/>
          <w:bCs/>
          <w:sz w:val="26"/>
          <w:szCs w:val="26"/>
          <w:lang w:val="en-GB"/>
        </w:rPr>
        <w:t>1</w:t>
      </w:r>
      <w:r>
        <w:rPr>
          <w:rStyle w:val="12"/>
          <w:rFonts w:hint="default" w:ascii="Times New Roman" w:hAnsi="Times New Roman" w:cs="Times New Roman"/>
          <w:b/>
          <w:bCs/>
          <w:sz w:val="26"/>
          <w:szCs w:val="26"/>
        </w:rPr>
        <w:t>.</w:t>
      </w:r>
      <w:r>
        <w:rPr>
          <w:rStyle w:val="12"/>
          <w:rFonts w:hint="default" w:ascii="Times New Roman" w:hAnsi="Times New Roman" w:cs="Times New Roman"/>
          <w:b/>
          <w:bCs/>
          <w:sz w:val="26"/>
          <w:szCs w:val="26"/>
          <w:lang w:val="en-GB"/>
        </w:rPr>
        <w:t>2</w:t>
      </w:r>
      <w:r>
        <w:rPr>
          <w:rStyle w:val="12"/>
          <w:rFonts w:hint="default" w:ascii="Times New Roman" w:hAnsi="Times New Roman" w:cs="Times New Roman"/>
          <w:b/>
          <w:bCs/>
          <w:sz w:val="26"/>
          <w:szCs w:val="26"/>
        </w:rPr>
        <w:t xml:space="preserve"> Prioritize High-Growth Carriers</w:t>
      </w:r>
      <w:bookmarkEnd w:id="19"/>
    </w:p>
    <w:p w14:paraId="3BA1BA5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Carriers showing the strongest forecasted growth should be allocated additional bays and departure capacity.</w:t>
      </w:r>
    </w:p>
    <w:p w14:paraId="7D65DE46">
      <w:pPr>
        <w:pStyle w:val="4"/>
        <w:keepNext w:val="0"/>
        <w:keepLines w:val="0"/>
        <w:widowControl/>
        <w:numPr>
          <w:ilvl w:val="0"/>
          <w:numId w:val="0"/>
        </w:numPr>
        <w:suppressLineNumbers w:val="0"/>
        <w:outlineLvl w:val="2"/>
        <w:rPr>
          <w:rFonts w:hint="default" w:ascii="Times New Roman" w:hAnsi="Times New Roman" w:cs="Times New Roman"/>
          <w:sz w:val="26"/>
          <w:szCs w:val="26"/>
        </w:rPr>
      </w:pPr>
      <w:bookmarkStart w:id="20" w:name="_Toc23026"/>
      <w:r>
        <w:rPr>
          <w:rStyle w:val="12"/>
          <w:rFonts w:hint="default" w:ascii="Times New Roman" w:hAnsi="Times New Roman" w:cs="Times New Roman"/>
          <w:b/>
          <w:bCs/>
          <w:sz w:val="26"/>
          <w:szCs w:val="26"/>
          <w:lang w:val="en-GB"/>
        </w:rPr>
        <w:t xml:space="preserve">1.3 </w:t>
      </w:r>
      <w:r>
        <w:rPr>
          <w:rStyle w:val="12"/>
          <w:rFonts w:hint="default" w:ascii="Times New Roman" w:hAnsi="Times New Roman" w:cs="Times New Roman"/>
          <w:b/>
          <w:bCs/>
          <w:sz w:val="26"/>
          <w:szCs w:val="26"/>
        </w:rPr>
        <w:t>Staff for Seasonal and Holiday Peaks</w:t>
      </w:r>
      <w:bookmarkEnd w:id="20"/>
    </w:p>
    <w:p w14:paraId="32604A3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busiest periods will be:</w:t>
      </w:r>
    </w:p>
    <w:p w14:paraId="418E2939">
      <w:pPr>
        <w:pStyle w:val="11"/>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June–August</w:t>
      </w:r>
    </w:p>
    <w:p w14:paraId="2D4FDB4C">
      <w:pPr>
        <w:pStyle w:val="11"/>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Thanksgiving Week</w:t>
      </w:r>
    </w:p>
    <w:p w14:paraId="2C4060DE">
      <w:pPr>
        <w:pStyle w:val="11"/>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December Holiday Season</w:t>
      </w:r>
    </w:p>
    <w:p w14:paraId="0435549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 staffing, queue management strategies, and information services are recommended.</w:t>
      </w:r>
    </w:p>
    <w:p w14:paraId="5F4806BC">
      <w:pPr>
        <w:pStyle w:val="4"/>
        <w:keepNext w:val="0"/>
        <w:keepLines w:val="0"/>
        <w:widowControl/>
        <w:suppressLineNumbers w:val="0"/>
        <w:rPr>
          <w:rFonts w:hint="default" w:ascii="Times New Roman" w:hAnsi="Times New Roman" w:cs="Times New Roman"/>
          <w:sz w:val="26"/>
          <w:szCs w:val="26"/>
        </w:rPr>
      </w:pPr>
      <w:bookmarkStart w:id="21" w:name="_Toc8556"/>
      <w:r>
        <w:rPr>
          <w:rStyle w:val="12"/>
          <w:rFonts w:hint="default" w:ascii="Times New Roman" w:hAnsi="Times New Roman" w:cs="Times New Roman"/>
          <w:b/>
          <w:bCs/>
          <w:sz w:val="26"/>
          <w:szCs w:val="26"/>
          <w:lang w:val="en-GB"/>
        </w:rPr>
        <w:t>1.4</w:t>
      </w:r>
      <w:r>
        <w:rPr>
          <w:rStyle w:val="12"/>
          <w:rFonts w:hint="default" w:ascii="Times New Roman" w:hAnsi="Times New Roman" w:cs="Times New Roman"/>
          <w:b/>
          <w:bCs/>
          <w:sz w:val="26"/>
          <w:szCs w:val="26"/>
        </w:rPr>
        <w:t xml:space="preserve"> Continue Monitoring External Factors</w:t>
      </w:r>
      <w:bookmarkEnd w:id="21"/>
    </w:p>
    <w:p w14:paraId="3BB0D1B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Fuel prices and holiday schedules should remain part of predictive modeling as they strongly influence ridership.</w:t>
      </w:r>
    </w:p>
    <w:p w14:paraId="0F94EB75">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36"/>
          <w:szCs w:val="36"/>
        </w:rPr>
      </w:pPr>
      <w:bookmarkStart w:id="22" w:name="_Toc23527"/>
      <w:r>
        <w:rPr>
          <w:rStyle w:val="12"/>
          <w:rFonts w:hint="default" w:ascii="Times New Roman" w:hAnsi="Times New Roman" w:cs="Times New Roman"/>
          <w:b/>
          <w:bCs/>
          <w:sz w:val="36"/>
          <w:szCs w:val="36"/>
        </w:rPr>
        <w:t>Conclusion</w:t>
      </w:r>
      <w:bookmarkEnd w:id="22"/>
    </w:p>
    <w:p w14:paraId="56FF4D20">
      <w:pPr>
        <w:pStyle w:val="11"/>
        <w:keepNext w:val="0"/>
        <w:keepLines w:val="0"/>
        <w:widowControl/>
        <w:suppressLineNumbers w:val="0"/>
      </w:pPr>
      <w:r>
        <w:t>This project provided a comprehensive analytical foundation for understanding and forecasting bus terminal ridership during the critical 2026–2030 reconstruction period. Through a combination of Python forecasting models, Power BI visualizations, Snowflake SQL transformations, and a purpose-built data warehouse, we developed a reliable set of insights to guide operational planning. The results demonstrate a clear upward trend in ridership, with strong seasonal and holiday patterns and consistent annual growth, emphasizing the need for expanded staging capacity and proactive resource allocation. Carrier-level analysis further highlighted meaningful differences in demand across operators, offering actionable guidance for bay assignments, scheduling adjustments, and peak-hour management.</w:t>
      </w:r>
    </w:p>
    <w:p w14:paraId="6DFDBE2B">
      <w:pPr>
        <w:pStyle w:val="11"/>
        <w:keepNext w:val="0"/>
        <w:keepLines w:val="0"/>
        <w:widowControl/>
        <w:suppressLineNumbers w:val="0"/>
      </w:pPr>
      <w:r>
        <w:t>Beyond forecasting, the project delivered a scalable star-schema data warehouse designed for long-term analytics, enabling efficient reporting, trend analysis, and machine learning integrations. By comparing current usage with the 2019 pre-COVID baseline, we confirmed that ridership has not only recovered but is positioned to exceed previous records. The GitHub portfolio consolidates all deliverables—models, dashboards, documentation, and code—providing a complete and transparent foundation for future improvements. Overall, this work equips decision-makers with the insights and tools necessary to navigate the coming years of reconstruction while continuing to meet rising passenger demand effectively.</w:t>
      </w:r>
    </w:p>
    <w:p w14:paraId="565E8EDB">
      <w:pPr>
        <w:pStyle w:val="11"/>
        <w:keepNext w:val="0"/>
        <w:keepLines w:val="0"/>
        <w:widowControl/>
        <w:suppressLineNumbers w:val="0"/>
        <w:rPr>
          <w:rFonts w:hint="default" w:cs="Times New Roman"/>
          <w:sz w:val="36"/>
          <w:szCs w:val="36"/>
          <w:lang w:val="en-GB"/>
        </w:rPr>
      </w:pPr>
    </w:p>
    <w:p w14:paraId="78F7B626">
      <w:pPr>
        <w:rPr>
          <w:rFonts w:hint="default" w:ascii="Times New Roman" w:hAnsi="Times New Roman" w:cs="Times New Roman"/>
          <w:lang w:val="en-GB"/>
        </w:rPr>
      </w:pPr>
      <w:r>
        <w:rPr>
          <w:rFonts w:hint="default" w:ascii="Times New Roman" w:hAnsi="Times New Roman" w:cs="Times New Roman"/>
          <w:lang w:val="en-GB"/>
        </w:rPr>
        <w:br w:type="page"/>
      </w:r>
    </w:p>
    <w:p w14:paraId="26507FB9">
      <w:pPr>
        <w:pStyle w:val="11"/>
        <w:keepNext w:val="0"/>
        <w:keepLines w:val="0"/>
        <w:widowControl/>
        <w:numPr>
          <w:ilvl w:val="0"/>
          <w:numId w:val="1"/>
        </w:numPr>
        <w:suppressLineNumbers w:val="0"/>
        <w:ind w:left="0" w:leftChars="0" w:firstLine="0" w:firstLineChars="0"/>
        <w:outlineLvl w:val="0"/>
        <w:rPr>
          <w:rFonts w:hint="default" w:cs="Times New Roman"/>
          <w:b/>
          <w:bCs/>
          <w:sz w:val="36"/>
          <w:szCs w:val="36"/>
          <w:lang w:val="en-GB"/>
        </w:rPr>
      </w:pPr>
      <w:bookmarkStart w:id="23" w:name="_Toc26668"/>
      <w:r>
        <w:rPr>
          <w:rFonts w:hint="default" w:cs="Times New Roman"/>
          <w:b/>
          <w:bCs/>
          <w:sz w:val="36"/>
          <w:szCs w:val="36"/>
          <w:lang w:val="en-GB"/>
        </w:rPr>
        <w:t>References</w:t>
      </w:r>
      <w:bookmarkEnd w:id="23"/>
    </w:p>
    <w:p w14:paraId="6D0CAABD">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Arumsari, S. S., &amp; Aamer, A. (2022). Design and application of data analytics in an internet-of-things enabled warehouse.</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Journal of Science and Technology Policy Management</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13</w:t>
      </w:r>
      <w:r>
        <w:rPr>
          <w:rFonts w:hint="default" w:ascii="Arial" w:hAnsi="Arial" w:eastAsia="SimSun" w:cs="Arial"/>
          <w:i w:val="0"/>
          <w:iCs w:val="0"/>
          <w:caps w:val="0"/>
          <w:color w:val="222222"/>
          <w:spacing w:val="0"/>
          <w:sz w:val="19"/>
          <w:szCs w:val="19"/>
          <w:shd w:val="clear" w:fill="FFFFFF"/>
        </w:rPr>
        <w:t>(2), 485-504.</w:t>
      </w:r>
    </w:p>
    <w:p w14:paraId="421B0CF8">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El-Taweel, N. A., Farag, H. E., Barai, G., Zeineldin, H., Al-Durra, A., &amp; El-Saadany, E. F. (2021). A systematic approach for design and analysis of electrified public bus transit fleets.</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IEEE Systems Journal</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16</w:t>
      </w:r>
      <w:r>
        <w:rPr>
          <w:rFonts w:hint="default" w:ascii="Arial" w:hAnsi="Arial" w:eastAsia="SimSun" w:cs="Arial"/>
          <w:i w:val="0"/>
          <w:iCs w:val="0"/>
          <w:caps w:val="0"/>
          <w:color w:val="222222"/>
          <w:spacing w:val="0"/>
          <w:sz w:val="19"/>
          <w:szCs w:val="19"/>
          <w:shd w:val="clear" w:fill="FFFFFF"/>
        </w:rPr>
        <w:t>(2), 2989-3000.</w:t>
      </w:r>
    </w:p>
    <w:p w14:paraId="25853947">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Lavanya, A., Gaurav, L., Sindhuja, S., Seam, H., Joydeep, M., Uppalapati, V., ... &amp; SD, V. S. (2023). Assessing the performance of Python data visualization libraries: a review.</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Int. J. Comput. Eng. Res. Trends</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10</w:t>
      </w:r>
      <w:r>
        <w:rPr>
          <w:rFonts w:hint="default" w:ascii="Arial" w:hAnsi="Arial" w:eastAsia="SimSun" w:cs="Arial"/>
          <w:i w:val="0"/>
          <w:iCs w:val="0"/>
          <w:caps w:val="0"/>
          <w:color w:val="222222"/>
          <w:spacing w:val="0"/>
          <w:sz w:val="19"/>
          <w:szCs w:val="19"/>
          <w:shd w:val="clear" w:fill="FFFFFF"/>
        </w:rPr>
        <w:t>(1), 28-39.</w:t>
      </w:r>
    </w:p>
    <w:p w14:paraId="0AEC9DD2">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Liang, J. T., Zimmermann, T., &amp; Ford, D. (2022, November). Understanding skills for oss communities on github. In</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Proceedings of the 30th ACM Joint European Software Engineering Conference and Symposium on the Foundations of Software Engineering</w:t>
      </w:r>
      <w:r>
        <w:rPr>
          <w:rFonts w:hint="default" w:ascii="Arial" w:hAnsi="Arial" w:eastAsia="SimSun" w:cs="Arial"/>
          <w:i w:val="0"/>
          <w:iCs w:val="0"/>
          <w:caps w:val="0"/>
          <w:color w:val="222222"/>
          <w:spacing w:val="0"/>
          <w:sz w:val="19"/>
          <w:szCs w:val="19"/>
          <w:shd w:val="clear" w:fill="FFFFFF"/>
        </w:rPr>
        <w:t> (pp. 170-182).</w:t>
      </w:r>
    </w:p>
    <w:p w14:paraId="6863A5DC">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Logeswaran, S., Indhiradevi, P., Charumathy, A., Anitha, A., Subramaniam, M., &amp; Karthikeyan, S. (2021, April). Review Analysis on Factors Influencing the Design of Bus Station. In</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IOP Conference Series: Materials Science and Engineering</w:t>
      </w:r>
      <w:r>
        <w:rPr>
          <w:rFonts w:hint="default" w:ascii="Arial" w:hAnsi="Arial" w:eastAsia="SimSun" w:cs="Arial"/>
          <w:i w:val="0"/>
          <w:iCs w:val="0"/>
          <w:caps w:val="0"/>
          <w:color w:val="222222"/>
          <w:spacing w:val="0"/>
          <w:sz w:val="19"/>
          <w:szCs w:val="19"/>
          <w:shd w:val="clear" w:fill="FFFFFF"/>
        </w:rPr>
        <w:t> (Vol. 1145, No. 1, p. 012078). IOP Publishing.</w:t>
      </w:r>
    </w:p>
    <w:p w14:paraId="78DF81B4">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rPr>
      </w:pPr>
      <w:r>
        <w:rPr>
          <w:rFonts w:ascii="Arial" w:hAnsi="Arial" w:eastAsia="SimSun" w:cs="Arial"/>
          <w:i w:val="0"/>
          <w:iCs w:val="0"/>
          <w:caps w:val="0"/>
          <w:color w:val="222222"/>
          <w:spacing w:val="0"/>
          <w:sz w:val="19"/>
          <w:szCs w:val="19"/>
          <w:shd w:val="clear" w:fill="FFFFFF"/>
        </w:rPr>
        <w:t>Setyawati, A., Huda, M. N., Suripno, S., &amp; Tannady, H. (2021). Analysis of Integrated Bus Terminal Services in Pulo Gebang in Increasing Customer Satisfaction.</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Journal of Economics, Management, Entrepreneurship, and Business (JEMEB)</w:t>
      </w:r>
      <w:r>
        <w:rPr>
          <w:rFonts w:hint="default" w:ascii="Arial" w:hAnsi="Arial" w:eastAsia="SimSun" w:cs="Arial"/>
          <w:i w:val="0"/>
          <w:iCs w:val="0"/>
          <w:caps w:val="0"/>
          <w:color w:val="222222"/>
          <w:spacing w:val="0"/>
          <w:sz w:val="19"/>
          <w:szCs w:val="19"/>
          <w:shd w:val="clear" w:fill="FFFFFF"/>
        </w:rPr>
        <w:t>, </w:t>
      </w:r>
      <w:r>
        <w:rPr>
          <w:rFonts w:hint="default" w:ascii="Arial" w:hAnsi="Arial" w:eastAsia="SimSun" w:cs="Arial"/>
          <w:i/>
          <w:iCs/>
          <w:caps w:val="0"/>
          <w:color w:val="222222"/>
          <w:spacing w:val="0"/>
          <w:sz w:val="19"/>
          <w:szCs w:val="19"/>
          <w:shd w:val="clear" w:fill="FFFFFF"/>
        </w:rPr>
        <w:t>1</w:t>
      </w:r>
      <w:r>
        <w:rPr>
          <w:rFonts w:hint="default" w:ascii="Arial" w:hAnsi="Arial" w:eastAsia="SimSun" w:cs="Arial"/>
          <w:i w:val="0"/>
          <w:iCs w:val="0"/>
          <w:caps w:val="0"/>
          <w:color w:val="222222"/>
          <w:spacing w:val="0"/>
          <w:sz w:val="19"/>
          <w:szCs w:val="19"/>
          <w:shd w:val="clear" w:fill="FFFFFF"/>
        </w:rPr>
        <w:t>(1), 12-21.</w:t>
      </w:r>
    </w:p>
    <w:p w14:paraId="0E61B47F">
      <w:pPr>
        <w:pStyle w:val="11"/>
        <w:keepNext w:val="0"/>
        <w:keepLines w:val="0"/>
        <w:pageBreakBefore w:val="0"/>
        <w:widowControl/>
        <w:suppressLineNumbers w:val="0"/>
        <w:kinsoku/>
        <w:wordWrap/>
        <w:overflowPunct/>
        <w:topLinePunct w:val="0"/>
        <w:autoSpaceDE/>
        <w:autoSpaceDN/>
        <w:bidi w:val="0"/>
        <w:adjustRightInd/>
        <w:snapToGrid/>
        <w:ind w:left="390" w:hanging="380" w:hangingChars="200"/>
        <w:textAlignment w:val="auto"/>
        <w:rPr>
          <w:rFonts w:hint="default" w:ascii="Arial" w:hAnsi="Arial" w:eastAsia="SimSun" w:cs="Arial"/>
          <w:i w:val="0"/>
          <w:iCs w:val="0"/>
          <w:caps w:val="0"/>
          <w:color w:val="222222"/>
          <w:spacing w:val="0"/>
          <w:sz w:val="19"/>
          <w:szCs w:val="19"/>
          <w:shd w:val="clear" w:fill="FFFFFF"/>
          <w:lang w:val="en-GB"/>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CDC8A">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B1AC2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60B1AC2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3F5D1"/>
    <w:multiLevelType w:val="singleLevel"/>
    <w:tmpl w:val="8D63F5D1"/>
    <w:lvl w:ilvl="0" w:tentative="0">
      <w:start w:val="1"/>
      <w:numFmt w:val="decimal"/>
      <w:suff w:val="space"/>
      <w:lvlText w:val="%1."/>
      <w:lvlJc w:val="left"/>
      <w:rPr>
        <w:rFonts w:hint="default"/>
        <w:b/>
        <w:bCs/>
        <w:sz w:val="36"/>
        <w:szCs w:val="36"/>
      </w:rPr>
    </w:lvl>
  </w:abstractNum>
  <w:abstractNum w:abstractNumId="1">
    <w:nsid w:val="064D60BB"/>
    <w:multiLevelType w:val="singleLevel"/>
    <w:tmpl w:val="064D60BB"/>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
    <w:nsid w:val="4F1BCDA4"/>
    <w:multiLevelType w:val="multilevel"/>
    <w:tmpl w:val="4F1BCDA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1F026EE"/>
    <w:multiLevelType w:val="singleLevel"/>
    <w:tmpl w:val="61F026EE"/>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4">
    <w:nsid w:val="72C26828"/>
    <w:multiLevelType w:val="singleLevel"/>
    <w:tmpl w:val="72C26828"/>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7F15EB"/>
    <w:rsid w:val="11F5287A"/>
    <w:rsid w:val="14CB5AF3"/>
    <w:rsid w:val="16A776B7"/>
    <w:rsid w:val="19A21D9D"/>
    <w:rsid w:val="1D263AE7"/>
    <w:rsid w:val="2AA028B5"/>
    <w:rsid w:val="317F15EB"/>
    <w:rsid w:val="365D7918"/>
    <w:rsid w:val="36B739F1"/>
    <w:rsid w:val="42FD7B3B"/>
    <w:rsid w:val="43547069"/>
    <w:rsid w:val="44A858FB"/>
    <w:rsid w:val="4E6E5855"/>
    <w:rsid w:val="4FEA2B13"/>
    <w:rsid w:val="53256AD1"/>
    <w:rsid w:val="55D467CB"/>
    <w:rsid w:val="56711C34"/>
    <w:rsid w:val="6B752F50"/>
    <w:rsid w:val="6BFA3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23"/>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22"/>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No Spacing"/>
    <w:qFormat/>
    <w:uiPriority w:val="1"/>
    <w:pPr>
      <w:spacing w:after="0" w:line="240" w:lineRule="auto"/>
    </w:pPr>
    <w:rPr>
      <w:rFonts w:ascii="Calibri" w:hAnsi="Calibri" w:eastAsia="Calibri" w:cs="Calibri"/>
      <w:sz w:val="22"/>
      <w:szCs w:val="22"/>
      <w:lang w:val="en-US" w:eastAsia="en-US" w:bidi="he-IL"/>
    </w:rPr>
  </w:style>
  <w:style w:type="table" w:customStyle="1" w:styleId="18">
    <w:name w:val="Plain Table 1"/>
    <w:basedOn w:val="6"/>
    <w:qFormat/>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3"/>
    <w:qFormat/>
    <w:uiPriority w:val="0"/>
    <w:pPr>
      <w:ind w:leftChars="400"/>
    </w:pPr>
    <w:rPr>
      <w:rFonts w:ascii="Times New Roman" w:hAnsi="Times New Roman" w:eastAsia="SimSun" w:cs="Times New Roman"/>
      <w:sz w:val="20"/>
      <w:szCs w:val="20"/>
    </w:rPr>
  </w:style>
  <w:style w:type="character" w:customStyle="1" w:styleId="22">
    <w:name w:val="Heading 3 Char"/>
    <w:link w:val="4"/>
    <w:qFormat/>
    <w:uiPriority w:val="0"/>
    <w:rPr>
      <w:rFonts w:hint="eastAsia" w:ascii="SimSun" w:hAnsi="SimSun" w:eastAsia="SimSun" w:cs="SimSun"/>
      <w:b/>
      <w:bCs/>
      <w:kern w:val="0"/>
      <w:sz w:val="27"/>
      <w:szCs w:val="27"/>
      <w:lang w:val="en-US" w:eastAsia="zh-CN" w:bidi="ar"/>
    </w:rPr>
  </w:style>
  <w:style w:type="character" w:customStyle="1" w:styleId="23">
    <w:name w:val="Heading 2 Char"/>
    <w:link w:val="3"/>
    <w:qFormat/>
    <w:uiPriority w:val="0"/>
    <w:rPr>
      <w:rFonts w:hint="eastAsia" w:ascii="SimSun" w:hAnsi="SimSun" w:eastAsia="SimSun" w:cs="SimSun"/>
      <w:b/>
      <w:b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63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2025-11-16T10:36:00Z</dcterms:created>
  <dc:creator>uirt</dc:creator>
  <cp:lastModifiedBy>uirt</cp:lastModifiedBy>
  <dcterms:modified xsi:type="dcterms:W3CDTF">2025-12-01T03:31:41Z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7C458BE5FEB14A46A0075E35D34B0489_11</vt:lpwstr>
  </property>
</Properties>
</file>