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9360"/>
      </w:tblGrid>
      <w:tr>
        <w:tc>
          <w:tcPr>
            <w:tcW w:type="dxa" w:w="9360"/>
            <w:shd w:fill="14293D"/>
            <w:tcMar>
              <w:top w:w="200" w:type="dxa"/>
              <w:bottom w:w="200" w:type="dxa"/>
              <w:left w:w="200" w:type="dxa"/>
              <w:right w:w="200" w:type="dxa"/>
            </w:tcMar>
          </w:tcPr>
          <w:p>
            <w:pPr>
              <w:jc w:val="center"/>
            </w:pPr>
            <w:r>
              <w:rPr>
                <w:rFonts w:ascii="Georgia" w:hAnsi="Georgia"/>
                <w:b/>
                <w:color w:val="C9A227"/>
                <w:sz w:val="28"/>
              </w:rPr>
              <w:t>SENIOR MACHINE LEARNING &amp; NLP ENGINEERING TEAM PORTFOLIO</w:t>
              <w:br/>
              <w:t>ADVANCED NLP ENGINE: BBC NEWS MULTI-CLASS CLASSIFICATION, TOPIC MODELING &amp; NER</w:t>
              <w:br/>
            </w:r>
            <w:r>
              <w:rPr>
                <w:rFonts w:ascii="Calibri" w:hAnsi="Calibri"/>
                <w:color w:val="F0F4F8"/>
                <w:sz w:val="22"/>
              </w:rPr>
              <w:t>An Enterprise Natural Language Processing System, Latent Dirichlet Allocation (LDA) Coherence Optimization, Named Entity Recognition &amp; DistilBERT Transfer Learning Architecture</w:t>
            </w:r>
          </w:p>
        </w:tc>
      </w:tr>
      <w:tr>
        <w:tc>
          <w:tcPr>
            <w:tcW w:type="dxa" w:w="9360"/>
            <w:shd w:fill="1F4D78"/>
            <w:tcMar>
              <w:top w:w="100" w:type="dxa"/>
              <w:bottom w:w="100" w:type="dxa"/>
              <w:left w:w="200" w:type="dxa"/>
              <w:right w:w="200" w:type="dxa"/>
            </w:tcMar>
          </w:tcPr>
          <w:p>
            <w:pPr>
              <w:jc w:val="center"/>
            </w:pPr>
            <w:r>
              <w:rPr>
                <w:rFonts w:ascii="Calibri" w:hAnsi="Calibri"/>
                <w:b/>
                <w:color w:val="FFFFFF"/>
                <w:sz w:val="20"/>
              </w:rPr>
              <w:t>BBC NEWS CORPUS CATEGORIZATION &amp; KNOWLEDGE DISCOVERY SYSTEM</w:t>
            </w:r>
          </w:p>
        </w:tc>
      </w:tr>
    </w:tbl>
    <w:p>
      <w:pPr>
        <w:spacing w:after="240"/>
      </w:pPr>
    </w:p>
    <w:tbl>
      <w:tblPr>
        <w:tblW w:type="auto" w:w="0"/>
        <w:jc w:val="center"/>
        <w:tblLayout w:type="fixed"/>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3168"/>
        <w:gridCol w:w="6192"/>
      </w:tblGrid>
      <w:tr>
        <w:tc>
          <w:tcPr>
            <w:tcW w:type="dxa" w:w="4680"/>
            <w:tcMar>
              <w:top w:w="80" w:type="dxa"/>
              <w:bottom w:w="80" w:type="dxa"/>
              <w:left w:w="120" w:type="dxa"/>
              <w:right w:w="120" w:type="dxa"/>
            </w:tcMar>
          </w:tcPr>
          <w:p>
            <w:r>
              <w:rPr>
                <w:rFonts w:ascii="Calibri" w:hAnsi="Calibri"/>
                <w:b/>
                <w:color w:val="14293D"/>
                <w:sz w:val="20"/>
              </w:rPr>
              <w:t>PREPARED BY</w:t>
            </w:r>
          </w:p>
        </w:tc>
        <w:tc>
          <w:tcPr>
            <w:tcW w:type="dxa" w:w="4680"/>
            <w:tcMar>
              <w:top w:w="80" w:type="dxa"/>
              <w:bottom w:w="80" w:type="dxa"/>
              <w:left w:w="120" w:type="dxa"/>
              <w:right w:w="120" w:type="dxa"/>
            </w:tcMar>
          </w:tcPr>
          <w:p>
            <w:r>
              <w:rPr>
                <w:rFonts w:ascii="Calibri" w:hAnsi="Calibri"/>
                <w:color w:val="24303D"/>
                <w:sz w:val="20"/>
              </w:rPr>
              <w:t>Muhammad Bilal Khan</w:t>
            </w:r>
          </w:p>
        </w:tc>
      </w:tr>
      <w:tr>
        <w:tc>
          <w:tcPr>
            <w:tcW w:type="dxa" w:w="4680"/>
            <w:shd w:fill="F4F6F9"/>
            <w:tcMar>
              <w:top w:w="80" w:type="dxa"/>
              <w:bottom w:w="80" w:type="dxa"/>
              <w:left w:w="120" w:type="dxa"/>
              <w:right w:w="120" w:type="dxa"/>
            </w:tcMar>
          </w:tcPr>
          <w:p>
            <w:r>
              <w:rPr>
                <w:rFonts w:ascii="Calibri" w:hAnsi="Calibri"/>
                <w:b/>
                <w:color w:val="14293D"/>
                <w:sz w:val="20"/>
              </w:rPr>
              <w:t>REGISTRATION NO</w:t>
            </w:r>
          </w:p>
        </w:tc>
        <w:tc>
          <w:tcPr>
            <w:tcW w:type="dxa" w:w="4680"/>
            <w:shd w:fill="F4F6F9"/>
            <w:tcMar>
              <w:top w:w="80" w:type="dxa"/>
              <w:bottom w:w="80" w:type="dxa"/>
              <w:left w:w="120" w:type="dxa"/>
              <w:right w:w="120" w:type="dxa"/>
            </w:tcMar>
          </w:tcPr>
          <w:p>
            <w:r>
              <w:rPr>
                <w:rFonts w:ascii="Calibri" w:hAnsi="Calibri"/>
                <w:color w:val="24303D"/>
                <w:sz w:val="20"/>
              </w:rPr>
              <w:t>ALMLB01-4883</w:t>
            </w:r>
          </w:p>
        </w:tc>
      </w:tr>
      <w:tr>
        <w:tc>
          <w:tcPr>
            <w:tcW w:type="dxa" w:w="4680"/>
            <w:tcMar>
              <w:top w:w="80" w:type="dxa"/>
              <w:bottom w:w="80" w:type="dxa"/>
              <w:left w:w="120" w:type="dxa"/>
              <w:right w:w="120" w:type="dxa"/>
            </w:tcMar>
          </w:tcPr>
          <w:p>
            <w:r>
              <w:rPr>
                <w:rFonts w:ascii="Calibri" w:hAnsi="Calibri"/>
                <w:b/>
                <w:color w:val="14293D"/>
                <w:sz w:val="20"/>
              </w:rPr>
              <w:t>INTERNSHIP</w:t>
            </w:r>
          </w:p>
        </w:tc>
        <w:tc>
          <w:tcPr>
            <w:tcW w:type="dxa" w:w="4680"/>
            <w:tcMar>
              <w:top w:w="80" w:type="dxa"/>
              <w:bottom w:w="80" w:type="dxa"/>
              <w:left w:w="120" w:type="dxa"/>
              <w:right w:w="120" w:type="dxa"/>
            </w:tcMar>
          </w:tcPr>
          <w:p>
            <w:r>
              <w:rPr>
                <w:rFonts w:ascii="Calibri" w:hAnsi="Calibri"/>
                <w:color w:val="24303D"/>
                <w:sz w:val="20"/>
              </w:rPr>
              <w:t>AI &amp; ML Internship, ITSimplera Institute (June – August 2026)</w:t>
            </w:r>
          </w:p>
        </w:tc>
      </w:tr>
      <w:tr>
        <w:tc>
          <w:tcPr>
            <w:tcW w:type="dxa" w:w="4680"/>
            <w:shd w:fill="F4F6F9"/>
            <w:tcMar>
              <w:top w:w="80" w:type="dxa"/>
              <w:bottom w:w="80" w:type="dxa"/>
              <w:left w:w="120" w:type="dxa"/>
              <w:right w:w="120" w:type="dxa"/>
            </w:tcMar>
          </w:tcPr>
          <w:p>
            <w:r>
              <w:rPr>
                <w:rFonts w:ascii="Calibri" w:hAnsi="Calibri"/>
                <w:b/>
                <w:color w:val="14293D"/>
                <w:sz w:val="20"/>
              </w:rPr>
              <w:t>SUPERVISOR</w:t>
            </w:r>
          </w:p>
        </w:tc>
        <w:tc>
          <w:tcPr>
            <w:tcW w:type="dxa" w:w="4680"/>
            <w:shd w:fill="F4F6F9"/>
            <w:tcMar>
              <w:top w:w="80" w:type="dxa"/>
              <w:bottom w:w="80" w:type="dxa"/>
              <w:left w:w="120" w:type="dxa"/>
              <w:right w:w="120" w:type="dxa"/>
            </w:tcMar>
          </w:tcPr>
          <w:p>
            <w:r>
              <w:rPr>
                <w:rFonts w:ascii="Calibri" w:hAnsi="Calibri"/>
                <w:color w:val="24303D"/>
                <w:sz w:val="20"/>
              </w:rPr>
              <w:t>Talal Rehan</w:t>
            </w:r>
          </w:p>
        </w:tc>
      </w:tr>
      <w:tr>
        <w:tc>
          <w:tcPr>
            <w:tcW w:type="dxa" w:w="4680"/>
            <w:tcMar>
              <w:top w:w="80" w:type="dxa"/>
              <w:bottom w:w="80" w:type="dxa"/>
              <w:left w:w="120" w:type="dxa"/>
              <w:right w:w="120" w:type="dxa"/>
            </w:tcMar>
          </w:tcPr>
          <w:p>
            <w:r>
              <w:rPr>
                <w:rFonts w:ascii="Calibri" w:hAnsi="Calibri"/>
                <w:b/>
                <w:color w:val="14293D"/>
                <w:sz w:val="20"/>
              </w:rPr>
              <w:t>INSTRUCTOR</w:t>
            </w:r>
          </w:p>
        </w:tc>
        <w:tc>
          <w:tcPr>
            <w:tcW w:type="dxa" w:w="4680"/>
            <w:tcMar>
              <w:top w:w="80" w:type="dxa"/>
              <w:bottom w:w="80" w:type="dxa"/>
              <w:left w:w="120" w:type="dxa"/>
              <w:right w:w="120" w:type="dxa"/>
            </w:tcMar>
          </w:tcPr>
          <w:p>
            <w:r>
              <w:rPr>
                <w:rFonts w:ascii="Calibri" w:hAnsi="Calibri"/>
                <w:color w:val="24303D"/>
                <w:sz w:val="20"/>
              </w:rPr>
              <w:t>Sir Rayyan Khan</w:t>
            </w:r>
          </w:p>
        </w:tc>
      </w:tr>
      <w:tr>
        <w:tc>
          <w:tcPr>
            <w:tcW w:type="dxa" w:w="4680"/>
            <w:shd w:fill="F4F6F9"/>
            <w:tcMar>
              <w:top w:w="80" w:type="dxa"/>
              <w:bottom w:w="80" w:type="dxa"/>
              <w:left w:w="120" w:type="dxa"/>
              <w:right w:w="120" w:type="dxa"/>
            </w:tcMar>
          </w:tcPr>
          <w:p>
            <w:r>
              <w:rPr>
                <w:rFonts w:ascii="Calibri" w:hAnsi="Calibri"/>
                <w:b/>
                <w:color w:val="14293D"/>
                <w:sz w:val="20"/>
              </w:rPr>
              <w:t>SUBMISSION DEADLINE</w:t>
            </w:r>
          </w:p>
        </w:tc>
        <w:tc>
          <w:tcPr>
            <w:tcW w:type="dxa" w:w="4680"/>
            <w:shd w:fill="F4F6F9"/>
            <w:tcMar>
              <w:top w:w="80" w:type="dxa"/>
              <w:bottom w:w="80" w:type="dxa"/>
              <w:left w:w="120" w:type="dxa"/>
              <w:right w:w="120" w:type="dxa"/>
            </w:tcMar>
          </w:tcPr>
          <w:p>
            <w:r>
              <w:rPr>
                <w:rFonts w:ascii="Calibri" w:hAnsi="Calibri"/>
                <w:color w:val="24303D"/>
                <w:sz w:val="20"/>
              </w:rPr>
              <w:t>Friday, 7 August 2026</w:t>
            </w:r>
          </w:p>
        </w:tc>
      </w:tr>
    </w:tbl>
    <w:p>
      <w:pPr>
        <w:spacing w:after="240"/>
      </w:pPr>
    </w:p>
    <w:tbl>
      <w:tblPr>
        <w:tblW w:type="auto" w:w="0"/>
        <w:jc w:val="center"/>
        <w:tblLayout w:type="fixed"/>
        <w:tblLook w:firstColumn="1" w:firstRow="1" w:lastColumn="0" w:lastRow="0" w:noHBand="0" w:noVBand="1" w:val="04A0"/>
      </w:tblPr>
      <w:tblGrid>
        <w:gridCol w:w="9360"/>
      </w:tblGrid>
      <w:tr>
        <w:tc>
          <w:tcPr>
            <w:tcW w:type="dxa" w:w="9360"/>
            <w:shd w:fill="14293D"/>
            <w:tcMar>
              <w:top w:w="100" w:type="dxa"/>
              <w:bottom w:w="100" w:type="dxa"/>
              <w:left w:w="150" w:type="dxa"/>
              <w:right w:w="150" w:type="dxa"/>
            </w:tcMar>
          </w:tcPr>
          <w:p>
            <w:pPr>
              <w:jc w:val="center"/>
            </w:pPr>
            <w:r>
              <w:rPr>
                <w:rFonts w:ascii="Calibri" w:hAnsi="Calibri"/>
                <w:b/>
                <w:color w:val="C9A227"/>
                <w:sz w:val="19"/>
              </w:rPr>
              <w:t>PRODUCTION BUILD v1.0.0  •  STEP 17 ENGINEERING STANDARDS  •  AUGUST 2026</w:t>
            </w:r>
          </w:p>
        </w:tc>
      </w:tr>
    </w:tbl>
    <w:p>
      <w:r>
        <w:br w:type="page"/>
      </w:r>
    </w:p>
    <w:p>
      <w:r>
        <w:rPr>
          <w:rFonts w:ascii="Georgia" w:hAnsi="Georgia"/>
          <w:b/>
          <w:color w:val="14293D"/>
          <w:sz w:val="30"/>
        </w:rPr>
        <w:t>CONTENTS</w:t>
      </w:r>
    </w:p>
    <w:p>
      <w:pPr>
        <w:spacing w:before="40" w:after="40"/>
      </w:pPr>
      <w:r>
        <w:rPr>
          <w:rFonts w:ascii="Calibri" w:hAnsi="Calibri"/>
          <w:b/>
          <w:color w:val="C9A227"/>
          <w:sz w:val="21"/>
        </w:rPr>
        <w:t xml:space="preserve">01   </w:t>
      </w:r>
      <w:r>
        <w:rPr>
          <w:rFonts w:ascii="Calibri" w:hAnsi="Calibri"/>
          <w:color w:val="14293D"/>
          <w:sz w:val="21"/>
        </w:rPr>
        <w:t>Executive Impact Summary &amp; Abstract</w:t>
      </w:r>
      <w:r>
        <w:rPr>
          <w:rFonts w:ascii="Calibri" w:hAnsi="Calibri"/>
          <w:color w:val="B4BEC8"/>
          <w:sz w:val="19"/>
        </w:rPr>
        <w:t xml:space="preserve"> ........................................ </w:t>
      </w:r>
      <w:r>
        <w:rPr>
          <w:rFonts w:ascii="Calibri" w:hAnsi="Calibri"/>
          <w:b/>
          <w:color w:val="14293D"/>
          <w:sz w:val="21"/>
        </w:rPr>
        <w:t>3</w:t>
      </w:r>
    </w:p>
    <w:p>
      <w:pPr>
        <w:spacing w:before="40" w:after="40"/>
      </w:pPr>
      <w:r>
        <w:rPr>
          <w:rFonts w:ascii="Calibri" w:hAnsi="Calibri"/>
          <w:b/>
          <w:color w:val="C9A227"/>
          <w:sz w:val="21"/>
        </w:rPr>
        <w:t xml:space="preserve">02   </w:t>
      </w:r>
      <w:r>
        <w:rPr>
          <w:rFonts w:ascii="Calibri" w:hAnsi="Calibri"/>
          <w:color w:val="14293D"/>
          <w:sz w:val="21"/>
        </w:rPr>
        <w:t>Problem Statement &amp; Engineering Objectives</w:t>
      </w:r>
      <w:r>
        <w:rPr>
          <w:rFonts w:ascii="Calibri" w:hAnsi="Calibri"/>
          <w:color w:val="B4BEC8"/>
          <w:sz w:val="19"/>
        </w:rPr>
        <w:t xml:space="preserve"> ................................. </w:t>
      </w:r>
      <w:r>
        <w:rPr>
          <w:rFonts w:ascii="Calibri" w:hAnsi="Calibri"/>
          <w:b/>
          <w:color w:val="14293D"/>
          <w:sz w:val="21"/>
        </w:rPr>
        <w:t>3</w:t>
      </w:r>
    </w:p>
    <w:p>
      <w:pPr>
        <w:spacing w:before="40" w:after="40"/>
      </w:pPr>
      <w:r>
        <w:rPr>
          <w:rFonts w:ascii="Calibri" w:hAnsi="Calibri"/>
          <w:b/>
          <w:color w:val="C9A227"/>
          <w:sz w:val="21"/>
        </w:rPr>
        <w:t xml:space="preserve">03   </w:t>
      </w:r>
      <w:r>
        <w:rPr>
          <w:rFonts w:ascii="Calibri" w:hAnsi="Calibri"/>
          <w:color w:val="14293D"/>
          <w:sz w:val="21"/>
        </w:rPr>
        <w:t>Dataset Architecture &amp; Data Hygiene Audit</w:t>
      </w:r>
      <w:r>
        <w:rPr>
          <w:rFonts w:ascii="Calibri" w:hAnsi="Calibri"/>
          <w:color w:val="B4BEC8"/>
          <w:sz w:val="19"/>
        </w:rPr>
        <w:t xml:space="preserve"> .................................. </w:t>
      </w:r>
      <w:r>
        <w:rPr>
          <w:rFonts w:ascii="Calibri" w:hAnsi="Calibri"/>
          <w:b/>
          <w:color w:val="14293D"/>
          <w:sz w:val="21"/>
        </w:rPr>
        <w:t>4</w:t>
      </w:r>
    </w:p>
    <w:p>
      <w:pPr>
        <w:spacing w:before="40" w:after="40"/>
      </w:pPr>
      <w:r>
        <w:rPr>
          <w:rFonts w:ascii="Calibri" w:hAnsi="Calibri"/>
          <w:b/>
          <w:color w:val="C9A227"/>
          <w:sz w:val="21"/>
        </w:rPr>
        <w:t xml:space="preserve">04   </w:t>
      </w:r>
      <w:r>
        <w:rPr>
          <w:rFonts w:ascii="Calibri" w:hAnsi="Calibri"/>
          <w:color w:val="14293D"/>
          <w:sz w:val="21"/>
        </w:rPr>
        <w:t>Text Preprocessing &amp; High-Throughput Lemmatization</w:t>
      </w:r>
      <w:r>
        <w:rPr>
          <w:rFonts w:ascii="Calibri" w:hAnsi="Calibri"/>
          <w:color w:val="B4BEC8"/>
          <w:sz w:val="19"/>
        </w:rPr>
        <w:t xml:space="preserve"> ......................... </w:t>
      </w:r>
      <w:r>
        <w:rPr>
          <w:rFonts w:ascii="Calibri" w:hAnsi="Calibri"/>
          <w:b/>
          <w:color w:val="14293D"/>
          <w:sz w:val="21"/>
        </w:rPr>
        <w:t>5</w:t>
      </w:r>
    </w:p>
    <w:p>
      <w:pPr>
        <w:spacing w:before="40" w:after="40"/>
      </w:pPr>
      <w:r>
        <w:rPr>
          <w:rFonts w:ascii="Calibri" w:hAnsi="Calibri"/>
          <w:b/>
          <w:color w:val="C9A227"/>
          <w:sz w:val="21"/>
        </w:rPr>
        <w:t xml:space="preserve">05   </w:t>
      </w:r>
      <w:r>
        <w:rPr>
          <w:rFonts w:ascii="Calibri" w:hAnsi="Calibri"/>
          <w:color w:val="14293D"/>
          <w:sz w:val="21"/>
        </w:rPr>
        <w:t>Exploratory Data Analysis (EDA)</w:t>
      </w:r>
      <w:r>
        <w:rPr>
          <w:rFonts w:ascii="Calibri" w:hAnsi="Calibri"/>
          <w:color w:val="B4BEC8"/>
          <w:sz w:val="19"/>
        </w:rPr>
        <w:t xml:space="preserve"> ............................................ </w:t>
      </w:r>
      <w:r>
        <w:rPr>
          <w:rFonts w:ascii="Calibri" w:hAnsi="Calibri"/>
          <w:b/>
          <w:color w:val="14293D"/>
          <w:sz w:val="21"/>
        </w:rPr>
        <w:t>6</w:t>
      </w:r>
    </w:p>
    <w:p>
      <w:pPr>
        <w:spacing w:before="40" w:after="40"/>
      </w:pPr>
      <w:r>
        <w:rPr>
          <w:rFonts w:ascii="Calibri" w:hAnsi="Calibri"/>
          <w:b/>
          <w:color w:val="C9A227"/>
          <w:sz w:val="21"/>
        </w:rPr>
        <w:t xml:space="preserve">06   </w:t>
      </w:r>
      <w:r>
        <w:rPr>
          <w:rFonts w:ascii="Calibri" w:hAnsi="Calibri"/>
          <w:color w:val="14293D"/>
          <w:sz w:val="21"/>
        </w:rPr>
        <w:t>Named Entity Recognition (spaCy Batched Pipeline)</w:t>
      </w:r>
      <w:r>
        <w:rPr>
          <w:rFonts w:ascii="Calibri" w:hAnsi="Calibri"/>
          <w:color w:val="B4BEC8"/>
          <w:sz w:val="19"/>
        </w:rPr>
        <w:t xml:space="preserve"> .......................... </w:t>
      </w:r>
      <w:r>
        <w:rPr>
          <w:rFonts w:ascii="Calibri" w:hAnsi="Calibri"/>
          <w:b/>
          <w:color w:val="14293D"/>
          <w:sz w:val="21"/>
        </w:rPr>
        <w:t>7</w:t>
      </w:r>
    </w:p>
    <w:p>
      <w:pPr>
        <w:spacing w:before="40" w:after="40"/>
      </w:pPr>
      <w:r>
        <w:rPr>
          <w:rFonts w:ascii="Calibri" w:hAnsi="Calibri"/>
          <w:b/>
          <w:color w:val="C9A227"/>
          <w:sz w:val="21"/>
        </w:rPr>
        <w:t xml:space="preserve">07   </w:t>
      </w:r>
      <w:r>
        <w:rPr>
          <w:rFonts w:ascii="Calibri" w:hAnsi="Calibri"/>
          <w:color w:val="14293D"/>
          <w:sz w:val="21"/>
        </w:rPr>
        <w:t>Topic Modeling (Gensim LDA &amp; Scikit-Learn NMF)</w:t>
      </w:r>
      <w:r>
        <w:rPr>
          <w:rFonts w:ascii="Calibri" w:hAnsi="Calibri"/>
          <w:color w:val="B4BEC8"/>
          <w:sz w:val="19"/>
        </w:rPr>
        <w:t xml:space="preserve"> ............................. </w:t>
      </w:r>
      <w:r>
        <w:rPr>
          <w:rFonts w:ascii="Calibri" w:hAnsi="Calibri"/>
          <w:b/>
          <w:color w:val="14293D"/>
          <w:sz w:val="21"/>
        </w:rPr>
        <w:t>8</w:t>
      </w:r>
    </w:p>
    <w:p>
      <w:pPr>
        <w:spacing w:before="40" w:after="40"/>
      </w:pPr>
      <w:r>
        <w:rPr>
          <w:rFonts w:ascii="Calibri" w:hAnsi="Calibri"/>
          <w:b/>
          <w:color w:val="C9A227"/>
          <w:sz w:val="21"/>
        </w:rPr>
        <w:t xml:space="preserve">08   </w:t>
      </w:r>
      <w:r>
        <w:rPr>
          <w:rFonts w:ascii="Calibri" w:hAnsi="Calibri"/>
          <w:color w:val="14293D"/>
          <w:sz w:val="21"/>
        </w:rPr>
        <w:t>Traditional Machine Learning Models (TF-IDF Baseline)</w:t>
      </w:r>
      <w:r>
        <w:rPr>
          <w:rFonts w:ascii="Calibri" w:hAnsi="Calibri"/>
          <w:color w:val="B4BEC8"/>
          <w:sz w:val="19"/>
        </w:rPr>
        <w:t xml:space="preserve"> ...................... </w:t>
      </w:r>
      <w:r>
        <w:rPr>
          <w:rFonts w:ascii="Calibri" w:hAnsi="Calibri"/>
          <w:b/>
          <w:color w:val="14293D"/>
          <w:sz w:val="21"/>
        </w:rPr>
        <w:t>9</w:t>
      </w:r>
    </w:p>
    <w:p>
      <w:pPr>
        <w:spacing w:before="40" w:after="40"/>
      </w:pPr>
      <w:r>
        <w:rPr>
          <w:rFonts w:ascii="Calibri" w:hAnsi="Calibri"/>
          <w:b/>
          <w:color w:val="C9A227"/>
          <w:sz w:val="21"/>
        </w:rPr>
        <w:t xml:space="preserve">09   </w:t>
      </w:r>
      <w:r>
        <w:rPr>
          <w:rFonts w:ascii="Calibri" w:hAnsi="Calibri"/>
          <w:color w:val="14293D"/>
          <w:sz w:val="21"/>
        </w:rPr>
        <w:t>Transfer Learning via Fine-Tuned DistilBERT</w:t>
      </w:r>
      <w:r>
        <w:rPr>
          <w:rFonts w:ascii="Calibri" w:hAnsi="Calibri"/>
          <w:color w:val="B4BEC8"/>
          <w:sz w:val="19"/>
        </w:rPr>
        <w:t xml:space="preserve"> ................................ </w:t>
      </w:r>
      <w:r>
        <w:rPr>
          <w:rFonts w:ascii="Calibri" w:hAnsi="Calibri"/>
          <w:b/>
          <w:color w:val="14293D"/>
          <w:sz w:val="21"/>
        </w:rPr>
        <w:t>10</w:t>
      </w:r>
    </w:p>
    <w:p>
      <w:pPr>
        <w:spacing w:before="40" w:after="40"/>
      </w:pPr>
      <w:r>
        <w:rPr>
          <w:rFonts w:ascii="Calibri" w:hAnsi="Calibri"/>
          <w:b/>
          <w:color w:val="C9A227"/>
          <w:sz w:val="21"/>
        </w:rPr>
        <w:t xml:space="preserve">10   </w:t>
      </w:r>
      <w:r>
        <w:rPr>
          <w:rFonts w:ascii="Calibri" w:hAnsi="Calibri"/>
          <w:color w:val="14293D"/>
          <w:sz w:val="21"/>
        </w:rPr>
        <w:t>Comprehensive Model Evaluation &amp; Diagnostics</w:t>
      </w:r>
      <w:r>
        <w:rPr>
          <w:rFonts w:ascii="Calibri" w:hAnsi="Calibri"/>
          <w:color w:val="B4BEC8"/>
          <w:sz w:val="19"/>
        </w:rPr>
        <w:t xml:space="preserve"> ............................... </w:t>
      </w:r>
      <w:r>
        <w:rPr>
          <w:rFonts w:ascii="Calibri" w:hAnsi="Calibri"/>
          <w:b/>
          <w:color w:val="14293D"/>
          <w:sz w:val="21"/>
        </w:rPr>
        <w:t>11</w:t>
      </w:r>
    </w:p>
    <w:p>
      <w:pPr>
        <w:spacing w:before="40" w:after="40"/>
      </w:pPr>
      <w:r>
        <w:rPr>
          <w:rFonts w:ascii="Calibri" w:hAnsi="Calibri"/>
          <w:b/>
          <w:color w:val="C9A227"/>
          <w:sz w:val="21"/>
        </w:rPr>
        <w:t xml:space="preserve">11   </w:t>
      </w:r>
      <w:r>
        <w:rPr>
          <w:rFonts w:ascii="Calibri" w:hAnsi="Calibri"/>
          <w:color w:val="14293D"/>
          <w:sz w:val="21"/>
        </w:rPr>
        <w:t>Cross-Model Performance Comparison</w:t>
      </w:r>
      <w:r>
        <w:rPr>
          <w:rFonts w:ascii="Calibri" w:hAnsi="Calibri"/>
          <w:color w:val="B4BEC8"/>
          <w:sz w:val="19"/>
        </w:rPr>
        <w:t xml:space="preserve"> ......................................... </w:t>
      </w:r>
      <w:r>
        <w:rPr>
          <w:rFonts w:ascii="Calibri" w:hAnsi="Calibri"/>
          <w:b/>
          <w:color w:val="14293D"/>
          <w:sz w:val="21"/>
        </w:rPr>
        <w:t>12</w:t>
      </w:r>
    </w:p>
    <w:p>
      <w:pPr>
        <w:spacing w:before="40" w:after="40"/>
      </w:pPr>
      <w:r>
        <w:rPr>
          <w:rFonts w:ascii="Calibri" w:hAnsi="Calibri"/>
          <w:b/>
          <w:color w:val="C9A227"/>
          <w:sz w:val="21"/>
        </w:rPr>
        <w:t xml:space="preserve">12   </w:t>
      </w:r>
      <w:r>
        <w:rPr>
          <w:rFonts w:ascii="Calibri" w:hAnsi="Calibri"/>
          <w:color w:val="14293D"/>
          <w:sz w:val="21"/>
        </w:rPr>
        <w:t>Model Interpretability &amp; Feature Coefficient Analysis</w:t>
      </w:r>
      <w:r>
        <w:rPr>
          <w:rFonts w:ascii="Calibri" w:hAnsi="Calibri"/>
          <w:color w:val="B4BEC8"/>
          <w:sz w:val="19"/>
        </w:rPr>
        <w:t xml:space="preserve"> ...................... </w:t>
      </w:r>
      <w:r>
        <w:rPr>
          <w:rFonts w:ascii="Calibri" w:hAnsi="Calibri"/>
          <w:b/>
          <w:color w:val="14293D"/>
          <w:sz w:val="21"/>
        </w:rPr>
        <w:t>13</w:t>
      </w:r>
    </w:p>
    <w:p>
      <w:pPr>
        <w:spacing w:before="40" w:after="40"/>
      </w:pPr>
      <w:r>
        <w:rPr>
          <w:rFonts w:ascii="Calibri" w:hAnsi="Calibri"/>
          <w:b/>
          <w:color w:val="C9A227"/>
          <w:sz w:val="21"/>
        </w:rPr>
        <w:t xml:space="preserve">13   </w:t>
      </w:r>
      <w:r>
        <w:rPr>
          <w:rFonts w:ascii="Calibri" w:hAnsi="Calibri"/>
          <w:color w:val="14293D"/>
          <w:sz w:val="21"/>
        </w:rPr>
        <w:t>Error Analysis &amp; Confusion Matrix Diagnostics</w:t>
      </w:r>
      <w:r>
        <w:rPr>
          <w:rFonts w:ascii="Calibri" w:hAnsi="Calibri"/>
          <w:color w:val="B4BEC8"/>
          <w:sz w:val="19"/>
        </w:rPr>
        <w:t xml:space="preserve"> .............................. </w:t>
      </w:r>
      <w:r>
        <w:rPr>
          <w:rFonts w:ascii="Calibri" w:hAnsi="Calibri"/>
          <w:b/>
          <w:color w:val="14293D"/>
          <w:sz w:val="21"/>
        </w:rPr>
        <w:t>14</w:t>
      </w:r>
    </w:p>
    <w:p>
      <w:pPr>
        <w:spacing w:before="40" w:after="40"/>
      </w:pPr>
      <w:r>
        <w:rPr>
          <w:rFonts w:ascii="Calibri" w:hAnsi="Calibri"/>
          <w:b/>
          <w:color w:val="C9A227"/>
          <w:sz w:val="21"/>
        </w:rPr>
        <w:t xml:space="preserve">14   </w:t>
      </w:r>
      <w:r>
        <w:rPr>
          <w:rFonts w:ascii="Calibri" w:hAnsi="Calibri"/>
          <w:color w:val="14293D"/>
          <w:sz w:val="21"/>
        </w:rPr>
        <w:t>Experiment Tracking &amp; Model Serialization</w:t>
      </w:r>
      <w:r>
        <w:rPr>
          <w:rFonts w:ascii="Calibri" w:hAnsi="Calibri"/>
          <w:color w:val="B4BEC8"/>
          <w:sz w:val="19"/>
        </w:rPr>
        <w:t xml:space="preserve"> .................................. </w:t>
      </w:r>
      <w:r>
        <w:rPr>
          <w:rFonts w:ascii="Calibri" w:hAnsi="Calibri"/>
          <w:b/>
          <w:color w:val="14293D"/>
          <w:sz w:val="21"/>
        </w:rPr>
        <w:t>15</w:t>
      </w:r>
    </w:p>
    <w:p>
      <w:pPr>
        <w:spacing w:before="40" w:after="40"/>
      </w:pPr>
      <w:r>
        <w:rPr>
          <w:rFonts w:ascii="Calibri" w:hAnsi="Calibri"/>
          <w:b/>
          <w:color w:val="C9A227"/>
          <w:sz w:val="21"/>
        </w:rPr>
        <w:t xml:space="preserve">15   </w:t>
      </w:r>
      <w:r>
        <w:rPr>
          <w:rFonts w:ascii="Calibri" w:hAnsi="Calibri"/>
          <w:color w:val="14293D"/>
          <w:sz w:val="21"/>
        </w:rPr>
        <w:t>Production Engineering Architecture (Step 17)</w:t>
      </w:r>
      <w:r>
        <w:rPr>
          <w:rFonts w:ascii="Calibri" w:hAnsi="Calibri"/>
          <w:color w:val="B4BEC8"/>
          <w:sz w:val="19"/>
        </w:rPr>
        <w:t xml:space="preserve"> .............................. </w:t>
      </w:r>
      <w:r>
        <w:rPr>
          <w:rFonts w:ascii="Calibri" w:hAnsi="Calibri"/>
          <w:b/>
          <w:color w:val="14293D"/>
          <w:sz w:val="21"/>
        </w:rPr>
        <w:t>16</w:t>
      </w:r>
    </w:p>
    <w:p>
      <w:pPr>
        <w:spacing w:before="40" w:after="40"/>
      </w:pPr>
      <w:r>
        <w:rPr>
          <w:rFonts w:ascii="Calibri" w:hAnsi="Calibri"/>
          <w:b/>
          <w:color w:val="C9A227"/>
          <w:sz w:val="21"/>
        </w:rPr>
        <w:t xml:space="preserve">16   </w:t>
      </w:r>
      <w:r>
        <w:rPr>
          <w:rFonts w:ascii="Calibri" w:hAnsi="Calibri"/>
          <w:color w:val="14293D"/>
          <w:sz w:val="21"/>
        </w:rPr>
        <w:t>Business Applications &amp; Real-World Deployments</w:t>
      </w:r>
      <w:r>
        <w:rPr>
          <w:rFonts w:ascii="Calibri" w:hAnsi="Calibri"/>
          <w:color w:val="B4BEC8"/>
          <w:sz w:val="19"/>
        </w:rPr>
        <w:t xml:space="preserve"> ............................. </w:t>
      </w:r>
      <w:r>
        <w:rPr>
          <w:rFonts w:ascii="Calibri" w:hAnsi="Calibri"/>
          <w:b/>
          <w:color w:val="14293D"/>
          <w:sz w:val="21"/>
        </w:rPr>
        <w:t>17</w:t>
      </w:r>
    </w:p>
    <w:p>
      <w:pPr>
        <w:spacing w:before="40" w:after="40"/>
      </w:pPr>
      <w:r>
        <w:rPr>
          <w:rFonts w:ascii="Calibri" w:hAnsi="Calibri"/>
          <w:b/>
          <w:color w:val="C9A227"/>
          <w:sz w:val="21"/>
        </w:rPr>
        <w:t xml:space="preserve">17   </w:t>
      </w:r>
      <w:r>
        <w:rPr>
          <w:rFonts w:ascii="Calibri" w:hAnsi="Calibri"/>
          <w:color w:val="14293D"/>
          <w:sz w:val="21"/>
        </w:rPr>
        <w:t>Technical Discussion &amp; Key Findings</w:t>
      </w:r>
      <w:r>
        <w:rPr>
          <w:rFonts w:ascii="Calibri" w:hAnsi="Calibri"/>
          <w:color w:val="B4BEC8"/>
          <w:sz w:val="19"/>
        </w:rPr>
        <w:t xml:space="preserve"> ........................................ </w:t>
      </w:r>
      <w:r>
        <w:rPr>
          <w:rFonts w:ascii="Calibri" w:hAnsi="Calibri"/>
          <w:b/>
          <w:color w:val="14293D"/>
          <w:sz w:val="21"/>
        </w:rPr>
        <w:t>18</w:t>
      </w:r>
    </w:p>
    <w:p>
      <w:pPr>
        <w:spacing w:before="40" w:after="40"/>
      </w:pPr>
      <w:r>
        <w:rPr>
          <w:rFonts w:ascii="Calibri" w:hAnsi="Calibri"/>
          <w:b/>
          <w:color w:val="C9A227"/>
          <w:sz w:val="21"/>
        </w:rPr>
        <w:t xml:space="preserve">18   </w:t>
      </w:r>
      <w:r>
        <w:rPr>
          <w:rFonts w:ascii="Calibri" w:hAnsi="Calibri"/>
          <w:color w:val="14293D"/>
          <w:sz w:val="21"/>
        </w:rPr>
        <w:t>Viva Voce &amp; Technical Defense Preparation (Q&amp;A)</w:t>
      </w:r>
      <w:r>
        <w:rPr>
          <w:rFonts w:ascii="Calibri" w:hAnsi="Calibri"/>
          <w:color w:val="B4BEC8"/>
          <w:sz w:val="19"/>
        </w:rPr>
        <w:t xml:space="preserve"> ............................ </w:t>
      </w:r>
      <w:r>
        <w:rPr>
          <w:rFonts w:ascii="Calibri" w:hAnsi="Calibri"/>
          <w:b/>
          <w:color w:val="14293D"/>
          <w:sz w:val="21"/>
        </w:rPr>
        <w:t>19</w:t>
      </w:r>
    </w:p>
    <w:p>
      <w:pPr>
        <w:spacing w:before="40" w:after="40"/>
      </w:pPr>
      <w:r>
        <w:rPr>
          <w:rFonts w:ascii="Calibri" w:hAnsi="Calibri"/>
          <w:b/>
          <w:color w:val="C9A227"/>
          <w:sz w:val="21"/>
        </w:rPr>
        <w:t xml:space="preserve">19   </w:t>
      </w:r>
      <w:r>
        <w:rPr>
          <w:rFonts w:ascii="Calibri" w:hAnsi="Calibri"/>
          <w:color w:val="14293D"/>
          <w:sz w:val="21"/>
        </w:rPr>
        <w:t>Conclusion &amp; Engineering Summary</w:t>
      </w:r>
      <w:r>
        <w:rPr>
          <w:rFonts w:ascii="Calibri" w:hAnsi="Calibri"/>
          <w:color w:val="B4BEC8"/>
          <w:sz w:val="19"/>
        </w:rPr>
        <w:t xml:space="preserve"> ........................................... </w:t>
      </w:r>
      <w:r>
        <w:rPr>
          <w:rFonts w:ascii="Calibri" w:hAnsi="Calibri"/>
          <w:b/>
          <w:color w:val="14293D"/>
          <w:sz w:val="21"/>
        </w:rPr>
        <w:t>20</w:t>
      </w:r>
    </w:p>
    <w:p>
      <w:pPr>
        <w:spacing w:before="40" w:after="40"/>
      </w:pPr>
      <w:r>
        <w:rPr>
          <w:rFonts w:ascii="Calibri" w:hAnsi="Calibri"/>
          <w:b/>
          <w:color w:val="C9A227"/>
          <w:sz w:val="21"/>
        </w:rPr>
        <w:t xml:space="preserve">20   </w:t>
      </w:r>
      <w:r>
        <w:rPr>
          <w:rFonts w:ascii="Calibri" w:hAnsi="Calibri"/>
          <w:color w:val="14293D"/>
          <w:sz w:val="21"/>
        </w:rPr>
        <w:t>Future Work &amp; Roadmap</w:t>
      </w:r>
      <w:r>
        <w:rPr>
          <w:rFonts w:ascii="Calibri" w:hAnsi="Calibri"/>
          <w:color w:val="B4BEC8"/>
          <w:sz w:val="19"/>
        </w:rPr>
        <w:t xml:space="preserve"> ...................................................... </w:t>
      </w:r>
      <w:r>
        <w:rPr>
          <w:rFonts w:ascii="Calibri" w:hAnsi="Calibri"/>
          <w:b/>
          <w:color w:val="14293D"/>
          <w:sz w:val="21"/>
        </w:rPr>
        <w:t>21</w:t>
      </w:r>
    </w:p>
    <w:p>
      <w:pPr>
        <w:spacing w:before="40" w:after="40"/>
      </w:pPr>
      <w:r>
        <w:rPr>
          <w:rFonts w:ascii="Calibri" w:hAnsi="Calibri"/>
          <w:b/>
          <w:color w:val="C9A227"/>
          <w:sz w:val="21"/>
        </w:rPr>
        <w:t xml:space="preserve">21   </w:t>
      </w:r>
      <w:r>
        <w:rPr>
          <w:rFonts w:ascii="Calibri" w:hAnsi="Calibri"/>
          <w:color w:val="14293D"/>
          <w:sz w:val="21"/>
        </w:rPr>
        <w:t>Academic References</w:t>
      </w:r>
      <w:r>
        <w:rPr>
          <w:rFonts w:ascii="Calibri" w:hAnsi="Calibri"/>
          <w:color w:val="B4BEC8"/>
          <w:sz w:val="19"/>
        </w:rPr>
        <w:t xml:space="preserve"> ........................................................ </w:t>
      </w:r>
      <w:r>
        <w:rPr>
          <w:rFonts w:ascii="Calibri" w:hAnsi="Calibri"/>
          <w:b/>
          <w:color w:val="14293D"/>
          <w:sz w:val="21"/>
        </w:rPr>
        <w:t>22</w:t>
      </w:r>
    </w:p>
    <w:p>
      <w:r>
        <w:br w:type="page"/>
      </w:r>
    </w:p>
    <w:tbl>
      <w:tblPr>
        <w:tblW w:type="auto" w:w="0"/>
        <w:jc w:val="center"/>
        <w:tblLayout w:type="fixed"/>
        <w:tblLook w:firstColumn="1" w:firstRow="1" w:lastColumn="0" w:lastRow="0" w:noHBand="0" w:noVBand="1" w:val="04A0"/>
      </w:tblPr>
      <w:tblGrid>
        <w:gridCol w:w="864"/>
        <w:gridCol w:w="8496"/>
      </w:tblGrid>
      <w:tr>
        <w:tc>
          <w:tcPr>
            <w:tcW w:type="dxa" w:w="864"/>
            <w:shd w:fill="14293D"/>
            <w:tcMar>
              <w:top w:w="140" w:type="dxa"/>
              <w:bottom w:w="140" w:type="dxa"/>
              <w:left w:w="100" w:type="dxa"/>
              <w:right w:w="100" w:type="dxa"/>
            </w:tcMar>
          </w:tcPr>
          <w:p>
            <w:pPr>
              <w:jc w:val="center"/>
            </w:pPr>
            <w:r>
              <w:rPr>
                <w:rFonts w:ascii="Calibri" w:hAnsi="Calibri"/>
                <w:b/>
                <w:color w:val="C9A227"/>
                <w:sz w:val="26"/>
              </w:rPr>
              <w:t>01</w:t>
            </w:r>
          </w:p>
        </w:tc>
        <w:tc>
          <w:tcPr>
            <w:tcW w:type="dxa" w:w="8496"/>
            <w:shd w:fill="14293D"/>
            <w:tcMar>
              <w:top w:w="140" w:type="dxa"/>
              <w:bottom w:w="140" w:type="dxa"/>
              <w:left w:w="150" w:type="dxa"/>
              <w:right w:w="150" w:type="dxa"/>
            </w:tcMar>
          </w:tcPr>
          <w:p>
            <w:r>
              <w:rPr>
                <w:rFonts w:ascii="Georgia" w:hAnsi="Georgia"/>
                <w:b/>
                <w:color w:val="FFFFFF"/>
                <w:sz w:val="26"/>
              </w:rPr>
              <w:t>Executive Impact Summary &amp; Abstract</w:t>
            </w:r>
          </w:p>
        </w:tc>
      </w:tr>
    </w:tbl>
    <w:p>
      <w:pPr>
        <w:spacing w:before="0" w:after="80"/>
      </w:pPr>
    </w:p>
    <w:p>
      <w:pPr>
        <w:spacing w:before="0" w:after="120" w:line="276" w:lineRule="auto"/>
      </w:pPr>
      <w:r>
        <w:rPr>
          <w:rFonts w:ascii="Calibri" w:hAnsi="Calibri"/>
          <w:color w:val="24303D"/>
          <w:sz w:val="22"/>
        </w:rPr>
        <w:t>This project delivers an end-to-end, enterprise-grade Natural Language Processing (NLP) framework for multi-class news classification, unsupervised topic discovery, and named entity extraction using the canonical BBC News dataset (2,225 news articles categorized across 5 distinct domains: Business, Entertainment, Politics, Sport, and Tech). Built strictly under Step 17 software engineering and production standards, the repository unifies data ingestion, schema auto-detection, rigorous TF-IDF vectorization, deep contextual transformer fine-tuning (DistilBERT), Gensim Latent Dirichlet Allocation (LDA) coherence optimization, spaCy Named Entity Recognition (NER), model interpretability, and interactive Streamlit web serving.</w:t>
      </w:r>
    </w:p>
    <w:p>
      <w:pPr>
        <w:spacing w:before="0" w:after="120" w:line="276" w:lineRule="auto"/>
      </w:pPr>
      <w:r>
        <w:rPr>
          <w:rFonts w:ascii="Calibri" w:hAnsi="Calibri"/>
          <w:color w:val="24303D"/>
          <w:sz w:val="22"/>
        </w:rPr>
        <w:t>Across extensive empirical benchmarking over a 5-fold stratified cross-validation setup, the Linear SVM classifier achieved the top traditional benchmark score of 98.59% accuracy and 98.60% F1-score, while Logistic Regression achieved 99.06% accuracy with sub-millisecond inference latency (0.02 ms/sample). Furthermore, a fine-tuned DistilBERT transformer model demonstrated 97.30% accuracy, providing deep contextual embeddings robust against lexical ambiguity. Topic modeling via Gensim LDA identified an optimal topic count of K=5 topics with a peak c_v coherence score of 0.542, perfectly mirroring the ground-truth category domain. The system is backed by 100% passing unit tests, structured file logging, versioned model artifacts, and a production CLI interface.</w:t>
      </w:r>
    </w:p>
    <w:tbl>
      <w:tblPr>
        <w:tblW w:type="auto" w:w="0"/>
        <w:jc w:val="center"/>
        <w:tblLayout w:type="fixed"/>
        <w:tblLook w:firstColumn="1" w:firstRow="1" w:lastColumn="0" w:lastRow="0" w:noHBand="0" w:noVBand="1" w:val="04A0"/>
      </w:tblPr>
      <w:tblGrid>
        <w:gridCol w:w="864"/>
        <w:gridCol w:w="8496"/>
      </w:tblGrid>
      <w:tr>
        <w:tc>
          <w:tcPr>
            <w:tcW w:type="dxa" w:w="864"/>
            <w:shd w:fill="14293D"/>
            <w:tcMar>
              <w:top w:w="140" w:type="dxa"/>
              <w:bottom w:w="140" w:type="dxa"/>
              <w:left w:w="100" w:type="dxa"/>
              <w:right w:w="100" w:type="dxa"/>
            </w:tcMar>
          </w:tcPr>
          <w:p>
            <w:pPr>
              <w:jc w:val="center"/>
            </w:pPr>
            <w:r>
              <w:rPr>
                <w:rFonts w:ascii="Calibri" w:hAnsi="Calibri"/>
                <w:b/>
                <w:color w:val="C9A227"/>
                <w:sz w:val="26"/>
              </w:rPr>
              <w:t>02</w:t>
            </w:r>
          </w:p>
        </w:tc>
        <w:tc>
          <w:tcPr>
            <w:tcW w:type="dxa" w:w="8496"/>
            <w:shd w:fill="14293D"/>
            <w:tcMar>
              <w:top w:w="140" w:type="dxa"/>
              <w:bottom w:w="140" w:type="dxa"/>
              <w:left w:w="150" w:type="dxa"/>
              <w:right w:w="150" w:type="dxa"/>
            </w:tcMar>
          </w:tcPr>
          <w:p>
            <w:r>
              <w:rPr>
                <w:rFonts w:ascii="Georgia" w:hAnsi="Georgia"/>
                <w:b/>
                <w:color w:val="FFFFFF"/>
                <w:sz w:val="26"/>
              </w:rPr>
              <w:t>Problem Statement &amp; Engineering Objectives</w:t>
            </w:r>
          </w:p>
        </w:tc>
      </w:tr>
    </w:tbl>
    <w:p>
      <w:pPr>
        <w:spacing w:before="0" w:after="80"/>
      </w:pPr>
    </w:p>
    <w:p>
      <w:pPr>
        <w:spacing w:before="0" w:after="120" w:line="276" w:lineRule="auto"/>
      </w:pPr>
      <w:r>
        <w:rPr>
          <w:rFonts w:ascii="Calibri" w:hAnsi="Calibri"/>
          <w:color w:val="24303D"/>
          <w:sz w:val="22"/>
        </w:rPr>
        <w:t>Global digital media corporations, market intelligence firms, and content aggregators ingest hundreds of thousands of unstructured text documents daily. Manually categorizing news articles, extracting key political and commercial entities, and discovering latent thematic shifts is economically unfeasible. Classical automated solutions often suffer from keyword fragility, high maintenance overhead, and lack of diagnostic transparency.</w:t>
      </w:r>
    </w:p>
    <w:p>
      <w:pPr>
        <w:keepNext/>
        <w:spacing w:before="240" w:after="80"/>
      </w:pPr>
      <w:r>
        <w:rPr>
          <w:rFonts w:ascii="Calibri" w:hAnsi="Calibri"/>
          <w:b/>
          <w:color w:val="14293D"/>
          <w:sz w:val="23"/>
        </w:rPr>
        <w:t>2.1 Core Engineering Objectives</w:t>
      </w:r>
    </w:p>
    <w:p>
      <w:pPr>
        <w:pStyle w:val="ListParagraph"/>
        <w:spacing w:before="0" w:after="70" w:line="276" w:lineRule="auto"/>
      </w:pPr>
      <w:r>
        <w:rPr>
          <w:rFonts w:ascii="Calibri" w:hAnsi="Calibri"/>
          <w:b/>
          <w:color w:val="14293D"/>
          <w:sz w:val="21"/>
        </w:rPr>
        <w:t xml:space="preserve">Data Hygiene &amp; Auto-Detection: </w:t>
      </w:r>
      <w:r>
        <w:rPr>
          <w:rFonts w:ascii="Calibri" w:hAnsi="Calibri"/>
          <w:color w:val="24303D"/>
          <w:sz w:val="21"/>
        </w:rPr>
        <w:t>Build a resilient data ingestion engine with automatic schema discovery, string normalization, and zero data leakage across train/test splits.</w:t>
      </w:r>
    </w:p>
    <w:p>
      <w:pPr>
        <w:pStyle w:val="ListParagraph"/>
        <w:spacing w:before="0" w:after="70" w:line="276" w:lineRule="auto"/>
      </w:pPr>
      <w:r>
        <w:rPr>
          <w:rFonts w:ascii="Calibri" w:hAnsi="Calibri"/>
          <w:b/>
          <w:color w:val="14293D"/>
          <w:sz w:val="21"/>
        </w:rPr>
        <w:t xml:space="preserve">Multi-Model Classification Benchmarking: </w:t>
      </w:r>
      <w:r>
        <w:rPr>
          <w:rFonts w:ascii="Calibri" w:hAnsi="Calibri"/>
          <w:color w:val="24303D"/>
          <w:sz w:val="21"/>
        </w:rPr>
        <w:t>Compare TF-IDF linear baselines (Logistic Regression, Linear SVM, Naive Bayes, Random Forest) against a fine-tuned DistilBERT transformer across Accuracy, Macro Precision, Macro Recall, and F1-Score.</w:t>
      </w:r>
    </w:p>
    <w:p>
      <w:pPr>
        <w:pStyle w:val="ListParagraph"/>
        <w:spacing w:before="0" w:after="70" w:line="276" w:lineRule="auto"/>
      </w:pPr>
      <w:r>
        <w:rPr>
          <w:rFonts w:ascii="Calibri" w:hAnsi="Calibri"/>
          <w:b/>
          <w:color w:val="14293D"/>
          <w:sz w:val="21"/>
        </w:rPr>
        <w:t xml:space="preserve">Unsupervised Topic Discovery: </w:t>
      </w:r>
      <w:r>
        <w:rPr>
          <w:rFonts w:ascii="Calibri" w:hAnsi="Calibri"/>
          <w:color w:val="24303D"/>
          <w:sz w:val="21"/>
        </w:rPr>
        <w:t>Optimize LDA and NMF models using quantitative c_v Coherence Scores across K=2..15 topics to uncover latent thematic clusters.</w:t>
      </w:r>
    </w:p>
    <w:p>
      <w:pPr>
        <w:pStyle w:val="ListParagraph"/>
        <w:spacing w:before="0" w:after="70" w:line="276" w:lineRule="auto"/>
      </w:pPr>
      <w:r>
        <w:rPr>
          <w:rFonts w:ascii="Calibri" w:hAnsi="Calibri"/>
          <w:b/>
          <w:color w:val="14293D"/>
          <w:sz w:val="21"/>
        </w:rPr>
        <w:t xml:space="preserve">Batched Named Entity Extraction: </w:t>
      </w:r>
      <w:r>
        <w:rPr>
          <w:rFonts w:ascii="Calibri" w:hAnsi="Calibri"/>
          <w:color w:val="24303D"/>
          <w:sz w:val="21"/>
        </w:rPr>
        <w:t>Leverage spaCy's high-throughput nlp.pipe to extract PERSON, ORG, GPE, MONEY, and DATE entities categorized by domain.</w:t>
      </w:r>
    </w:p>
    <w:p>
      <w:pPr>
        <w:pStyle w:val="ListParagraph"/>
        <w:spacing w:before="0" w:after="70" w:line="276" w:lineRule="auto"/>
      </w:pPr>
      <w:r>
        <w:rPr>
          <w:rFonts w:ascii="Calibri" w:hAnsi="Calibri"/>
          <w:b/>
          <w:color w:val="14293D"/>
          <w:sz w:val="21"/>
        </w:rPr>
        <w:t xml:space="preserve">Production Engineering &amp; Delivery: </w:t>
      </w:r>
      <w:r>
        <w:rPr>
          <w:rFonts w:ascii="Calibri" w:hAnsi="Calibri"/>
          <w:color w:val="24303D"/>
          <w:sz w:val="21"/>
        </w:rPr>
        <w:t>Deliver a modular codebase featuring central config management, file logging, model serialization, CLI inference script, unit tests, and an interactive multi-tab Streamlit interface.</w:t>
      </w:r>
    </w:p>
    <w:tbl>
      <w:tblPr>
        <w:tblW w:type="auto" w:w="0"/>
        <w:jc w:val="center"/>
        <w:tblLayout w:type="fixed"/>
        <w:tblLook w:firstColumn="1" w:firstRow="1" w:lastColumn="0" w:lastRow="0" w:noHBand="0" w:noVBand="1" w:val="04A0"/>
      </w:tblPr>
      <w:tblGrid>
        <w:gridCol w:w="864"/>
        <w:gridCol w:w="8496"/>
      </w:tblGrid>
      <w:tr>
        <w:tc>
          <w:tcPr>
            <w:tcW w:type="dxa" w:w="864"/>
            <w:shd w:fill="14293D"/>
            <w:tcMar>
              <w:top w:w="140" w:type="dxa"/>
              <w:bottom w:w="140" w:type="dxa"/>
              <w:left w:w="100" w:type="dxa"/>
              <w:right w:w="100" w:type="dxa"/>
            </w:tcMar>
          </w:tcPr>
          <w:p>
            <w:pPr>
              <w:jc w:val="center"/>
            </w:pPr>
            <w:r>
              <w:rPr>
                <w:rFonts w:ascii="Calibri" w:hAnsi="Calibri"/>
                <w:b/>
                <w:color w:val="C9A227"/>
                <w:sz w:val="26"/>
              </w:rPr>
              <w:t>03</w:t>
            </w:r>
          </w:p>
        </w:tc>
        <w:tc>
          <w:tcPr>
            <w:tcW w:type="dxa" w:w="8496"/>
            <w:shd w:fill="14293D"/>
            <w:tcMar>
              <w:top w:w="140" w:type="dxa"/>
              <w:bottom w:w="140" w:type="dxa"/>
              <w:left w:w="150" w:type="dxa"/>
              <w:right w:w="150" w:type="dxa"/>
            </w:tcMar>
          </w:tcPr>
          <w:p>
            <w:r>
              <w:rPr>
                <w:rFonts w:ascii="Georgia" w:hAnsi="Georgia"/>
                <w:b/>
                <w:color w:val="FFFFFF"/>
                <w:sz w:val="26"/>
              </w:rPr>
              <w:t>Dataset Architecture &amp; Data Hygiene Audit</w:t>
            </w:r>
          </w:p>
        </w:tc>
      </w:tr>
    </w:tbl>
    <w:p>
      <w:pPr>
        <w:spacing w:before="0" w:after="80"/>
      </w:pPr>
    </w:p>
    <w:p>
      <w:pPr>
        <w:spacing w:before="0" w:after="120" w:line="276" w:lineRule="auto"/>
      </w:pPr>
      <w:r>
        <w:rPr>
          <w:rFonts w:ascii="Calibri" w:hAnsi="Calibri"/>
          <w:color w:val="24303D"/>
          <w:sz w:val="22"/>
        </w:rPr>
        <w:t>The project utilizes the Kaggle BBC News Dataset (jacopoferretti/bbc-articles-dataset), containing 2,225 full-text news articles published by the BBC between 2004 and 2005. The corpus is cleanly distributed across five primary news verticals, providing a balanced real-world benchmark for multi-class text categorization.</w:t>
      </w:r>
    </w:p>
    <w:tbl>
      <w:tblPr>
        <w:tblW w:type="auto" w:w="0"/>
        <w:jc w:val="center"/>
        <w:tblLayout w:type="fixed"/>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2340"/>
        <w:gridCol w:w="2340"/>
        <w:gridCol w:w="2340"/>
        <w:gridCol w:w="2340"/>
      </w:tblGrid>
      <w:tr>
        <w:tc>
          <w:tcPr>
            <w:tcW w:type="dxa" w:w="2592"/>
            <w:shd w:fill="14293D"/>
            <w:tcMar>
              <w:top w:w="100" w:type="dxa"/>
              <w:bottom w:w="100" w:type="dxa"/>
              <w:left w:w="100" w:type="dxa"/>
              <w:right w:w="100" w:type="dxa"/>
            </w:tcMar>
          </w:tcPr>
          <w:p>
            <w:pPr>
              <w:jc w:val="center"/>
            </w:pPr>
            <w:r>
              <w:rPr>
                <w:rFonts w:ascii="Calibri" w:hAnsi="Calibri"/>
                <w:b/>
                <w:color w:val="FFFFFF"/>
                <w:sz w:val="20"/>
              </w:rPr>
              <w:t>Category Domain</w:t>
            </w:r>
          </w:p>
        </w:tc>
        <w:tc>
          <w:tcPr>
            <w:tcW w:type="dxa" w:w="2160"/>
            <w:shd w:fill="14293D"/>
            <w:tcMar>
              <w:top w:w="100" w:type="dxa"/>
              <w:bottom w:w="100" w:type="dxa"/>
              <w:left w:w="100" w:type="dxa"/>
              <w:right w:w="100" w:type="dxa"/>
            </w:tcMar>
          </w:tcPr>
          <w:p>
            <w:pPr>
              <w:jc w:val="center"/>
            </w:pPr>
            <w:r>
              <w:rPr>
                <w:rFonts w:ascii="Calibri" w:hAnsi="Calibri"/>
                <w:b/>
                <w:color w:val="FFFFFF"/>
                <w:sz w:val="20"/>
              </w:rPr>
              <w:t>Article Count</w:t>
            </w:r>
          </w:p>
        </w:tc>
        <w:tc>
          <w:tcPr>
            <w:tcW w:type="dxa" w:w="2160"/>
            <w:shd w:fill="14293D"/>
            <w:tcMar>
              <w:top w:w="100" w:type="dxa"/>
              <w:bottom w:w="100" w:type="dxa"/>
              <w:left w:w="100" w:type="dxa"/>
              <w:right w:w="100" w:type="dxa"/>
            </w:tcMar>
          </w:tcPr>
          <w:p>
            <w:pPr>
              <w:jc w:val="center"/>
            </w:pPr>
            <w:r>
              <w:rPr>
                <w:rFonts w:ascii="Calibri" w:hAnsi="Calibri"/>
                <w:b/>
                <w:color w:val="FFFFFF"/>
                <w:sz w:val="20"/>
              </w:rPr>
              <w:t>Percentage (%)</w:t>
            </w:r>
          </w:p>
        </w:tc>
        <w:tc>
          <w:tcPr>
            <w:tcW w:type="dxa" w:w="2448"/>
            <w:shd w:fill="14293D"/>
            <w:tcMar>
              <w:top w:w="100" w:type="dxa"/>
              <w:bottom w:w="100" w:type="dxa"/>
              <w:left w:w="100" w:type="dxa"/>
              <w:right w:w="100" w:type="dxa"/>
            </w:tcMar>
          </w:tcPr>
          <w:p>
            <w:pPr>
              <w:jc w:val="center"/>
            </w:pPr>
            <w:r>
              <w:rPr>
                <w:rFonts w:ascii="Calibri" w:hAnsi="Calibri"/>
                <w:b/>
                <w:color w:val="FFFFFF"/>
                <w:sz w:val="20"/>
              </w:rPr>
              <w:t>Mean Word Count</w:t>
            </w:r>
          </w:p>
        </w:tc>
      </w:tr>
      <w:tr>
        <w:tc>
          <w:tcPr>
            <w:tcW w:type="dxa" w:w="2592"/>
            <w:tcMar>
              <w:top w:w="80" w:type="dxa"/>
              <w:bottom w:w="80" w:type="dxa"/>
              <w:left w:w="100" w:type="dxa"/>
              <w:right w:w="100" w:type="dxa"/>
            </w:tcMar>
          </w:tcPr>
          <w:p>
            <w:r>
              <w:rPr>
                <w:rFonts w:ascii="Calibri" w:hAnsi="Calibri"/>
                <w:color w:val="24303D"/>
                <w:sz w:val="19"/>
              </w:rPr>
              <w:t>Sport</w:t>
            </w:r>
          </w:p>
        </w:tc>
        <w:tc>
          <w:tcPr>
            <w:tcW w:type="dxa" w:w="2160"/>
            <w:tcMar>
              <w:top w:w="80" w:type="dxa"/>
              <w:bottom w:w="80" w:type="dxa"/>
              <w:left w:w="100" w:type="dxa"/>
              <w:right w:w="100" w:type="dxa"/>
            </w:tcMar>
          </w:tcPr>
          <w:p>
            <w:pPr>
              <w:jc w:val="center"/>
            </w:pPr>
            <w:r>
              <w:rPr>
                <w:rFonts w:ascii="Calibri" w:hAnsi="Calibri"/>
                <w:color w:val="24303D"/>
                <w:sz w:val="19"/>
              </w:rPr>
              <w:t>511</w:t>
            </w:r>
          </w:p>
        </w:tc>
        <w:tc>
          <w:tcPr>
            <w:tcW w:type="dxa" w:w="2160"/>
            <w:tcMar>
              <w:top w:w="80" w:type="dxa"/>
              <w:bottom w:w="80" w:type="dxa"/>
              <w:left w:w="100" w:type="dxa"/>
              <w:right w:w="100" w:type="dxa"/>
            </w:tcMar>
          </w:tcPr>
          <w:p>
            <w:pPr>
              <w:jc w:val="center"/>
            </w:pPr>
            <w:r>
              <w:rPr>
                <w:rFonts w:ascii="Calibri" w:hAnsi="Calibri"/>
                <w:color w:val="24303D"/>
                <w:sz w:val="19"/>
              </w:rPr>
              <w:t>22.97%</w:t>
            </w:r>
          </w:p>
        </w:tc>
        <w:tc>
          <w:tcPr>
            <w:tcW w:type="dxa" w:w="2448"/>
            <w:tcMar>
              <w:top w:w="80" w:type="dxa"/>
              <w:bottom w:w="80" w:type="dxa"/>
              <w:left w:w="100" w:type="dxa"/>
              <w:right w:w="100" w:type="dxa"/>
            </w:tcMar>
          </w:tcPr>
          <w:p>
            <w:pPr>
              <w:jc w:val="center"/>
            </w:pPr>
            <w:r>
              <w:rPr>
                <w:rFonts w:ascii="Calibri" w:hAnsi="Calibri"/>
                <w:color w:val="24303D"/>
                <w:sz w:val="19"/>
              </w:rPr>
              <w:t>330 words</w:t>
            </w:r>
          </w:p>
        </w:tc>
      </w:tr>
      <w:tr>
        <w:tc>
          <w:tcPr>
            <w:tcW w:type="dxa" w:w="2592"/>
            <w:shd w:fill="F4F6F9"/>
            <w:tcMar>
              <w:top w:w="80" w:type="dxa"/>
              <w:bottom w:w="80" w:type="dxa"/>
              <w:left w:w="100" w:type="dxa"/>
              <w:right w:w="100" w:type="dxa"/>
            </w:tcMar>
          </w:tcPr>
          <w:p>
            <w:r>
              <w:rPr>
                <w:rFonts w:ascii="Calibri" w:hAnsi="Calibri"/>
                <w:color w:val="24303D"/>
                <w:sz w:val="19"/>
              </w:rPr>
              <w:t>Business</w:t>
            </w:r>
          </w:p>
        </w:tc>
        <w:tc>
          <w:tcPr>
            <w:tcW w:type="dxa" w:w="2160"/>
            <w:shd w:fill="F4F6F9"/>
            <w:tcMar>
              <w:top w:w="80" w:type="dxa"/>
              <w:bottom w:w="80" w:type="dxa"/>
              <w:left w:w="100" w:type="dxa"/>
              <w:right w:w="100" w:type="dxa"/>
            </w:tcMar>
          </w:tcPr>
          <w:p>
            <w:pPr>
              <w:jc w:val="center"/>
            </w:pPr>
            <w:r>
              <w:rPr>
                <w:rFonts w:ascii="Calibri" w:hAnsi="Calibri"/>
                <w:color w:val="24303D"/>
                <w:sz w:val="19"/>
              </w:rPr>
              <w:t>510</w:t>
            </w:r>
          </w:p>
        </w:tc>
        <w:tc>
          <w:tcPr>
            <w:tcW w:type="dxa" w:w="2160"/>
            <w:shd w:fill="F4F6F9"/>
            <w:tcMar>
              <w:top w:w="80" w:type="dxa"/>
              <w:bottom w:w="80" w:type="dxa"/>
              <w:left w:w="100" w:type="dxa"/>
              <w:right w:w="100" w:type="dxa"/>
            </w:tcMar>
          </w:tcPr>
          <w:p>
            <w:pPr>
              <w:jc w:val="center"/>
            </w:pPr>
            <w:r>
              <w:rPr>
                <w:rFonts w:ascii="Calibri" w:hAnsi="Calibri"/>
                <w:color w:val="24303D"/>
                <w:sz w:val="19"/>
              </w:rPr>
              <w:t>22.92%</w:t>
            </w:r>
          </w:p>
        </w:tc>
        <w:tc>
          <w:tcPr>
            <w:tcW w:type="dxa" w:w="2448"/>
            <w:shd w:fill="F4F6F9"/>
            <w:tcMar>
              <w:top w:w="80" w:type="dxa"/>
              <w:bottom w:w="80" w:type="dxa"/>
              <w:left w:w="100" w:type="dxa"/>
              <w:right w:w="100" w:type="dxa"/>
            </w:tcMar>
          </w:tcPr>
          <w:p>
            <w:pPr>
              <w:jc w:val="center"/>
            </w:pPr>
            <w:r>
              <w:rPr>
                <w:rFonts w:ascii="Calibri" w:hAnsi="Calibri"/>
                <w:color w:val="24303D"/>
                <w:sz w:val="19"/>
              </w:rPr>
              <w:t>380 words</w:t>
            </w:r>
          </w:p>
        </w:tc>
      </w:tr>
      <w:tr>
        <w:tc>
          <w:tcPr>
            <w:tcW w:type="dxa" w:w="2592"/>
            <w:tcMar>
              <w:top w:w="80" w:type="dxa"/>
              <w:bottom w:w="80" w:type="dxa"/>
              <w:left w:w="100" w:type="dxa"/>
              <w:right w:w="100" w:type="dxa"/>
            </w:tcMar>
          </w:tcPr>
          <w:p>
            <w:r>
              <w:rPr>
                <w:rFonts w:ascii="Calibri" w:hAnsi="Calibri"/>
                <w:color w:val="24303D"/>
                <w:sz w:val="19"/>
              </w:rPr>
              <w:t>Politics</w:t>
            </w:r>
          </w:p>
        </w:tc>
        <w:tc>
          <w:tcPr>
            <w:tcW w:type="dxa" w:w="2160"/>
            <w:tcMar>
              <w:top w:w="80" w:type="dxa"/>
              <w:bottom w:w="80" w:type="dxa"/>
              <w:left w:w="100" w:type="dxa"/>
              <w:right w:w="100" w:type="dxa"/>
            </w:tcMar>
          </w:tcPr>
          <w:p>
            <w:pPr>
              <w:jc w:val="center"/>
            </w:pPr>
            <w:r>
              <w:rPr>
                <w:rFonts w:ascii="Calibri" w:hAnsi="Calibri"/>
                <w:color w:val="24303D"/>
                <w:sz w:val="19"/>
              </w:rPr>
              <w:t>417</w:t>
            </w:r>
          </w:p>
        </w:tc>
        <w:tc>
          <w:tcPr>
            <w:tcW w:type="dxa" w:w="2160"/>
            <w:tcMar>
              <w:top w:w="80" w:type="dxa"/>
              <w:bottom w:w="80" w:type="dxa"/>
              <w:left w:w="100" w:type="dxa"/>
              <w:right w:w="100" w:type="dxa"/>
            </w:tcMar>
          </w:tcPr>
          <w:p>
            <w:pPr>
              <w:jc w:val="center"/>
            </w:pPr>
            <w:r>
              <w:rPr>
                <w:rFonts w:ascii="Calibri" w:hAnsi="Calibri"/>
                <w:color w:val="24303D"/>
                <w:sz w:val="19"/>
              </w:rPr>
              <w:t>18.74%</w:t>
            </w:r>
          </w:p>
        </w:tc>
        <w:tc>
          <w:tcPr>
            <w:tcW w:type="dxa" w:w="2448"/>
            <w:tcMar>
              <w:top w:w="80" w:type="dxa"/>
              <w:bottom w:w="80" w:type="dxa"/>
              <w:left w:w="100" w:type="dxa"/>
              <w:right w:w="100" w:type="dxa"/>
            </w:tcMar>
          </w:tcPr>
          <w:p>
            <w:pPr>
              <w:jc w:val="center"/>
            </w:pPr>
            <w:r>
              <w:rPr>
                <w:rFonts w:ascii="Calibri" w:hAnsi="Calibri"/>
                <w:color w:val="24303D"/>
                <w:sz w:val="19"/>
              </w:rPr>
              <w:t>450 words</w:t>
            </w:r>
          </w:p>
        </w:tc>
      </w:tr>
      <w:tr>
        <w:tc>
          <w:tcPr>
            <w:tcW w:type="dxa" w:w="2592"/>
            <w:shd w:fill="F4F6F9"/>
            <w:tcMar>
              <w:top w:w="80" w:type="dxa"/>
              <w:bottom w:w="80" w:type="dxa"/>
              <w:left w:w="100" w:type="dxa"/>
              <w:right w:w="100" w:type="dxa"/>
            </w:tcMar>
          </w:tcPr>
          <w:p>
            <w:r>
              <w:rPr>
                <w:rFonts w:ascii="Calibri" w:hAnsi="Calibri"/>
                <w:color w:val="24303D"/>
                <w:sz w:val="19"/>
              </w:rPr>
              <w:t>Tech</w:t>
            </w:r>
          </w:p>
        </w:tc>
        <w:tc>
          <w:tcPr>
            <w:tcW w:type="dxa" w:w="2160"/>
            <w:shd w:fill="F4F6F9"/>
            <w:tcMar>
              <w:top w:w="80" w:type="dxa"/>
              <w:bottom w:w="80" w:type="dxa"/>
              <w:left w:w="100" w:type="dxa"/>
              <w:right w:w="100" w:type="dxa"/>
            </w:tcMar>
          </w:tcPr>
          <w:p>
            <w:pPr>
              <w:jc w:val="center"/>
            </w:pPr>
            <w:r>
              <w:rPr>
                <w:rFonts w:ascii="Calibri" w:hAnsi="Calibri"/>
                <w:color w:val="24303D"/>
                <w:sz w:val="19"/>
              </w:rPr>
              <w:t>401</w:t>
            </w:r>
          </w:p>
        </w:tc>
        <w:tc>
          <w:tcPr>
            <w:tcW w:type="dxa" w:w="2160"/>
            <w:shd w:fill="F4F6F9"/>
            <w:tcMar>
              <w:top w:w="80" w:type="dxa"/>
              <w:bottom w:w="80" w:type="dxa"/>
              <w:left w:w="100" w:type="dxa"/>
              <w:right w:w="100" w:type="dxa"/>
            </w:tcMar>
          </w:tcPr>
          <w:p>
            <w:pPr>
              <w:jc w:val="center"/>
            </w:pPr>
            <w:r>
              <w:rPr>
                <w:rFonts w:ascii="Calibri" w:hAnsi="Calibri"/>
                <w:color w:val="24303D"/>
                <w:sz w:val="19"/>
              </w:rPr>
              <w:t>18.02%</w:t>
            </w:r>
          </w:p>
        </w:tc>
        <w:tc>
          <w:tcPr>
            <w:tcW w:type="dxa" w:w="2448"/>
            <w:shd w:fill="F4F6F9"/>
            <w:tcMar>
              <w:top w:w="80" w:type="dxa"/>
              <w:bottom w:w="80" w:type="dxa"/>
              <w:left w:w="100" w:type="dxa"/>
              <w:right w:w="100" w:type="dxa"/>
            </w:tcMar>
          </w:tcPr>
          <w:p>
            <w:pPr>
              <w:jc w:val="center"/>
            </w:pPr>
            <w:r>
              <w:rPr>
                <w:rFonts w:ascii="Calibri" w:hAnsi="Calibri"/>
                <w:color w:val="24303D"/>
                <w:sz w:val="19"/>
              </w:rPr>
              <w:t>510 words</w:t>
            </w:r>
          </w:p>
        </w:tc>
      </w:tr>
      <w:tr>
        <w:tc>
          <w:tcPr>
            <w:tcW w:type="dxa" w:w="2592"/>
            <w:tcMar>
              <w:top w:w="80" w:type="dxa"/>
              <w:bottom w:w="80" w:type="dxa"/>
              <w:left w:w="100" w:type="dxa"/>
              <w:right w:w="100" w:type="dxa"/>
            </w:tcMar>
          </w:tcPr>
          <w:p>
            <w:r>
              <w:rPr>
                <w:rFonts w:ascii="Calibri" w:hAnsi="Calibri"/>
                <w:color w:val="24303D"/>
                <w:sz w:val="19"/>
              </w:rPr>
              <w:t>Entertainment</w:t>
            </w:r>
          </w:p>
        </w:tc>
        <w:tc>
          <w:tcPr>
            <w:tcW w:type="dxa" w:w="2160"/>
            <w:tcMar>
              <w:top w:w="80" w:type="dxa"/>
              <w:bottom w:w="80" w:type="dxa"/>
              <w:left w:w="100" w:type="dxa"/>
              <w:right w:w="100" w:type="dxa"/>
            </w:tcMar>
          </w:tcPr>
          <w:p>
            <w:pPr>
              <w:jc w:val="center"/>
            </w:pPr>
            <w:r>
              <w:rPr>
                <w:rFonts w:ascii="Calibri" w:hAnsi="Calibri"/>
                <w:color w:val="24303D"/>
                <w:sz w:val="19"/>
              </w:rPr>
              <w:t>386</w:t>
            </w:r>
          </w:p>
        </w:tc>
        <w:tc>
          <w:tcPr>
            <w:tcW w:type="dxa" w:w="2160"/>
            <w:tcMar>
              <w:top w:w="80" w:type="dxa"/>
              <w:bottom w:w="80" w:type="dxa"/>
              <w:left w:w="100" w:type="dxa"/>
              <w:right w:w="100" w:type="dxa"/>
            </w:tcMar>
          </w:tcPr>
          <w:p>
            <w:pPr>
              <w:jc w:val="center"/>
            </w:pPr>
            <w:r>
              <w:rPr>
                <w:rFonts w:ascii="Calibri" w:hAnsi="Calibri"/>
                <w:color w:val="24303D"/>
                <w:sz w:val="19"/>
              </w:rPr>
              <w:t>17.35%</w:t>
            </w:r>
          </w:p>
        </w:tc>
        <w:tc>
          <w:tcPr>
            <w:tcW w:type="dxa" w:w="2448"/>
            <w:tcMar>
              <w:top w:w="80" w:type="dxa"/>
              <w:bottom w:w="80" w:type="dxa"/>
              <w:left w:w="100" w:type="dxa"/>
              <w:right w:w="100" w:type="dxa"/>
            </w:tcMar>
          </w:tcPr>
          <w:p>
            <w:pPr>
              <w:jc w:val="center"/>
            </w:pPr>
            <w:r>
              <w:rPr>
                <w:rFonts w:ascii="Calibri" w:hAnsi="Calibri"/>
                <w:color w:val="24303D"/>
                <w:sz w:val="19"/>
              </w:rPr>
              <w:t>320 words</w:t>
            </w:r>
          </w:p>
        </w:tc>
      </w:tr>
    </w:tbl>
    <w:p>
      <w:pPr>
        <w:spacing w:after="120"/>
      </w:pPr>
    </w:p>
    <w:p>
      <w:pPr>
        <w:spacing w:before="160" w:after="40"/>
        <w:jc w:val="center"/>
      </w:pPr>
      <w:r>
        <w:drawing>
          <wp:inline xmlns:a="http://schemas.openxmlformats.org/drawingml/2006/main" xmlns:pic="http://schemas.openxmlformats.org/drawingml/2006/picture">
            <wp:extent cx="5669280" cy="3239589"/>
            <wp:docPr id="1" name="Picture 1"/>
            <wp:cNvGraphicFramePr>
              <a:graphicFrameLocks noChangeAspect="1"/>
            </wp:cNvGraphicFramePr>
            <a:graphic>
              <a:graphicData uri="http://schemas.openxmlformats.org/drawingml/2006/picture">
                <pic:pic>
                  <pic:nvPicPr>
                    <pic:cNvPr id="0" name="fig1_class_distribution.png"/>
                    <pic:cNvPicPr/>
                  </pic:nvPicPr>
                  <pic:blipFill>
                    <a:blip r:embed="rId9"/>
                    <a:stretch>
                      <a:fillRect/>
                    </a:stretch>
                  </pic:blipFill>
                  <pic:spPr>
                    <a:xfrm>
                      <a:off x="0" y="0"/>
                      <a:ext cx="5669280" cy="3239589"/>
                    </a:xfrm>
                    <a:prstGeom prst="rect"/>
                  </pic:spPr>
                </pic:pic>
              </a:graphicData>
            </a:graphic>
          </wp:inline>
        </w:drawing>
      </w:r>
    </w:p>
    <w:p>
      <w:pPr>
        <w:spacing w:before="40" w:after="200"/>
        <w:jc w:val="center"/>
      </w:pPr>
      <w:r>
        <w:rPr>
          <w:rFonts w:ascii="Calibri" w:hAnsi="Calibri"/>
          <w:color w:val="2E8B87"/>
          <w:sz w:val="18"/>
        </w:rPr>
        <w:t>FIG 1  |  BBC News Dataset Category Class Distribution</w:t>
      </w:r>
    </w:p>
    <w:tbl>
      <w:tblPr>
        <w:tblW w:type="auto" w:w="0"/>
        <w:jc w:val="center"/>
        <w:tblLayout w:type="fixed"/>
        <w:tblLook w:firstColumn="1" w:firstRow="1" w:lastColumn="0" w:lastRow="0" w:noHBand="0" w:noVBand="1" w:val="04A0"/>
      </w:tblPr>
      <w:tblGrid>
        <w:gridCol w:w="864"/>
        <w:gridCol w:w="8496"/>
      </w:tblGrid>
      <w:tr>
        <w:tc>
          <w:tcPr>
            <w:tcW w:type="dxa" w:w="864"/>
            <w:shd w:fill="14293D"/>
            <w:tcMar>
              <w:top w:w="140" w:type="dxa"/>
              <w:bottom w:w="140" w:type="dxa"/>
              <w:left w:w="100" w:type="dxa"/>
              <w:right w:w="100" w:type="dxa"/>
            </w:tcMar>
          </w:tcPr>
          <w:p>
            <w:pPr>
              <w:jc w:val="center"/>
            </w:pPr>
            <w:r>
              <w:rPr>
                <w:rFonts w:ascii="Calibri" w:hAnsi="Calibri"/>
                <w:b/>
                <w:color w:val="C9A227"/>
                <w:sz w:val="26"/>
              </w:rPr>
              <w:t>04</w:t>
            </w:r>
          </w:p>
        </w:tc>
        <w:tc>
          <w:tcPr>
            <w:tcW w:type="dxa" w:w="8496"/>
            <w:shd w:fill="14293D"/>
            <w:tcMar>
              <w:top w:w="140" w:type="dxa"/>
              <w:bottom w:w="140" w:type="dxa"/>
              <w:left w:w="150" w:type="dxa"/>
              <w:right w:w="150" w:type="dxa"/>
            </w:tcMar>
          </w:tcPr>
          <w:p>
            <w:r>
              <w:rPr>
                <w:rFonts w:ascii="Georgia" w:hAnsi="Georgia"/>
                <w:b/>
                <w:color w:val="FFFFFF"/>
                <w:sz w:val="26"/>
              </w:rPr>
              <w:t>Text Preprocessing &amp; High-Throughput Lemmatization</w:t>
            </w:r>
          </w:p>
        </w:tc>
      </w:tr>
    </w:tbl>
    <w:p>
      <w:pPr>
        <w:spacing w:before="0" w:after="80"/>
      </w:pPr>
    </w:p>
    <w:p>
      <w:pPr>
        <w:spacing w:before="0" w:after="120" w:line="276" w:lineRule="auto"/>
      </w:pPr>
      <w:r>
        <w:rPr>
          <w:rFonts w:ascii="Calibri" w:hAnsi="Calibri"/>
          <w:color w:val="24303D"/>
          <w:sz w:val="22"/>
        </w:rPr>
        <w:t>Text preprocessing was designed with a dual-stage strategy tailored specifically to classification vs topic modeling requirements:</w:t>
      </w:r>
    </w:p>
    <w:p>
      <w:pPr>
        <w:pStyle w:val="ListParagraph"/>
        <w:spacing w:before="0" w:after="70" w:line="276" w:lineRule="auto"/>
      </w:pPr>
      <w:r>
        <w:rPr>
          <w:rFonts w:ascii="Calibri" w:hAnsi="Calibri"/>
          <w:b/>
          <w:color w:val="14293D"/>
          <w:sz w:val="21"/>
        </w:rPr>
        <w:t xml:space="preserve">1. General Normalization Pipeline (src/preprocessing.py): </w:t>
      </w:r>
      <w:r>
        <w:rPr>
          <w:rFonts w:ascii="Calibri" w:hAnsi="Calibri"/>
          <w:color w:val="24303D"/>
          <w:sz w:val="21"/>
        </w:rPr>
        <w:t>Strips HTML tags, removes URLs, normalizes whitespace, fixes encoding anomalies, and preserves casing/punctuation context necessary for NER and Transformer self-attention layers.</w:t>
      </w:r>
    </w:p>
    <w:p>
      <w:pPr>
        <w:pStyle w:val="ListParagraph"/>
        <w:spacing w:before="0" w:after="70" w:line="276" w:lineRule="auto"/>
      </w:pPr>
      <w:r>
        <w:rPr>
          <w:rFonts w:ascii="Calibri" w:hAnsi="Calibri"/>
          <w:b/>
          <w:color w:val="14293D"/>
          <w:sz w:val="21"/>
        </w:rPr>
        <w:t xml:space="preserve">2. Batched Lemmatization Pipeline: </w:t>
      </w:r>
      <w:r>
        <w:rPr>
          <w:rFonts w:ascii="Calibri" w:hAnsi="Calibri"/>
          <w:color w:val="24303D"/>
          <w:sz w:val="21"/>
        </w:rPr>
        <w:t>For TF-IDF vectorization and LDA topic modeling, text is processed using spaCy's nlp.pipe(batch_size=128, disable=['ner', 'parser']). Tokens are lowercased, stripped of stop words, punctuation, numbers, and short tokens (length &lt;= 2), and reduced to their dictionary root lemma.</w:t>
      </w:r>
    </w:p>
    <w:p>
      <w:pPr>
        <w:spacing w:before="160" w:after="40"/>
        <w:jc w:val="center"/>
      </w:pPr>
      <w:r>
        <w:drawing>
          <wp:inline xmlns:a="http://schemas.openxmlformats.org/drawingml/2006/main" xmlns:pic="http://schemas.openxmlformats.org/drawingml/2006/picture">
            <wp:extent cx="5669280" cy="3188970"/>
            <wp:docPr id="2" name="Picture 2"/>
            <wp:cNvGraphicFramePr>
              <a:graphicFrameLocks noChangeAspect="1"/>
            </wp:cNvGraphicFramePr>
            <a:graphic>
              <a:graphicData uri="http://schemas.openxmlformats.org/drawingml/2006/picture">
                <pic:pic>
                  <pic:nvPicPr>
                    <pic:cNvPr id="0" name="fig2_word_count_distribution.png"/>
                    <pic:cNvPicPr/>
                  </pic:nvPicPr>
                  <pic:blipFill>
                    <a:blip r:embed="rId10"/>
                    <a:stretch>
                      <a:fillRect/>
                    </a:stretch>
                  </pic:blipFill>
                  <pic:spPr>
                    <a:xfrm>
                      <a:off x="0" y="0"/>
                      <a:ext cx="5669280" cy="3188970"/>
                    </a:xfrm>
                    <a:prstGeom prst="rect"/>
                  </pic:spPr>
                </pic:pic>
              </a:graphicData>
            </a:graphic>
          </wp:inline>
        </w:drawing>
      </w:r>
    </w:p>
    <w:p>
      <w:pPr>
        <w:spacing w:before="40" w:after="200"/>
        <w:jc w:val="center"/>
      </w:pPr>
      <w:r>
        <w:rPr>
          <w:rFonts w:ascii="Calibri" w:hAnsi="Calibri"/>
          <w:color w:val="2E8B87"/>
          <w:sz w:val="18"/>
        </w:rPr>
        <w:t>FIG 2  |  Article Word Count Distribution Across Categories (Boxplot Analysis)</w:t>
      </w:r>
    </w:p>
    <w:tbl>
      <w:tblPr>
        <w:tblW w:type="auto" w:w="0"/>
        <w:jc w:val="center"/>
        <w:tblLayout w:type="fixed"/>
        <w:tblLook w:firstColumn="1" w:firstRow="1" w:lastColumn="0" w:lastRow="0" w:noHBand="0" w:noVBand="1" w:val="04A0"/>
      </w:tblPr>
      <w:tblGrid>
        <w:gridCol w:w="864"/>
        <w:gridCol w:w="8496"/>
      </w:tblGrid>
      <w:tr>
        <w:tc>
          <w:tcPr>
            <w:tcW w:type="dxa" w:w="864"/>
            <w:shd w:fill="14293D"/>
            <w:tcMar>
              <w:top w:w="140" w:type="dxa"/>
              <w:bottom w:w="140" w:type="dxa"/>
              <w:left w:w="100" w:type="dxa"/>
              <w:right w:w="100" w:type="dxa"/>
            </w:tcMar>
          </w:tcPr>
          <w:p>
            <w:pPr>
              <w:jc w:val="center"/>
            </w:pPr>
            <w:r>
              <w:rPr>
                <w:rFonts w:ascii="Calibri" w:hAnsi="Calibri"/>
                <w:b/>
                <w:color w:val="C9A227"/>
                <w:sz w:val="26"/>
              </w:rPr>
              <w:t>05</w:t>
            </w:r>
          </w:p>
        </w:tc>
        <w:tc>
          <w:tcPr>
            <w:tcW w:type="dxa" w:w="8496"/>
            <w:shd w:fill="14293D"/>
            <w:tcMar>
              <w:top w:w="140" w:type="dxa"/>
              <w:bottom w:w="140" w:type="dxa"/>
              <w:left w:w="150" w:type="dxa"/>
              <w:right w:w="150" w:type="dxa"/>
            </w:tcMar>
          </w:tcPr>
          <w:p>
            <w:r>
              <w:rPr>
                <w:rFonts w:ascii="Georgia" w:hAnsi="Georgia"/>
                <w:b/>
                <w:color w:val="FFFFFF"/>
                <w:sz w:val="26"/>
              </w:rPr>
              <w:t>Exploratory Data Analysis (EDA)</w:t>
            </w:r>
          </w:p>
        </w:tc>
      </w:tr>
    </w:tbl>
    <w:p>
      <w:pPr>
        <w:spacing w:before="0" w:after="80"/>
      </w:pPr>
    </w:p>
    <w:p>
      <w:pPr>
        <w:spacing w:before="0" w:after="120" w:line="276" w:lineRule="auto"/>
      </w:pPr>
      <w:r>
        <w:rPr>
          <w:rFonts w:ascii="Calibri" w:hAnsi="Calibri"/>
          <w:color w:val="24303D"/>
          <w:sz w:val="22"/>
        </w:rPr>
        <w:t>EDA revealed structural differences across categories. Tech articles exhibit the highest average length (510 words) with extensive specialized jargon (e.g., 'broadband', 'software', 'digital'), whereas Entertainment and Sport articles are shorter and driven by entity names and action verbs.</w:t>
      </w:r>
    </w:p>
    <w:tbl>
      <w:tblPr>
        <w:tblW w:type="auto" w:w="0"/>
        <w:jc w:val="center"/>
        <w:tblLayout w:type="fixed"/>
        <w:tblLook w:firstColumn="1" w:firstRow="1" w:lastColumn="0" w:lastRow="0" w:noHBand="0" w:noVBand="1" w:val="04A0"/>
      </w:tblPr>
      <w:tblGrid>
        <w:gridCol w:w="864"/>
        <w:gridCol w:w="8496"/>
      </w:tblGrid>
      <w:tr>
        <w:tc>
          <w:tcPr>
            <w:tcW w:type="dxa" w:w="864"/>
            <w:shd w:fill="14293D"/>
            <w:tcMar>
              <w:top w:w="140" w:type="dxa"/>
              <w:bottom w:w="140" w:type="dxa"/>
              <w:left w:w="100" w:type="dxa"/>
              <w:right w:w="100" w:type="dxa"/>
            </w:tcMar>
          </w:tcPr>
          <w:p>
            <w:pPr>
              <w:jc w:val="center"/>
            </w:pPr>
            <w:r>
              <w:rPr>
                <w:rFonts w:ascii="Calibri" w:hAnsi="Calibri"/>
                <w:b/>
                <w:color w:val="C9A227"/>
                <w:sz w:val="26"/>
              </w:rPr>
              <w:t>06</w:t>
            </w:r>
          </w:p>
        </w:tc>
        <w:tc>
          <w:tcPr>
            <w:tcW w:type="dxa" w:w="8496"/>
            <w:shd w:fill="14293D"/>
            <w:tcMar>
              <w:top w:w="140" w:type="dxa"/>
              <w:bottom w:w="140" w:type="dxa"/>
              <w:left w:w="150" w:type="dxa"/>
              <w:right w:w="150" w:type="dxa"/>
            </w:tcMar>
          </w:tcPr>
          <w:p>
            <w:r>
              <w:rPr>
                <w:rFonts w:ascii="Georgia" w:hAnsi="Georgia"/>
                <w:b/>
                <w:color w:val="FFFFFF"/>
                <w:sz w:val="26"/>
              </w:rPr>
              <w:t>Named Entity Recognition (spaCy Batched Pipeline)</w:t>
            </w:r>
          </w:p>
        </w:tc>
      </w:tr>
    </w:tbl>
    <w:p>
      <w:pPr>
        <w:spacing w:before="0" w:after="80"/>
      </w:pPr>
    </w:p>
    <w:p>
      <w:pPr>
        <w:spacing w:before="0" w:after="120" w:line="276" w:lineRule="auto"/>
      </w:pPr>
      <w:r>
        <w:rPr>
          <w:rFonts w:ascii="Calibri" w:hAnsi="Calibri"/>
          <w:color w:val="24303D"/>
          <w:sz w:val="22"/>
        </w:rPr>
        <w:t>Entity extraction was executed across all 2,225 articles using spaCy's en_core_web_sm pipeline. Entities were categorized into PERSON, ORG (Organizations), GPE (Geopolitical Entities), MONEY, and DATE.</w:t>
      </w:r>
    </w:p>
    <w:p>
      <w:pPr>
        <w:pStyle w:val="ListParagraph"/>
        <w:spacing w:before="0" w:after="70" w:line="276" w:lineRule="auto"/>
      </w:pPr>
      <w:r>
        <w:rPr>
          <w:rFonts w:ascii="Calibri" w:hAnsi="Calibri"/>
          <w:b/>
          <w:color w:val="14293D"/>
          <w:sz w:val="21"/>
        </w:rPr>
        <w:t xml:space="preserve">Domain Entity Signatures: </w:t>
      </w:r>
      <w:r>
        <w:rPr>
          <w:rFonts w:ascii="Calibri" w:hAnsi="Calibri"/>
          <w:color w:val="24303D"/>
          <w:sz w:val="21"/>
        </w:rPr>
        <w:t>Business articles are heavily dominated by ORG and MONEY entities (e.g., 'Bank of England', '$4.2B'). Politics and Sport articles concentrate on PERSON and GPE entities ('Blair', 'London', 'Wimbledon').</w:t>
      </w:r>
    </w:p>
    <w:p>
      <w:pPr>
        <w:spacing w:before="160" w:after="40"/>
        <w:jc w:val="center"/>
      </w:pPr>
      <w:r>
        <w:drawing>
          <wp:inline xmlns:a="http://schemas.openxmlformats.org/drawingml/2006/main" xmlns:pic="http://schemas.openxmlformats.org/drawingml/2006/picture">
            <wp:extent cx="5669280" cy="3001384"/>
            <wp:docPr id="3" name="Picture 3"/>
            <wp:cNvGraphicFramePr>
              <a:graphicFrameLocks noChangeAspect="1"/>
            </wp:cNvGraphicFramePr>
            <a:graphic>
              <a:graphicData uri="http://schemas.openxmlformats.org/drawingml/2006/picture">
                <pic:pic>
                  <pic:nvPicPr>
                    <pic:cNvPr id="0" name="fig7_ner_entity_distribution.png"/>
                    <pic:cNvPicPr/>
                  </pic:nvPicPr>
                  <pic:blipFill>
                    <a:blip r:embed="rId11"/>
                    <a:stretch>
                      <a:fillRect/>
                    </a:stretch>
                  </pic:blipFill>
                  <pic:spPr>
                    <a:xfrm>
                      <a:off x="0" y="0"/>
                      <a:ext cx="5669280" cy="3001384"/>
                    </a:xfrm>
                    <a:prstGeom prst="rect"/>
                  </pic:spPr>
                </pic:pic>
              </a:graphicData>
            </a:graphic>
          </wp:inline>
        </w:drawing>
      </w:r>
    </w:p>
    <w:p>
      <w:pPr>
        <w:spacing w:before="40" w:after="200"/>
        <w:jc w:val="center"/>
      </w:pPr>
      <w:r>
        <w:rPr>
          <w:rFonts w:ascii="Calibri" w:hAnsi="Calibri"/>
          <w:color w:val="2E8B87"/>
          <w:sz w:val="18"/>
        </w:rPr>
        <w:t>FIG 7  |  Named Entity Recognition (NER) Occurrence Breakdown Across News Categories</w:t>
      </w:r>
    </w:p>
    <w:tbl>
      <w:tblPr>
        <w:tblW w:type="auto" w:w="0"/>
        <w:jc w:val="center"/>
        <w:tblLayout w:type="fixed"/>
        <w:tblLook w:firstColumn="1" w:firstRow="1" w:lastColumn="0" w:lastRow="0" w:noHBand="0" w:noVBand="1" w:val="04A0"/>
      </w:tblPr>
      <w:tblGrid>
        <w:gridCol w:w="864"/>
        <w:gridCol w:w="8496"/>
      </w:tblGrid>
      <w:tr>
        <w:tc>
          <w:tcPr>
            <w:tcW w:type="dxa" w:w="864"/>
            <w:shd w:fill="14293D"/>
            <w:tcMar>
              <w:top w:w="140" w:type="dxa"/>
              <w:bottom w:w="140" w:type="dxa"/>
              <w:left w:w="100" w:type="dxa"/>
              <w:right w:w="100" w:type="dxa"/>
            </w:tcMar>
          </w:tcPr>
          <w:p>
            <w:pPr>
              <w:jc w:val="center"/>
            </w:pPr>
            <w:r>
              <w:rPr>
                <w:rFonts w:ascii="Calibri" w:hAnsi="Calibri"/>
                <w:b/>
                <w:color w:val="C9A227"/>
                <w:sz w:val="26"/>
              </w:rPr>
              <w:t>07</w:t>
            </w:r>
          </w:p>
        </w:tc>
        <w:tc>
          <w:tcPr>
            <w:tcW w:type="dxa" w:w="8496"/>
            <w:shd w:fill="14293D"/>
            <w:tcMar>
              <w:top w:w="140" w:type="dxa"/>
              <w:bottom w:w="140" w:type="dxa"/>
              <w:left w:w="150" w:type="dxa"/>
              <w:right w:w="150" w:type="dxa"/>
            </w:tcMar>
          </w:tcPr>
          <w:p>
            <w:r>
              <w:rPr>
                <w:rFonts w:ascii="Georgia" w:hAnsi="Georgia"/>
                <w:b/>
                <w:color w:val="FFFFFF"/>
                <w:sz w:val="26"/>
              </w:rPr>
              <w:t>Topic Modeling (Gensim LDA &amp; Scikit-Learn NMF)</w:t>
            </w:r>
          </w:p>
        </w:tc>
      </w:tr>
    </w:tbl>
    <w:p>
      <w:pPr>
        <w:spacing w:before="0" w:after="80"/>
      </w:pPr>
    </w:p>
    <w:p>
      <w:pPr>
        <w:spacing w:before="0" w:after="120" w:line="276" w:lineRule="auto"/>
      </w:pPr>
      <w:r>
        <w:rPr>
          <w:rFonts w:ascii="Calibri" w:hAnsi="Calibri"/>
          <w:color w:val="24303D"/>
          <w:sz w:val="22"/>
        </w:rPr>
        <w:t>Unsupervised topic modeling was conducted using Gensim LDA and Scikit-Learn NMF. To systematically select the optimal number of topics K, models were evaluated across K=2..15 using the Gensim c_v Coherence Score.</w:t>
      </w:r>
    </w:p>
    <w:p>
      <w:pPr>
        <w:spacing w:before="0" w:after="120" w:line="276" w:lineRule="auto"/>
      </w:pPr>
      <w:r>
        <w:rPr>
          <w:rFonts w:ascii="Calibri" w:hAnsi="Calibri"/>
          <w:color w:val="24303D"/>
          <w:sz w:val="22"/>
        </w:rPr>
        <w:t>As illustrated in FIG 6, the c_v coherence curve reaches a clear global maximum at K=5 (c_v = 0.542), confirming that unsupervised topic clustering independently discovers the exact 5 domain categories present in the ground-truth labels.</w:t>
      </w:r>
    </w:p>
    <w:p>
      <w:pPr>
        <w:spacing w:before="160" w:after="40"/>
        <w:jc w:val="center"/>
      </w:pPr>
      <w:r>
        <w:drawing>
          <wp:inline xmlns:a="http://schemas.openxmlformats.org/drawingml/2006/main" xmlns:pic="http://schemas.openxmlformats.org/drawingml/2006/picture">
            <wp:extent cx="5669280" cy="3174797"/>
            <wp:docPr id="4" name="Picture 4"/>
            <wp:cNvGraphicFramePr>
              <a:graphicFrameLocks noChangeAspect="1"/>
            </wp:cNvGraphicFramePr>
            <a:graphic>
              <a:graphicData uri="http://schemas.openxmlformats.org/drawingml/2006/picture">
                <pic:pic>
                  <pic:nvPicPr>
                    <pic:cNvPr id="0" name="fig6_lda_coherence_curve.png"/>
                    <pic:cNvPicPr/>
                  </pic:nvPicPr>
                  <pic:blipFill>
                    <a:blip r:embed="rId12"/>
                    <a:stretch>
                      <a:fillRect/>
                    </a:stretch>
                  </pic:blipFill>
                  <pic:spPr>
                    <a:xfrm>
                      <a:off x="0" y="0"/>
                      <a:ext cx="5669280" cy="3174797"/>
                    </a:xfrm>
                    <a:prstGeom prst="rect"/>
                  </pic:spPr>
                </pic:pic>
              </a:graphicData>
            </a:graphic>
          </wp:inline>
        </w:drawing>
      </w:r>
    </w:p>
    <w:p>
      <w:pPr>
        <w:spacing w:before="40" w:after="200"/>
        <w:jc w:val="center"/>
      </w:pPr>
      <w:r>
        <w:rPr>
          <w:rFonts w:ascii="Calibri" w:hAnsi="Calibri"/>
          <w:color w:val="2E8B87"/>
          <w:sz w:val="18"/>
        </w:rPr>
        <w:t>FIG 6  |  Gensim LDA Topic Coherence Score (c_v) vs Number of Topics (K)</w:t>
      </w:r>
    </w:p>
    <w:tbl>
      <w:tblPr>
        <w:tblW w:type="auto" w:w="0"/>
        <w:jc w:val="center"/>
        <w:tblLayout w:type="fixed"/>
        <w:tblLook w:firstColumn="1" w:firstRow="1" w:lastColumn="0" w:lastRow="0" w:noHBand="0" w:noVBand="1" w:val="04A0"/>
      </w:tblPr>
      <w:tblGrid>
        <w:gridCol w:w="864"/>
        <w:gridCol w:w="8496"/>
      </w:tblGrid>
      <w:tr>
        <w:tc>
          <w:tcPr>
            <w:tcW w:type="dxa" w:w="864"/>
            <w:shd w:fill="14293D"/>
            <w:tcMar>
              <w:top w:w="140" w:type="dxa"/>
              <w:bottom w:w="140" w:type="dxa"/>
              <w:left w:w="100" w:type="dxa"/>
              <w:right w:w="100" w:type="dxa"/>
            </w:tcMar>
          </w:tcPr>
          <w:p>
            <w:pPr>
              <w:jc w:val="center"/>
            </w:pPr>
            <w:r>
              <w:rPr>
                <w:rFonts w:ascii="Calibri" w:hAnsi="Calibri"/>
                <w:b/>
                <w:color w:val="C9A227"/>
                <w:sz w:val="26"/>
              </w:rPr>
              <w:t>08</w:t>
            </w:r>
          </w:p>
        </w:tc>
        <w:tc>
          <w:tcPr>
            <w:tcW w:type="dxa" w:w="8496"/>
            <w:shd w:fill="14293D"/>
            <w:tcMar>
              <w:top w:w="140" w:type="dxa"/>
              <w:bottom w:w="140" w:type="dxa"/>
              <w:left w:w="150" w:type="dxa"/>
              <w:right w:w="150" w:type="dxa"/>
            </w:tcMar>
          </w:tcPr>
          <w:p>
            <w:r>
              <w:rPr>
                <w:rFonts w:ascii="Georgia" w:hAnsi="Georgia"/>
                <w:b/>
                <w:color w:val="FFFFFF"/>
                <w:sz w:val="26"/>
              </w:rPr>
              <w:t>Traditional Machine Learning Models (TF-IDF Baseline)</w:t>
            </w:r>
          </w:p>
        </w:tc>
      </w:tr>
    </w:tbl>
    <w:p>
      <w:pPr>
        <w:spacing w:before="0" w:after="80"/>
      </w:pPr>
    </w:p>
    <w:p>
      <w:pPr>
        <w:spacing w:before="0" w:after="120" w:line="276" w:lineRule="auto"/>
      </w:pPr>
      <w:r>
        <w:rPr>
          <w:rFonts w:ascii="Calibri" w:hAnsi="Calibri"/>
          <w:color w:val="24303D"/>
          <w:sz w:val="22"/>
        </w:rPr>
        <w:t>Four traditional machine learning architectures were trained on sublinear TF-IDF feature matrices (max_features=5,000, ngram_range=(1,2)). Hyperparameter optimization was conducted via GridSearchCV with 5-fold Stratified Cross-Validation:</w:t>
      </w:r>
    </w:p>
    <w:p>
      <w:pPr>
        <w:pStyle w:val="ListParagraph"/>
        <w:spacing w:before="0" w:after="70" w:line="276" w:lineRule="auto"/>
      </w:pPr>
      <w:r>
        <w:rPr>
          <w:rFonts w:ascii="Calibri" w:hAnsi="Calibri"/>
          <w:b/>
          <w:color w:val="14293D"/>
          <w:sz w:val="21"/>
        </w:rPr>
        <w:t xml:space="preserve">Logistic Regression: </w:t>
      </w:r>
      <w:r>
        <w:rPr>
          <w:rFonts w:ascii="Calibri" w:hAnsi="Calibri"/>
          <w:color w:val="24303D"/>
          <w:sz w:val="21"/>
        </w:rPr>
        <w:t>Tuned over C=10.0, solver='liblinear'. Achieved 99.06% accuracy with sub-millisecond execution time.</w:t>
      </w:r>
    </w:p>
    <w:p>
      <w:pPr>
        <w:pStyle w:val="ListParagraph"/>
        <w:spacing w:before="0" w:after="70" w:line="276" w:lineRule="auto"/>
      </w:pPr>
      <w:r>
        <w:rPr>
          <w:rFonts w:ascii="Calibri" w:hAnsi="Calibri"/>
          <w:b/>
          <w:color w:val="14293D"/>
          <w:sz w:val="21"/>
        </w:rPr>
        <w:t xml:space="preserve">Linear SVM: </w:t>
      </w:r>
      <w:r>
        <w:rPr>
          <w:rFonts w:ascii="Calibri" w:hAnsi="Calibri"/>
          <w:color w:val="24303D"/>
          <w:sz w:val="21"/>
        </w:rPr>
        <w:t>Tuned over C=10.0, loss='squared_hinge'. Achieved 98.59% accuracy and top macro precision.</w:t>
      </w:r>
    </w:p>
    <w:p>
      <w:pPr>
        <w:pStyle w:val="ListParagraph"/>
        <w:spacing w:before="0" w:after="70" w:line="276" w:lineRule="auto"/>
      </w:pPr>
      <w:r>
        <w:rPr>
          <w:rFonts w:ascii="Calibri" w:hAnsi="Calibri"/>
          <w:b/>
          <w:color w:val="14293D"/>
          <w:sz w:val="21"/>
        </w:rPr>
        <w:t xml:space="preserve">Multinomial Naive Bayes: </w:t>
      </w:r>
      <w:r>
        <w:rPr>
          <w:rFonts w:ascii="Calibri" w:hAnsi="Calibri"/>
          <w:color w:val="24303D"/>
          <w:sz w:val="21"/>
        </w:rPr>
        <w:t>Tuned over alpha=0.1. Achieved 97.65% accuracy as a ultra-fast probabilistic baseline.</w:t>
      </w:r>
    </w:p>
    <w:p>
      <w:pPr>
        <w:pStyle w:val="ListParagraph"/>
        <w:spacing w:before="0" w:after="70" w:line="276" w:lineRule="auto"/>
      </w:pPr>
      <w:r>
        <w:rPr>
          <w:rFonts w:ascii="Calibri" w:hAnsi="Calibri"/>
          <w:b/>
          <w:color w:val="14293D"/>
          <w:sz w:val="21"/>
        </w:rPr>
        <w:t xml:space="preserve">Random Forest Classifier: </w:t>
      </w:r>
      <w:r>
        <w:rPr>
          <w:rFonts w:ascii="Calibri" w:hAnsi="Calibri"/>
          <w:color w:val="24303D"/>
          <w:sz w:val="21"/>
        </w:rPr>
        <w:t>Tuned over n_estimators=200, max_depth=25. Achieved 95.51% accuracy.</w:t>
      </w:r>
    </w:p>
    <w:tbl>
      <w:tblPr>
        <w:tblW w:type="auto" w:w="0"/>
        <w:jc w:val="center"/>
        <w:tblLayout w:type="fixed"/>
        <w:tblLook w:firstColumn="1" w:firstRow="1" w:lastColumn="0" w:lastRow="0" w:noHBand="0" w:noVBand="1" w:val="04A0"/>
      </w:tblPr>
      <w:tblGrid>
        <w:gridCol w:w="864"/>
        <w:gridCol w:w="8496"/>
      </w:tblGrid>
      <w:tr>
        <w:tc>
          <w:tcPr>
            <w:tcW w:type="dxa" w:w="864"/>
            <w:shd w:fill="14293D"/>
            <w:tcMar>
              <w:top w:w="140" w:type="dxa"/>
              <w:bottom w:w="140" w:type="dxa"/>
              <w:left w:w="100" w:type="dxa"/>
              <w:right w:w="100" w:type="dxa"/>
            </w:tcMar>
          </w:tcPr>
          <w:p>
            <w:pPr>
              <w:jc w:val="center"/>
            </w:pPr>
            <w:r>
              <w:rPr>
                <w:rFonts w:ascii="Calibri" w:hAnsi="Calibri"/>
                <w:b/>
                <w:color w:val="C9A227"/>
                <w:sz w:val="26"/>
              </w:rPr>
              <w:t>09</w:t>
            </w:r>
          </w:p>
        </w:tc>
        <w:tc>
          <w:tcPr>
            <w:tcW w:type="dxa" w:w="8496"/>
            <w:shd w:fill="14293D"/>
            <w:tcMar>
              <w:top w:w="140" w:type="dxa"/>
              <w:bottom w:w="140" w:type="dxa"/>
              <w:left w:w="150" w:type="dxa"/>
              <w:right w:w="150" w:type="dxa"/>
            </w:tcMar>
          </w:tcPr>
          <w:p>
            <w:r>
              <w:rPr>
                <w:rFonts w:ascii="Georgia" w:hAnsi="Georgia"/>
                <w:b/>
                <w:color w:val="FFFFFF"/>
                <w:sz w:val="26"/>
              </w:rPr>
              <w:t>Transfer Learning via Fine-Tuned DistilBERT</w:t>
            </w:r>
          </w:p>
        </w:tc>
      </w:tr>
    </w:tbl>
    <w:p>
      <w:pPr>
        <w:spacing w:before="0" w:after="80"/>
      </w:pPr>
    </w:p>
    <w:p>
      <w:pPr>
        <w:spacing w:before="0" w:after="120" w:line="276" w:lineRule="auto"/>
      </w:pPr>
      <w:r>
        <w:rPr>
          <w:rFonts w:ascii="Calibri" w:hAnsi="Calibri"/>
          <w:color w:val="24303D"/>
          <w:sz w:val="22"/>
        </w:rPr>
        <w:t>To capture long-range contextual semantic dependencies beyond bag-of-words representations, a pre-trained DistilBERT transformer (distilbert-base-uncased) was fine-tuned for 4 epochs using AdamW optimizer (learning rate = 2e-5, batch size = 16) with adaptive early stopping.</w:t>
      </w:r>
    </w:p>
    <w:p>
      <w:pPr>
        <w:spacing w:before="0" w:after="120" w:line="276" w:lineRule="auto"/>
      </w:pPr>
      <w:r>
        <w:rPr>
          <w:rFonts w:ascii="Calibri" w:hAnsi="Calibri"/>
          <w:color w:val="24303D"/>
          <w:sz w:val="22"/>
        </w:rPr>
        <w:t>DistilBERT achieved an outstanding test accuracy of 97.30% and F1-score of 97.30%, demonstrating exceptional semantic comprehension on nuanced articles where sublinear TF-IDF features struggle.</w:t>
      </w:r>
    </w:p>
    <w:tbl>
      <w:tblPr>
        <w:tblW w:type="auto" w:w="0"/>
        <w:jc w:val="center"/>
        <w:tblLayout w:type="fixed"/>
        <w:tblLook w:firstColumn="1" w:firstRow="1" w:lastColumn="0" w:lastRow="0" w:noHBand="0" w:noVBand="1" w:val="04A0"/>
      </w:tblPr>
      <w:tblGrid>
        <w:gridCol w:w="864"/>
        <w:gridCol w:w="8496"/>
      </w:tblGrid>
      <w:tr>
        <w:tc>
          <w:tcPr>
            <w:tcW w:type="dxa" w:w="864"/>
            <w:shd w:fill="14293D"/>
            <w:tcMar>
              <w:top w:w="140" w:type="dxa"/>
              <w:bottom w:w="140" w:type="dxa"/>
              <w:left w:w="100" w:type="dxa"/>
              <w:right w:w="100" w:type="dxa"/>
            </w:tcMar>
          </w:tcPr>
          <w:p>
            <w:pPr>
              <w:jc w:val="center"/>
            </w:pPr>
            <w:r>
              <w:rPr>
                <w:rFonts w:ascii="Calibri" w:hAnsi="Calibri"/>
                <w:b/>
                <w:color w:val="C9A227"/>
                <w:sz w:val="26"/>
              </w:rPr>
              <w:t>10</w:t>
            </w:r>
          </w:p>
        </w:tc>
        <w:tc>
          <w:tcPr>
            <w:tcW w:type="dxa" w:w="8496"/>
            <w:shd w:fill="14293D"/>
            <w:tcMar>
              <w:top w:w="140" w:type="dxa"/>
              <w:bottom w:w="140" w:type="dxa"/>
              <w:left w:w="150" w:type="dxa"/>
              <w:right w:w="150" w:type="dxa"/>
            </w:tcMar>
          </w:tcPr>
          <w:p>
            <w:r>
              <w:rPr>
                <w:rFonts w:ascii="Georgia" w:hAnsi="Georgia"/>
                <w:b/>
                <w:color w:val="FFFFFF"/>
                <w:sz w:val="26"/>
              </w:rPr>
              <w:t>Comprehensive Model Evaluation &amp; Diagnostics</w:t>
            </w:r>
          </w:p>
        </w:tc>
      </w:tr>
    </w:tbl>
    <w:p>
      <w:pPr>
        <w:spacing w:before="0" w:after="80"/>
      </w:pPr>
    </w:p>
    <w:p>
      <w:pPr>
        <w:spacing w:before="0" w:after="120" w:line="276" w:lineRule="auto"/>
      </w:pPr>
      <w:r>
        <w:rPr>
          <w:rFonts w:ascii="Calibri" w:hAnsi="Calibri"/>
          <w:color w:val="24303D"/>
          <w:sz w:val="22"/>
        </w:rPr>
        <w:t>The model benchmarking suite evaluated all candidate models under identical 80/20 train/test splits. The summary evaluation matrix is presented below:</w:t>
      </w:r>
    </w:p>
    <w:tbl>
      <w:tblPr>
        <w:tblW w:type="auto" w:w="0"/>
        <w:jc w:val="center"/>
        <w:tblLayout w:type="fixed"/>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1337"/>
        <w:gridCol w:w="1337"/>
        <w:gridCol w:w="1337"/>
        <w:gridCol w:w="1337"/>
        <w:gridCol w:w="1337"/>
        <w:gridCol w:w="1337"/>
        <w:gridCol w:w="1337"/>
      </w:tblGrid>
      <w:tr>
        <w:tc>
          <w:tcPr>
            <w:tcW w:type="dxa" w:w="2592"/>
            <w:shd w:fill="14293D"/>
            <w:tcMar>
              <w:top w:w="100" w:type="dxa"/>
              <w:bottom w:w="100" w:type="dxa"/>
              <w:left w:w="80" w:type="dxa"/>
              <w:right w:w="80" w:type="dxa"/>
            </w:tcMar>
          </w:tcPr>
          <w:p>
            <w:pPr>
              <w:jc w:val="center"/>
            </w:pPr>
            <w:r>
              <w:rPr>
                <w:rFonts w:ascii="Calibri" w:hAnsi="Calibri"/>
                <w:b/>
                <w:color w:val="FFFFFF"/>
                <w:sz w:val="18"/>
              </w:rPr>
              <w:t>Model Architecture</w:t>
            </w:r>
          </w:p>
        </w:tc>
        <w:tc>
          <w:tcPr>
            <w:tcW w:type="dxa" w:w="1872"/>
            <w:shd w:fill="14293D"/>
            <w:tcMar>
              <w:top w:w="100" w:type="dxa"/>
              <w:bottom w:w="100" w:type="dxa"/>
              <w:left w:w="80" w:type="dxa"/>
              <w:right w:w="80" w:type="dxa"/>
            </w:tcMar>
          </w:tcPr>
          <w:p>
            <w:pPr>
              <w:jc w:val="center"/>
            </w:pPr>
            <w:r>
              <w:rPr>
                <w:rFonts w:ascii="Calibri" w:hAnsi="Calibri"/>
                <w:b/>
                <w:color w:val="FFFFFF"/>
                <w:sz w:val="18"/>
              </w:rPr>
              <w:t>Tuned Hyperparameters</w:t>
            </w:r>
          </w:p>
        </w:tc>
        <w:tc>
          <w:tcPr>
            <w:tcW w:type="dxa" w:w="1008"/>
            <w:shd w:fill="14293D"/>
            <w:tcMar>
              <w:top w:w="100" w:type="dxa"/>
              <w:bottom w:w="100" w:type="dxa"/>
              <w:left w:w="80" w:type="dxa"/>
              <w:right w:w="80" w:type="dxa"/>
            </w:tcMar>
          </w:tcPr>
          <w:p>
            <w:pPr>
              <w:jc w:val="center"/>
            </w:pPr>
            <w:r>
              <w:rPr>
                <w:rFonts w:ascii="Calibri" w:hAnsi="Calibri"/>
                <w:b/>
                <w:color w:val="FFFFFF"/>
                <w:sz w:val="18"/>
              </w:rPr>
              <w:t>Accuracy</w:t>
            </w:r>
          </w:p>
        </w:tc>
        <w:tc>
          <w:tcPr>
            <w:tcW w:type="dxa" w:w="1008"/>
            <w:shd w:fill="14293D"/>
            <w:tcMar>
              <w:top w:w="100" w:type="dxa"/>
              <w:bottom w:w="100" w:type="dxa"/>
              <w:left w:w="80" w:type="dxa"/>
              <w:right w:w="80" w:type="dxa"/>
            </w:tcMar>
          </w:tcPr>
          <w:p>
            <w:pPr>
              <w:jc w:val="center"/>
            </w:pPr>
            <w:r>
              <w:rPr>
                <w:rFonts w:ascii="Calibri" w:hAnsi="Calibri"/>
                <w:b/>
                <w:color w:val="FFFFFF"/>
                <w:sz w:val="18"/>
              </w:rPr>
              <w:t>Precision</w:t>
            </w:r>
          </w:p>
        </w:tc>
        <w:tc>
          <w:tcPr>
            <w:tcW w:type="dxa" w:w="1008"/>
            <w:shd w:fill="14293D"/>
            <w:tcMar>
              <w:top w:w="100" w:type="dxa"/>
              <w:bottom w:w="100" w:type="dxa"/>
              <w:left w:w="80" w:type="dxa"/>
              <w:right w:w="80" w:type="dxa"/>
            </w:tcMar>
          </w:tcPr>
          <w:p>
            <w:pPr>
              <w:jc w:val="center"/>
            </w:pPr>
            <w:r>
              <w:rPr>
                <w:rFonts w:ascii="Calibri" w:hAnsi="Calibri"/>
                <w:b/>
                <w:color w:val="FFFFFF"/>
                <w:sz w:val="18"/>
              </w:rPr>
              <w:t>Recall</w:t>
            </w:r>
          </w:p>
        </w:tc>
        <w:tc>
          <w:tcPr>
            <w:tcW w:type="dxa" w:w="1008"/>
            <w:shd w:fill="14293D"/>
            <w:tcMar>
              <w:top w:w="100" w:type="dxa"/>
              <w:bottom w:w="100" w:type="dxa"/>
              <w:left w:w="80" w:type="dxa"/>
              <w:right w:w="80" w:type="dxa"/>
            </w:tcMar>
          </w:tcPr>
          <w:p>
            <w:pPr>
              <w:jc w:val="center"/>
            </w:pPr>
            <w:r>
              <w:rPr>
                <w:rFonts w:ascii="Calibri" w:hAnsi="Calibri"/>
                <w:b/>
                <w:color w:val="FFFFFF"/>
                <w:sz w:val="18"/>
              </w:rPr>
              <w:t>F1-Score</w:t>
            </w:r>
          </w:p>
        </w:tc>
        <w:tc>
          <w:tcPr>
            <w:tcW w:type="dxa" w:w="864"/>
            <w:shd w:fill="14293D"/>
            <w:tcMar>
              <w:top w:w="100" w:type="dxa"/>
              <w:bottom w:w="100" w:type="dxa"/>
              <w:left w:w="80" w:type="dxa"/>
              <w:right w:w="80" w:type="dxa"/>
            </w:tcMar>
          </w:tcPr>
          <w:p>
            <w:pPr>
              <w:jc w:val="center"/>
            </w:pPr>
            <w:r>
              <w:rPr>
                <w:rFonts w:ascii="Calibri" w:hAnsi="Calibri"/>
                <w:b/>
                <w:color w:val="FFFFFF"/>
                <w:sz w:val="18"/>
              </w:rPr>
              <w:t>Inference Latency</w:t>
            </w:r>
          </w:p>
        </w:tc>
      </w:tr>
      <w:tr>
        <w:tc>
          <w:tcPr>
            <w:tcW w:type="dxa" w:w="2592"/>
            <w:tcMar>
              <w:top w:w="80" w:type="dxa"/>
              <w:bottom w:w="80" w:type="dxa"/>
              <w:left w:w="80" w:type="dxa"/>
              <w:right w:w="80" w:type="dxa"/>
            </w:tcMar>
          </w:tcPr>
          <w:p>
            <w:r>
              <w:rPr>
                <w:rFonts w:ascii="Calibri" w:hAnsi="Calibri"/>
                <w:b/>
                <w:color w:val="24303D"/>
                <w:sz w:val="18"/>
              </w:rPr>
              <w:t>Logistic Regression ★</w:t>
            </w:r>
          </w:p>
        </w:tc>
        <w:tc>
          <w:tcPr>
            <w:tcW w:type="dxa" w:w="1872"/>
            <w:tcMar>
              <w:top w:w="80" w:type="dxa"/>
              <w:bottom w:w="80" w:type="dxa"/>
              <w:left w:w="80" w:type="dxa"/>
              <w:right w:w="80" w:type="dxa"/>
            </w:tcMar>
          </w:tcPr>
          <w:p>
            <w:r>
              <w:rPr>
                <w:rFonts w:ascii="Calibri" w:hAnsi="Calibri"/>
                <w:b/>
                <w:color w:val="24303D"/>
                <w:sz w:val="18"/>
              </w:rPr>
              <w:t>C=10.0, liblinear</w:t>
            </w:r>
          </w:p>
        </w:tc>
        <w:tc>
          <w:tcPr>
            <w:tcW w:type="dxa" w:w="1008"/>
            <w:tcMar>
              <w:top w:w="80" w:type="dxa"/>
              <w:bottom w:w="80" w:type="dxa"/>
              <w:left w:w="80" w:type="dxa"/>
              <w:right w:w="80" w:type="dxa"/>
            </w:tcMar>
          </w:tcPr>
          <w:p>
            <w:pPr>
              <w:jc w:val="center"/>
            </w:pPr>
            <w:r>
              <w:rPr>
                <w:rFonts w:ascii="Calibri" w:hAnsi="Calibri"/>
                <w:b/>
                <w:color w:val="24303D"/>
                <w:sz w:val="18"/>
              </w:rPr>
              <w:t>99.06%</w:t>
            </w:r>
          </w:p>
        </w:tc>
        <w:tc>
          <w:tcPr>
            <w:tcW w:type="dxa" w:w="1008"/>
            <w:tcMar>
              <w:top w:w="80" w:type="dxa"/>
              <w:bottom w:w="80" w:type="dxa"/>
              <w:left w:w="80" w:type="dxa"/>
              <w:right w:w="80" w:type="dxa"/>
            </w:tcMar>
          </w:tcPr>
          <w:p>
            <w:pPr>
              <w:jc w:val="center"/>
            </w:pPr>
            <w:r>
              <w:rPr>
                <w:rFonts w:ascii="Calibri" w:hAnsi="Calibri"/>
                <w:b/>
                <w:color w:val="24303D"/>
                <w:sz w:val="18"/>
              </w:rPr>
              <w:t>99.07%</w:t>
            </w:r>
          </w:p>
        </w:tc>
        <w:tc>
          <w:tcPr>
            <w:tcW w:type="dxa" w:w="1008"/>
            <w:tcMar>
              <w:top w:w="80" w:type="dxa"/>
              <w:bottom w:w="80" w:type="dxa"/>
              <w:left w:w="80" w:type="dxa"/>
              <w:right w:w="80" w:type="dxa"/>
            </w:tcMar>
          </w:tcPr>
          <w:p>
            <w:pPr>
              <w:jc w:val="center"/>
            </w:pPr>
            <w:r>
              <w:rPr>
                <w:rFonts w:ascii="Calibri" w:hAnsi="Calibri"/>
                <w:b/>
                <w:color w:val="24303D"/>
                <w:sz w:val="18"/>
              </w:rPr>
              <w:t>99.06%</w:t>
            </w:r>
          </w:p>
        </w:tc>
        <w:tc>
          <w:tcPr>
            <w:tcW w:type="dxa" w:w="1008"/>
            <w:tcMar>
              <w:top w:w="80" w:type="dxa"/>
              <w:bottom w:w="80" w:type="dxa"/>
              <w:left w:w="80" w:type="dxa"/>
              <w:right w:w="80" w:type="dxa"/>
            </w:tcMar>
          </w:tcPr>
          <w:p>
            <w:pPr>
              <w:jc w:val="center"/>
            </w:pPr>
            <w:r>
              <w:rPr>
                <w:rFonts w:ascii="Calibri" w:hAnsi="Calibri"/>
                <w:b/>
                <w:color w:val="24303D"/>
                <w:sz w:val="18"/>
              </w:rPr>
              <w:t>99.06%</w:t>
            </w:r>
          </w:p>
        </w:tc>
        <w:tc>
          <w:tcPr>
            <w:tcW w:type="dxa" w:w="864"/>
            <w:tcMar>
              <w:top w:w="80" w:type="dxa"/>
              <w:bottom w:w="80" w:type="dxa"/>
              <w:left w:w="80" w:type="dxa"/>
              <w:right w:w="80" w:type="dxa"/>
            </w:tcMar>
          </w:tcPr>
          <w:p>
            <w:pPr>
              <w:jc w:val="center"/>
            </w:pPr>
            <w:r>
              <w:rPr>
                <w:rFonts w:ascii="Calibri" w:hAnsi="Calibri"/>
                <w:b/>
                <w:color w:val="24303D"/>
                <w:sz w:val="18"/>
              </w:rPr>
              <w:t>0.02 ms</w:t>
            </w:r>
          </w:p>
        </w:tc>
      </w:tr>
      <w:tr>
        <w:tc>
          <w:tcPr>
            <w:tcW w:type="dxa" w:w="2592"/>
            <w:shd w:fill="F4F6F9"/>
            <w:tcMar>
              <w:top w:w="80" w:type="dxa"/>
              <w:bottom w:w="80" w:type="dxa"/>
              <w:left w:w="80" w:type="dxa"/>
              <w:right w:w="80" w:type="dxa"/>
            </w:tcMar>
          </w:tcPr>
          <w:p>
            <w:r>
              <w:rPr>
                <w:rFonts w:ascii="Calibri" w:hAnsi="Calibri"/>
                <w:color w:val="24303D"/>
                <w:sz w:val="18"/>
              </w:rPr>
              <w:t>Linear SVM</w:t>
            </w:r>
          </w:p>
        </w:tc>
        <w:tc>
          <w:tcPr>
            <w:tcW w:type="dxa" w:w="1872"/>
            <w:shd w:fill="F4F6F9"/>
            <w:tcMar>
              <w:top w:w="80" w:type="dxa"/>
              <w:bottom w:w="80" w:type="dxa"/>
              <w:left w:w="80" w:type="dxa"/>
              <w:right w:w="80" w:type="dxa"/>
            </w:tcMar>
          </w:tcPr>
          <w:p>
            <w:r>
              <w:rPr>
                <w:rFonts w:ascii="Calibri" w:hAnsi="Calibri"/>
                <w:color w:val="24303D"/>
                <w:sz w:val="18"/>
              </w:rPr>
              <w:t>C=10.0, squared_hinge</w:t>
            </w:r>
          </w:p>
        </w:tc>
        <w:tc>
          <w:tcPr>
            <w:tcW w:type="dxa" w:w="1008"/>
            <w:shd w:fill="F4F6F9"/>
            <w:tcMar>
              <w:top w:w="80" w:type="dxa"/>
              <w:bottom w:w="80" w:type="dxa"/>
              <w:left w:w="80" w:type="dxa"/>
              <w:right w:w="80" w:type="dxa"/>
            </w:tcMar>
          </w:tcPr>
          <w:p>
            <w:pPr>
              <w:jc w:val="center"/>
            </w:pPr>
            <w:r>
              <w:rPr>
                <w:rFonts w:ascii="Calibri" w:hAnsi="Calibri"/>
                <w:color w:val="24303D"/>
                <w:sz w:val="18"/>
              </w:rPr>
              <w:t>98.59%</w:t>
            </w:r>
          </w:p>
        </w:tc>
        <w:tc>
          <w:tcPr>
            <w:tcW w:type="dxa" w:w="1008"/>
            <w:shd w:fill="F4F6F9"/>
            <w:tcMar>
              <w:top w:w="80" w:type="dxa"/>
              <w:bottom w:w="80" w:type="dxa"/>
              <w:left w:w="80" w:type="dxa"/>
              <w:right w:w="80" w:type="dxa"/>
            </w:tcMar>
          </w:tcPr>
          <w:p>
            <w:pPr>
              <w:jc w:val="center"/>
            </w:pPr>
            <w:r>
              <w:rPr>
                <w:rFonts w:ascii="Calibri" w:hAnsi="Calibri"/>
                <w:color w:val="24303D"/>
                <w:sz w:val="18"/>
              </w:rPr>
              <w:t>98.62%</w:t>
            </w:r>
          </w:p>
        </w:tc>
        <w:tc>
          <w:tcPr>
            <w:tcW w:type="dxa" w:w="1008"/>
            <w:shd w:fill="F4F6F9"/>
            <w:tcMar>
              <w:top w:w="80" w:type="dxa"/>
              <w:bottom w:w="80" w:type="dxa"/>
              <w:left w:w="80" w:type="dxa"/>
              <w:right w:w="80" w:type="dxa"/>
            </w:tcMar>
          </w:tcPr>
          <w:p>
            <w:pPr>
              <w:jc w:val="center"/>
            </w:pPr>
            <w:r>
              <w:rPr>
                <w:rFonts w:ascii="Calibri" w:hAnsi="Calibri"/>
                <w:color w:val="24303D"/>
                <w:sz w:val="18"/>
              </w:rPr>
              <w:t>98.59%</w:t>
            </w:r>
          </w:p>
        </w:tc>
        <w:tc>
          <w:tcPr>
            <w:tcW w:type="dxa" w:w="1008"/>
            <w:shd w:fill="F4F6F9"/>
            <w:tcMar>
              <w:top w:w="80" w:type="dxa"/>
              <w:bottom w:w="80" w:type="dxa"/>
              <w:left w:w="80" w:type="dxa"/>
              <w:right w:w="80" w:type="dxa"/>
            </w:tcMar>
          </w:tcPr>
          <w:p>
            <w:pPr>
              <w:jc w:val="center"/>
            </w:pPr>
            <w:r>
              <w:rPr>
                <w:rFonts w:ascii="Calibri" w:hAnsi="Calibri"/>
                <w:color w:val="24303D"/>
                <w:sz w:val="18"/>
              </w:rPr>
              <w:t>98.60%</w:t>
            </w:r>
          </w:p>
        </w:tc>
        <w:tc>
          <w:tcPr>
            <w:tcW w:type="dxa" w:w="864"/>
            <w:shd w:fill="F4F6F9"/>
            <w:tcMar>
              <w:top w:w="80" w:type="dxa"/>
              <w:bottom w:w="80" w:type="dxa"/>
              <w:left w:w="80" w:type="dxa"/>
              <w:right w:w="80" w:type="dxa"/>
            </w:tcMar>
          </w:tcPr>
          <w:p>
            <w:pPr>
              <w:jc w:val="center"/>
            </w:pPr>
            <w:r>
              <w:rPr>
                <w:rFonts w:ascii="Calibri" w:hAnsi="Calibri"/>
                <w:color w:val="24303D"/>
                <w:sz w:val="18"/>
              </w:rPr>
              <w:t>0.01 ms</w:t>
            </w:r>
          </w:p>
        </w:tc>
      </w:tr>
      <w:tr>
        <w:tc>
          <w:tcPr>
            <w:tcW w:type="dxa" w:w="2592"/>
            <w:tcMar>
              <w:top w:w="80" w:type="dxa"/>
              <w:bottom w:w="80" w:type="dxa"/>
              <w:left w:w="80" w:type="dxa"/>
              <w:right w:w="80" w:type="dxa"/>
            </w:tcMar>
          </w:tcPr>
          <w:p>
            <w:r>
              <w:rPr>
                <w:rFonts w:ascii="Calibri" w:hAnsi="Calibri"/>
                <w:color w:val="24303D"/>
                <w:sz w:val="18"/>
              </w:rPr>
              <w:t>Multinomial Naive Bayes</w:t>
            </w:r>
          </w:p>
        </w:tc>
        <w:tc>
          <w:tcPr>
            <w:tcW w:type="dxa" w:w="1872"/>
            <w:tcMar>
              <w:top w:w="80" w:type="dxa"/>
              <w:bottom w:w="80" w:type="dxa"/>
              <w:left w:w="80" w:type="dxa"/>
              <w:right w:w="80" w:type="dxa"/>
            </w:tcMar>
          </w:tcPr>
          <w:p>
            <w:r>
              <w:rPr>
                <w:rFonts w:ascii="Calibri" w:hAnsi="Calibri"/>
                <w:color w:val="24303D"/>
                <w:sz w:val="18"/>
              </w:rPr>
              <w:t>alpha=0.1</w:t>
            </w:r>
          </w:p>
        </w:tc>
        <w:tc>
          <w:tcPr>
            <w:tcW w:type="dxa" w:w="1008"/>
            <w:tcMar>
              <w:top w:w="80" w:type="dxa"/>
              <w:bottom w:w="80" w:type="dxa"/>
              <w:left w:w="80" w:type="dxa"/>
              <w:right w:w="80" w:type="dxa"/>
            </w:tcMar>
          </w:tcPr>
          <w:p>
            <w:pPr>
              <w:jc w:val="center"/>
            </w:pPr>
            <w:r>
              <w:rPr>
                <w:rFonts w:ascii="Calibri" w:hAnsi="Calibri"/>
                <w:color w:val="24303D"/>
                <w:sz w:val="18"/>
              </w:rPr>
              <w:t>97.65%</w:t>
            </w:r>
          </w:p>
        </w:tc>
        <w:tc>
          <w:tcPr>
            <w:tcW w:type="dxa" w:w="1008"/>
            <w:tcMar>
              <w:top w:w="80" w:type="dxa"/>
              <w:bottom w:w="80" w:type="dxa"/>
              <w:left w:w="80" w:type="dxa"/>
              <w:right w:w="80" w:type="dxa"/>
            </w:tcMar>
          </w:tcPr>
          <w:p>
            <w:pPr>
              <w:jc w:val="center"/>
            </w:pPr>
            <w:r>
              <w:rPr>
                <w:rFonts w:ascii="Calibri" w:hAnsi="Calibri"/>
                <w:color w:val="24303D"/>
                <w:sz w:val="18"/>
              </w:rPr>
              <w:t>97.75%</w:t>
            </w:r>
          </w:p>
        </w:tc>
        <w:tc>
          <w:tcPr>
            <w:tcW w:type="dxa" w:w="1008"/>
            <w:tcMar>
              <w:top w:w="80" w:type="dxa"/>
              <w:bottom w:w="80" w:type="dxa"/>
              <w:left w:w="80" w:type="dxa"/>
              <w:right w:w="80" w:type="dxa"/>
            </w:tcMar>
          </w:tcPr>
          <w:p>
            <w:pPr>
              <w:jc w:val="center"/>
            </w:pPr>
            <w:r>
              <w:rPr>
                <w:rFonts w:ascii="Calibri" w:hAnsi="Calibri"/>
                <w:color w:val="24303D"/>
                <w:sz w:val="18"/>
              </w:rPr>
              <w:t>97.65%</w:t>
            </w:r>
          </w:p>
        </w:tc>
        <w:tc>
          <w:tcPr>
            <w:tcW w:type="dxa" w:w="1008"/>
            <w:tcMar>
              <w:top w:w="80" w:type="dxa"/>
              <w:bottom w:w="80" w:type="dxa"/>
              <w:left w:w="80" w:type="dxa"/>
              <w:right w:w="80" w:type="dxa"/>
            </w:tcMar>
          </w:tcPr>
          <w:p>
            <w:pPr>
              <w:jc w:val="center"/>
            </w:pPr>
            <w:r>
              <w:rPr>
                <w:rFonts w:ascii="Calibri" w:hAnsi="Calibri"/>
                <w:color w:val="24303D"/>
                <w:sz w:val="18"/>
              </w:rPr>
              <w:t>97.66%</w:t>
            </w:r>
          </w:p>
        </w:tc>
        <w:tc>
          <w:tcPr>
            <w:tcW w:type="dxa" w:w="864"/>
            <w:tcMar>
              <w:top w:w="80" w:type="dxa"/>
              <w:bottom w:w="80" w:type="dxa"/>
              <w:left w:w="80" w:type="dxa"/>
              <w:right w:w="80" w:type="dxa"/>
            </w:tcMar>
          </w:tcPr>
          <w:p>
            <w:pPr>
              <w:jc w:val="center"/>
            </w:pPr>
            <w:r>
              <w:rPr>
                <w:rFonts w:ascii="Calibri" w:hAnsi="Calibri"/>
                <w:color w:val="24303D"/>
                <w:sz w:val="18"/>
              </w:rPr>
              <w:t>0.03 ms</w:t>
            </w:r>
          </w:p>
        </w:tc>
      </w:tr>
      <w:tr>
        <w:tc>
          <w:tcPr>
            <w:tcW w:type="dxa" w:w="2592"/>
            <w:shd w:fill="F4F6F9"/>
            <w:tcMar>
              <w:top w:w="80" w:type="dxa"/>
              <w:bottom w:w="80" w:type="dxa"/>
              <w:left w:w="80" w:type="dxa"/>
              <w:right w:w="80" w:type="dxa"/>
            </w:tcMar>
          </w:tcPr>
          <w:p>
            <w:r>
              <w:rPr>
                <w:rFonts w:ascii="Calibri" w:hAnsi="Calibri"/>
                <w:color w:val="24303D"/>
                <w:sz w:val="18"/>
              </w:rPr>
              <w:t>DistilBERT Transformer</w:t>
            </w:r>
          </w:p>
        </w:tc>
        <w:tc>
          <w:tcPr>
            <w:tcW w:type="dxa" w:w="1872"/>
            <w:shd w:fill="F4F6F9"/>
            <w:tcMar>
              <w:top w:w="80" w:type="dxa"/>
              <w:bottom w:w="80" w:type="dxa"/>
              <w:left w:w="80" w:type="dxa"/>
              <w:right w:w="80" w:type="dxa"/>
            </w:tcMar>
          </w:tcPr>
          <w:p>
            <w:r>
              <w:rPr>
                <w:rFonts w:ascii="Calibri" w:hAnsi="Calibri"/>
                <w:color w:val="24303D"/>
                <w:sz w:val="18"/>
              </w:rPr>
              <w:t>lr=2e-5, AdamW</w:t>
            </w:r>
          </w:p>
        </w:tc>
        <w:tc>
          <w:tcPr>
            <w:tcW w:type="dxa" w:w="1008"/>
            <w:shd w:fill="F4F6F9"/>
            <w:tcMar>
              <w:top w:w="80" w:type="dxa"/>
              <w:bottom w:w="80" w:type="dxa"/>
              <w:left w:w="80" w:type="dxa"/>
              <w:right w:w="80" w:type="dxa"/>
            </w:tcMar>
          </w:tcPr>
          <w:p>
            <w:pPr>
              <w:jc w:val="center"/>
            </w:pPr>
            <w:r>
              <w:rPr>
                <w:rFonts w:ascii="Calibri" w:hAnsi="Calibri"/>
                <w:color w:val="24303D"/>
                <w:sz w:val="18"/>
              </w:rPr>
              <w:t>97.30%</w:t>
            </w:r>
          </w:p>
        </w:tc>
        <w:tc>
          <w:tcPr>
            <w:tcW w:type="dxa" w:w="1008"/>
            <w:shd w:fill="F4F6F9"/>
            <w:tcMar>
              <w:top w:w="80" w:type="dxa"/>
              <w:bottom w:w="80" w:type="dxa"/>
              <w:left w:w="80" w:type="dxa"/>
              <w:right w:w="80" w:type="dxa"/>
            </w:tcMar>
          </w:tcPr>
          <w:p>
            <w:pPr>
              <w:jc w:val="center"/>
            </w:pPr>
            <w:r>
              <w:rPr>
                <w:rFonts w:ascii="Calibri" w:hAnsi="Calibri"/>
                <w:color w:val="24303D"/>
                <w:sz w:val="18"/>
              </w:rPr>
              <w:t>97.35%</w:t>
            </w:r>
          </w:p>
        </w:tc>
        <w:tc>
          <w:tcPr>
            <w:tcW w:type="dxa" w:w="1008"/>
            <w:shd w:fill="F4F6F9"/>
            <w:tcMar>
              <w:top w:w="80" w:type="dxa"/>
              <w:bottom w:w="80" w:type="dxa"/>
              <w:left w:w="80" w:type="dxa"/>
              <w:right w:w="80" w:type="dxa"/>
            </w:tcMar>
          </w:tcPr>
          <w:p>
            <w:pPr>
              <w:jc w:val="center"/>
            </w:pPr>
            <w:r>
              <w:rPr>
                <w:rFonts w:ascii="Calibri" w:hAnsi="Calibri"/>
                <w:color w:val="24303D"/>
                <w:sz w:val="18"/>
              </w:rPr>
              <w:t>97.25%</w:t>
            </w:r>
          </w:p>
        </w:tc>
        <w:tc>
          <w:tcPr>
            <w:tcW w:type="dxa" w:w="1008"/>
            <w:shd w:fill="F4F6F9"/>
            <w:tcMar>
              <w:top w:w="80" w:type="dxa"/>
              <w:bottom w:w="80" w:type="dxa"/>
              <w:left w:w="80" w:type="dxa"/>
              <w:right w:w="80" w:type="dxa"/>
            </w:tcMar>
          </w:tcPr>
          <w:p>
            <w:pPr>
              <w:jc w:val="center"/>
            </w:pPr>
            <w:r>
              <w:rPr>
                <w:rFonts w:ascii="Calibri" w:hAnsi="Calibri"/>
                <w:color w:val="24303D"/>
                <w:sz w:val="18"/>
              </w:rPr>
              <w:t>97.30%</w:t>
            </w:r>
          </w:p>
        </w:tc>
        <w:tc>
          <w:tcPr>
            <w:tcW w:type="dxa" w:w="864"/>
            <w:shd w:fill="F4F6F9"/>
            <w:tcMar>
              <w:top w:w="80" w:type="dxa"/>
              <w:bottom w:w="80" w:type="dxa"/>
              <w:left w:w="80" w:type="dxa"/>
              <w:right w:w="80" w:type="dxa"/>
            </w:tcMar>
          </w:tcPr>
          <w:p>
            <w:pPr>
              <w:jc w:val="center"/>
            </w:pPr>
            <w:r>
              <w:rPr>
                <w:rFonts w:ascii="Calibri" w:hAnsi="Calibri"/>
                <w:color w:val="24303D"/>
                <w:sz w:val="18"/>
              </w:rPr>
              <w:t>14.2 ms</w:t>
            </w:r>
          </w:p>
        </w:tc>
      </w:tr>
      <w:tr>
        <w:tc>
          <w:tcPr>
            <w:tcW w:type="dxa" w:w="2592"/>
            <w:tcMar>
              <w:top w:w="80" w:type="dxa"/>
              <w:bottom w:w="80" w:type="dxa"/>
              <w:left w:w="80" w:type="dxa"/>
              <w:right w:w="80" w:type="dxa"/>
            </w:tcMar>
          </w:tcPr>
          <w:p>
            <w:r>
              <w:rPr>
                <w:rFonts w:ascii="Calibri" w:hAnsi="Calibri"/>
                <w:color w:val="24303D"/>
                <w:sz w:val="18"/>
              </w:rPr>
              <w:t>Random Forest</w:t>
            </w:r>
          </w:p>
        </w:tc>
        <w:tc>
          <w:tcPr>
            <w:tcW w:type="dxa" w:w="1872"/>
            <w:tcMar>
              <w:top w:w="80" w:type="dxa"/>
              <w:bottom w:w="80" w:type="dxa"/>
              <w:left w:w="80" w:type="dxa"/>
              <w:right w:w="80" w:type="dxa"/>
            </w:tcMar>
          </w:tcPr>
          <w:p>
            <w:r>
              <w:rPr>
                <w:rFonts w:ascii="Calibri" w:hAnsi="Calibri"/>
                <w:color w:val="24303D"/>
                <w:sz w:val="18"/>
              </w:rPr>
              <w:t>n_estimators=200</w:t>
            </w:r>
          </w:p>
        </w:tc>
        <w:tc>
          <w:tcPr>
            <w:tcW w:type="dxa" w:w="1008"/>
            <w:tcMar>
              <w:top w:w="80" w:type="dxa"/>
              <w:bottom w:w="80" w:type="dxa"/>
              <w:left w:w="80" w:type="dxa"/>
              <w:right w:w="80" w:type="dxa"/>
            </w:tcMar>
          </w:tcPr>
          <w:p>
            <w:pPr>
              <w:jc w:val="center"/>
            </w:pPr>
            <w:r>
              <w:rPr>
                <w:rFonts w:ascii="Calibri" w:hAnsi="Calibri"/>
                <w:color w:val="24303D"/>
                <w:sz w:val="18"/>
              </w:rPr>
              <w:t>95.51%</w:t>
            </w:r>
          </w:p>
        </w:tc>
        <w:tc>
          <w:tcPr>
            <w:tcW w:type="dxa" w:w="1008"/>
            <w:tcMar>
              <w:top w:w="80" w:type="dxa"/>
              <w:bottom w:w="80" w:type="dxa"/>
              <w:left w:w="80" w:type="dxa"/>
              <w:right w:w="80" w:type="dxa"/>
            </w:tcMar>
          </w:tcPr>
          <w:p>
            <w:pPr>
              <w:jc w:val="center"/>
            </w:pPr>
            <w:r>
              <w:rPr>
                <w:rFonts w:ascii="Calibri" w:hAnsi="Calibri"/>
                <w:color w:val="24303D"/>
                <w:sz w:val="18"/>
              </w:rPr>
              <w:t>95.66%</w:t>
            </w:r>
          </w:p>
        </w:tc>
        <w:tc>
          <w:tcPr>
            <w:tcW w:type="dxa" w:w="1008"/>
            <w:tcMar>
              <w:top w:w="80" w:type="dxa"/>
              <w:bottom w:w="80" w:type="dxa"/>
              <w:left w:w="80" w:type="dxa"/>
              <w:right w:w="80" w:type="dxa"/>
            </w:tcMar>
          </w:tcPr>
          <w:p>
            <w:pPr>
              <w:jc w:val="center"/>
            </w:pPr>
            <w:r>
              <w:rPr>
                <w:rFonts w:ascii="Calibri" w:hAnsi="Calibri"/>
                <w:color w:val="24303D"/>
                <w:sz w:val="18"/>
              </w:rPr>
              <w:t>95.38%</w:t>
            </w:r>
          </w:p>
        </w:tc>
        <w:tc>
          <w:tcPr>
            <w:tcW w:type="dxa" w:w="1008"/>
            <w:tcMar>
              <w:top w:w="80" w:type="dxa"/>
              <w:bottom w:w="80" w:type="dxa"/>
              <w:left w:w="80" w:type="dxa"/>
              <w:right w:w="80" w:type="dxa"/>
            </w:tcMar>
          </w:tcPr>
          <w:p>
            <w:pPr>
              <w:jc w:val="center"/>
            </w:pPr>
            <w:r>
              <w:rPr>
                <w:rFonts w:ascii="Calibri" w:hAnsi="Calibri"/>
                <w:color w:val="24303D"/>
                <w:sz w:val="18"/>
              </w:rPr>
              <w:t>95.51%</w:t>
            </w:r>
          </w:p>
        </w:tc>
        <w:tc>
          <w:tcPr>
            <w:tcW w:type="dxa" w:w="864"/>
            <w:tcMar>
              <w:top w:w="80" w:type="dxa"/>
              <w:bottom w:w="80" w:type="dxa"/>
              <w:left w:w="80" w:type="dxa"/>
              <w:right w:w="80" w:type="dxa"/>
            </w:tcMar>
          </w:tcPr>
          <w:p>
            <w:pPr>
              <w:jc w:val="center"/>
            </w:pPr>
            <w:r>
              <w:rPr>
                <w:rFonts w:ascii="Calibri" w:hAnsi="Calibri"/>
                <w:color w:val="24303D"/>
                <w:sz w:val="18"/>
              </w:rPr>
              <w:t>0.15 ms</w:t>
            </w:r>
          </w:p>
        </w:tc>
      </w:tr>
    </w:tbl>
    <w:p>
      <w:pPr>
        <w:spacing w:after="120"/>
      </w:pPr>
    </w:p>
    <w:p>
      <w:pPr>
        <w:spacing w:before="160" w:after="40"/>
        <w:jc w:val="center"/>
      </w:pPr>
      <w:r>
        <w:drawing>
          <wp:inline xmlns:a="http://schemas.openxmlformats.org/drawingml/2006/main" xmlns:pic="http://schemas.openxmlformats.org/drawingml/2006/picture">
            <wp:extent cx="5669280" cy="2864478"/>
            <wp:docPr id="5" name="Picture 5"/>
            <wp:cNvGraphicFramePr>
              <a:graphicFrameLocks noChangeAspect="1"/>
            </wp:cNvGraphicFramePr>
            <a:graphic>
              <a:graphicData uri="http://schemas.openxmlformats.org/drawingml/2006/picture">
                <pic:pic>
                  <pic:nvPicPr>
                    <pic:cNvPr id="0" name="fig3_model_benchmark_comparison.png"/>
                    <pic:cNvPicPr/>
                  </pic:nvPicPr>
                  <pic:blipFill>
                    <a:blip r:embed="rId13"/>
                    <a:stretch>
                      <a:fillRect/>
                    </a:stretch>
                  </pic:blipFill>
                  <pic:spPr>
                    <a:xfrm>
                      <a:off x="0" y="0"/>
                      <a:ext cx="5669280" cy="2864478"/>
                    </a:xfrm>
                    <a:prstGeom prst="rect"/>
                  </pic:spPr>
                </pic:pic>
              </a:graphicData>
            </a:graphic>
          </wp:inline>
        </w:drawing>
      </w:r>
    </w:p>
    <w:p>
      <w:pPr>
        <w:spacing w:before="40" w:after="200"/>
        <w:jc w:val="center"/>
      </w:pPr>
      <w:r>
        <w:rPr>
          <w:rFonts w:ascii="Calibri" w:hAnsi="Calibri"/>
          <w:color w:val="2E8B87"/>
          <w:sz w:val="18"/>
        </w:rPr>
        <w:t>FIG 3  |  Multi-Model Benchmark Comparison Across Evaluation Metrics</w:t>
      </w:r>
    </w:p>
    <w:tbl>
      <w:tblPr>
        <w:tblW w:type="auto" w:w="0"/>
        <w:jc w:val="center"/>
        <w:tblLayout w:type="fixed"/>
        <w:tblLook w:firstColumn="1" w:firstRow="1" w:lastColumn="0" w:lastRow="0" w:noHBand="0" w:noVBand="1" w:val="04A0"/>
      </w:tblPr>
      <w:tblGrid>
        <w:gridCol w:w="864"/>
        <w:gridCol w:w="8496"/>
      </w:tblGrid>
      <w:tr>
        <w:tc>
          <w:tcPr>
            <w:tcW w:type="dxa" w:w="864"/>
            <w:shd w:fill="14293D"/>
            <w:tcMar>
              <w:top w:w="140" w:type="dxa"/>
              <w:bottom w:w="140" w:type="dxa"/>
              <w:left w:w="100" w:type="dxa"/>
              <w:right w:w="100" w:type="dxa"/>
            </w:tcMar>
          </w:tcPr>
          <w:p>
            <w:pPr>
              <w:jc w:val="center"/>
            </w:pPr>
            <w:r>
              <w:rPr>
                <w:rFonts w:ascii="Calibri" w:hAnsi="Calibri"/>
                <w:b/>
                <w:color w:val="C9A227"/>
                <w:sz w:val="26"/>
              </w:rPr>
              <w:t>11</w:t>
            </w:r>
          </w:p>
        </w:tc>
        <w:tc>
          <w:tcPr>
            <w:tcW w:type="dxa" w:w="8496"/>
            <w:shd w:fill="14293D"/>
            <w:tcMar>
              <w:top w:w="140" w:type="dxa"/>
              <w:bottom w:w="140" w:type="dxa"/>
              <w:left w:w="150" w:type="dxa"/>
              <w:right w:w="150" w:type="dxa"/>
            </w:tcMar>
          </w:tcPr>
          <w:p>
            <w:r>
              <w:rPr>
                <w:rFonts w:ascii="Georgia" w:hAnsi="Georgia"/>
                <w:b/>
                <w:color w:val="FFFFFF"/>
                <w:sz w:val="26"/>
              </w:rPr>
              <w:t>Cross-Model Performance Comparison</w:t>
            </w:r>
          </w:p>
        </w:tc>
      </w:tr>
    </w:tbl>
    <w:p>
      <w:pPr>
        <w:spacing w:before="0" w:after="80"/>
      </w:pPr>
    </w:p>
    <w:p>
      <w:pPr>
        <w:spacing w:before="0" w:after="120" w:line="276" w:lineRule="auto"/>
      </w:pPr>
      <w:r>
        <w:rPr>
          <w:rFonts w:ascii="Calibri" w:hAnsi="Calibri"/>
          <w:color w:val="24303D"/>
          <w:sz w:val="22"/>
        </w:rPr>
        <w:t>Logistic Regression and Linear SVM demonstrated superior performance over tree-based ensembles on sparse TF-IDF text features. Linear SVM achieved the cleanest class boundary separation, while Logistic Regression provided well-calibrated probabilistic output suitable for confidence thresholds.</w:t>
      </w:r>
    </w:p>
    <w:tbl>
      <w:tblPr>
        <w:tblW w:type="auto" w:w="0"/>
        <w:jc w:val="center"/>
        <w:tblLayout w:type="fixed"/>
        <w:tblLook w:firstColumn="1" w:firstRow="1" w:lastColumn="0" w:lastRow="0" w:noHBand="0" w:noVBand="1" w:val="04A0"/>
      </w:tblPr>
      <w:tblGrid>
        <w:gridCol w:w="864"/>
        <w:gridCol w:w="8496"/>
      </w:tblGrid>
      <w:tr>
        <w:tc>
          <w:tcPr>
            <w:tcW w:type="dxa" w:w="864"/>
            <w:shd w:fill="14293D"/>
            <w:tcMar>
              <w:top w:w="140" w:type="dxa"/>
              <w:bottom w:w="140" w:type="dxa"/>
              <w:left w:w="100" w:type="dxa"/>
              <w:right w:w="100" w:type="dxa"/>
            </w:tcMar>
          </w:tcPr>
          <w:p>
            <w:pPr>
              <w:jc w:val="center"/>
            </w:pPr>
            <w:r>
              <w:rPr>
                <w:rFonts w:ascii="Calibri" w:hAnsi="Calibri"/>
                <w:b/>
                <w:color w:val="C9A227"/>
                <w:sz w:val="26"/>
              </w:rPr>
              <w:t>12</w:t>
            </w:r>
          </w:p>
        </w:tc>
        <w:tc>
          <w:tcPr>
            <w:tcW w:type="dxa" w:w="8496"/>
            <w:shd w:fill="14293D"/>
            <w:tcMar>
              <w:top w:w="140" w:type="dxa"/>
              <w:bottom w:w="140" w:type="dxa"/>
              <w:left w:w="150" w:type="dxa"/>
              <w:right w:w="150" w:type="dxa"/>
            </w:tcMar>
          </w:tcPr>
          <w:p>
            <w:r>
              <w:rPr>
                <w:rFonts w:ascii="Georgia" w:hAnsi="Georgia"/>
                <w:b/>
                <w:color w:val="FFFFFF"/>
                <w:sz w:val="26"/>
              </w:rPr>
              <w:t>Model Interpretability &amp; Feature Coefficient Analysis</w:t>
            </w:r>
          </w:p>
        </w:tc>
      </w:tr>
    </w:tbl>
    <w:p>
      <w:pPr>
        <w:spacing w:before="0" w:after="80"/>
      </w:pPr>
    </w:p>
    <w:p>
      <w:pPr>
        <w:spacing w:before="0" w:after="120" w:line="276" w:lineRule="auto"/>
      </w:pPr>
      <w:r>
        <w:rPr>
          <w:rFonts w:ascii="Calibri" w:hAnsi="Calibri"/>
          <w:color w:val="24303D"/>
          <w:sz w:val="22"/>
        </w:rPr>
        <w:t>Feature interpretability was analyzed by extracting top positive log-odds coefficients from the Logistic Regression model for each target category:</w:t>
      </w:r>
    </w:p>
    <w:p>
      <w:pPr>
        <w:pStyle w:val="ListParagraph"/>
        <w:spacing w:before="0" w:after="70" w:line="276" w:lineRule="auto"/>
      </w:pPr>
      <w:r>
        <w:rPr>
          <w:rFonts w:ascii="Calibri" w:hAnsi="Calibri"/>
          <w:b/>
          <w:color w:val="14293D"/>
          <w:sz w:val="21"/>
        </w:rPr>
        <w:t xml:space="preserve">Business Top Features: </w:t>
      </w:r>
      <w:r>
        <w:rPr>
          <w:rFonts w:ascii="Calibri" w:hAnsi="Calibri"/>
          <w:color w:val="24303D"/>
          <w:sz w:val="21"/>
        </w:rPr>
        <w:t>bank (+2.85), growth (+2.42), economy (+2.38), shares (+2.15), profit (+2.04)</w:t>
      </w:r>
    </w:p>
    <w:p>
      <w:pPr>
        <w:pStyle w:val="ListParagraph"/>
        <w:spacing w:before="0" w:after="70" w:line="276" w:lineRule="auto"/>
      </w:pPr>
      <w:r>
        <w:rPr>
          <w:rFonts w:ascii="Calibri" w:hAnsi="Calibri"/>
          <w:b/>
          <w:color w:val="14293D"/>
          <w:sz w:val="21"/>
        </w:rPr>
        <w:t xml:space="preserve">Entertainment Top Features: </w:t>
      </w:r>
      <w:r>
        <w:rPr>
          <w:rFonts w:ascii="Calibri" w:hAnsi="Calibri"/>
          <w:color w:val="24303D"/>
          <w:sz w:val="21"/>
        </w:rPr>
        <w:t>film (+3.12), music (+2.65), actor (+2.41), show (+2.10), award (+1.98)</w:t>
      </w:r>
    </w:p>
    <w:p>
      <w:pPr>
        <w:pStyle w:val="ListParagraph"/>
        <w:spacing w:before="0" w:after="70" w:line="276" w:lineRule="auto"/>
      </w:pPr>
      <w:r>
        <w:rPr>
          <w:rFonts w:ascii="Calibri" w:hAnsi="Calibri"/>
          <w:b/>
          <w:color w:val="14293D"/>
          <w:sz w:val="21"/>
        </w:rPr>
        <w:t xml:space="preserve">Politics Top Features: </w:t>
      </w:r>
      <w:r>
        <w:rPr>
          <w:rFonts w:ascii="Calibri" w:hAnsi="Calibri"/>
          <w:color w:val="24303D"/>
          <w:sz w:val="21"/>
        </w:rPr>
        <w:t>election (+3.40), government (+2.98), party (+2.85), minister (+2.45), blair (+2.30)</w:t>
      </w:r>
    </w:p>
    <w:p>
      <w:pPr>
        <w:pStyle w:val="ListParagraph"/>
        <w:spacing w:before="0" w:after="70" w:line="276" w:lineRule="auto"/>
      </w:pPr>
      <w:r>
        <w:rPr>
          <w:rFonts w:ascii="Calibri" w:hAnsi="Calibri"/>
          <w:b/>
          <w:color w:val="14293D"/>
          <w:sz w:val="21"/>
        </w:rPr>
        <w:t xml:space="preserve">Sport Top Features: </w:t>
      </w:r>
      <w:r>
        <w:rPr>
          <w:rFonts w:ascii="Calibri" w:hAnsi="Calibri"/>
          <w:color w:val="24303D"/>
          <w:sz w:val="21"/>
        </w:rPr>
        <w:t>match (+3.25), win (+2.88), player (+2.70), injury (+2.40), cup (+2.15)</w:t>
      </w:r>
    </w:p>
    <w:p>
      <w:pPr>
        <w:pStyle w:val="ListParagraph"/>
        <w:spacing w:before="0" w:after="70" w:line="276" w:lineRule="auto"/>
      </w:pPr>
      <w:r>
        <w:rPr>
          <w:rFonts w:ascii="Calibri" w:hAnsi="Calibri"/>
          <w:b/>
          <w:color w:val="14293D"/>
          <w:sz w:val="21"/>
        </w:rPr>
        <w:t xml:space="preserve">Tech Top Features: </w:t>
      </w:r>
      <w:r>
        <w:rPr>
          <w:rFonts w:ascii="Calibri" w:hAnsi="Calibri"/>
          <w:color w:val="24303D"/>
          <w:sz w:val="21"/>
        </w:rPr>
        <w:t>software (+3.10), user (+2.75), technology (+2.60), mobile (+2.42), digital (+2.20)</w:t>
      </w:r>
    </w:p>
    <w:tbl>
      <w:tblPr>
        <w:tblW w:type="auto" w:w="0"/>
        <w:jc w:val="center"/>
        <w:tblLayout w:type="fixed"/>
        <w:tblLook w:firstColumn="1" w:firstRow="1" w:lastColumn="0" w:lastRow="0" w:noHBand="0" w:noVBand="1" w:val="04A0"/>
      </w:tblPr>
      <w:tblGrid>
        <w:gridCol w:w="864"/>
        <w:gridCol w:w="8496"/>
      </w:tblGrid>
      <w:tr>
        <w:tc>
          <w:tcPr>
            <w:tcW w:type="dxa" w:w="864"/>
            <w:shd w:fill="14293D"/>
            <w:tcMar>
              <w:top w:w="140" w:type="dxa"/>
              <w:bottom w:w="140" w:type="dxa"/>
              <w:left w:w="100" w:type="dxa"/>
              <w:right w:w="100" w:type="dxa"/>
            </w:tcMar>
          </w:tcPr>
          <w:p>
            <w:pPr>
              <w:jc w:val="center"/>
            </w:pPr>
            <w:r>
              <w:rPr>
                <w:rFonts w:ascii="Calibri" w:hAnsi="Calibri"/>
                <w:b/>
                <w:color w:val="C9A227"/>
                <w:sz w:val="26"/>
              </w:rPr>
              <w:t>13</w:t>
            </w:r>
          </w:p>
        </w:tc>
        <w:tc>
          <w:tcPr>
            <w:tcW w:type="dxa" w:w="8496"/>
            <w:shd w:fill="14293D"/>
            <w:tcMar>
              <w:top w:w="140" w:type="dxa"/>
              <w:bottom w:w="140" w:type="dxa"/>
              <w:left w:w="150" w:type="dxa"/>
              <w:right w:w="150" w:type="dxa"/>
            </w:tcMar>
          </w:tcPr>
          <w:p>
            <w:r>
              <w:rPr>
                <w:rFonts w:ascii="Georgia" w:hAnsi="Georgia"/>
                <w:b/>
                <w:color w:val="FFFFFF"/>
                <w:sz w:val="26"/>
              </w:rPr>
              <w:t>Error Analysis &amp; Confusion Matrix Diagnostics</w:t>
            </w:r>
          </w:p>
        </w:tc>
      </w:tr>
    </w:tbl>
    <w:p>
      <w:pPr>
        <w:spacing w:before="0" w:after="80"/>
      </w:pPr>
    </w:p>
    <w:p>
      <w:pPr>
        <w:spacing w:before="0" w:after="120" w:line="276" w:lineRule="auto"/>
      </w:pPr>
      <w:r>
        <w:rPr>
          <w:rFonts w:ascii="Calibri" w:hAnsi="Calibri"/>
          <w:color w:val="24303D"/>
          <w:sz w:val="22"/>
        </w:rPr>
        <w:t>Error analysis of misclassified samples revealed that misclassifications primarily occur at domain boundaries—such as tech business mergers (e.g. digital music sales classified as Entertainment vs Tech) or political speeches on economic policy (Politics vs Business).</w:t>
      </w:r>
    </w:p>
    <w:p>
      <w:pPr>
        <w:spacing w:before="160" w:after="40"/>
        <w:jc w:val="center"/>
      </w:pPr>
      <w:r>
        <w:drawing>
          <wp:inline xmlns:a="http://schemas.openxmlformats.org/drawingml/2006/main" xmlns:pic="http://schemas.openxmlformats.org/drawingml/2006/picture">
            <wp:extent cx="5669280" cy="4724400"/>
            <wp:docPr id="6" name="Picture 6"/>
            <wp:cNvGraphicFramePr>
              <a:graphicFrameLocks noChangeAspect="1"/>
            </wp:cNvGraphicFramePr>
            <a:graphic>
              <a:graphicData uri="http://schemas.openxmlformats.org/drawingml/2006/picture">
                <pic:pic>
                  <pic:nvPicPr>
                    <pic:cNvPr id="0" name="fig4_confusion_matrix_logreg.png"/>
                    <pic:cNvPicPr/>
                  </pic:nvPicPr>
                  <pic:blipFill>
                    <a:blip r:embed="rId14"/>
                    <a:stretch>
                      <a:fillRect/>
                    </a:stretch>
                  </pic:blipFill>
                  <pic:spPr>
                    <a:xfrm>
                      <a:off x="0" y="0"/>
                      <a:ext cx="5669280" cy="4724400"/>
                    </a:xfrm>
                    <a:prstGeom prst="rect"/>
                  </pic:spPr>
                </pic:pic>
              </a:graphicData>
            </a:graphic>
          </wp:inline>
        </w:drawing>
      </w:r>
    </w:p>
    <w:p>
      <w:pPr>
        <w:spacing w:before="40" w:after="200"/>
        <w:jc w:val="center"/>
      </w:pPr>
      <w:r>
        <w:rPr>
          <w:rFonts w:ascii="Calibri" w:hAnsi="Calibri"/>
          <w:color w:val="2E8B87"/>
          <w:sz w:val="18"/>
        </w:rPr>
        <w:t>FIG 4  |  Confusion Matrix — Logistic Regression (Production Model)</w:t>
      </w:r>
    </w:p>
    <w:p>
      <w:pPr>
        <w:spacing w:before="160" w:after="40"/>
        <w:jc w:val="center"/>
      </w:pPr>
      <w:r>
        <w:drawing>
          <wp:inline xmlns:a="http://schemas.openxmlformats.org/drawingml/2006/main" xmlns:pic="http://schemas.openxmlformats.org/drawingml/2006/picture">
            <wp:extent cx="5669280" cy="4724400"/>
            <wp:docPr id="7" name="Picture 7"/>
            <wp:cNvGraphicFramePr>
              <a:graphicFrameLocks noChangeAspect="1"/>
            </wp:cNvGraphicFramePr>
            <a:graphic>
              <a:graphicData uri="http://schemas.openxmlformats.org/drawingml/2006/picture">
                <pic:pic>
                  <pic:nvPicPr>
                    <pic:cNvPr id="0" name="fig5_confusion_matrix_svm.png"/>
                    <pic:cNvPicPr/>
                  </pic:nvPicPr>
                  <pic:blipFill>
                    <a:blip r:embed="rId15"/>
                    <a:stretch>
                      <a:fillRect/>
                    </a:stretch>
                  </pic:blipFill>
                  <pic:spPr>
                    <a:xfrm>
                      <a:off x="0" y="0"/>
                      <a:ext cx="5669280" cy="4724400"/>
                    </a:xfrm>
                    <a:prstGeom prst="rect"/>
                  </pic:spPr>
                </pic:pic>
              </a:graphicData>
            </a:graphic>
          </wp:inline>
        </w:drawing>
      </w:r>
    </w:p>
    <w:p>
      <w:pPr>
        <w:spacing w:before="40" w:after="200"/>
        <w:jc w:val="center"/>
      </w:pPr>
      <w:r>
        <w:rPr>
          <w:rFonts w:ascii="Calibri" w:hAnsi="Calibri"/>
          <w:color w:val="2E8B87"/>
          <w:sz w:val="18"/>
        </w:rPr>
        <w:t>FIG 5  |  Confusion Matrix — Linear SVM Classifier</w:t>
      </w:r>
    </w:p>
    <w:tbl>
      <w:tblPr>
        <w:tblW w:type="auto" w:w="0"/>
        <w:jc w:val="center"/>
        <w:tblLayout w:type="fixed"/>
        <w:tblLook w:firstColumn="1" w:firstRow="1" w:lastColumn="0" w:lastRow="0" w:noHBand="0" w:noVBand="1" w:val="04A0"/>
      </w:tblPr>
      <w:tblGrid>
        <w:gridCol w:w="864"/>
        <w:gridCol w:w="8496"/>
      </w:tblGrid>
      <w:tr>
        <w:tc>
          <w:tcPr>
            <w:tcW w:type="dxa" w:w="864"/>
            <w:shd w:fill="14293D"/>
            <w:tcMar>
              <w:top w:w="140" w:type="dxa"/>
              <w:bottom w:w="140" w:type="dxa"/>
              <w:left w:w="100" w:type="dxa"/>
              <w:right w:w="100" w:type="dxa"/>
            </w:tcMar>
          </w:tcPr>
          <w:p>
            <w:pPr>
              <w:jc w:val="center"/>
            </w:pPr>
            <w:r>
              <w:rPr>
                <w:rFonts w:ascii="Calibri" w:hAnsi="Calibri"/>
                <w:b/>
                <w:color w:val="C9A227"/>
                <w:sz w:val="26"/>
              </w:rPr>
              <w:t>14</w:t>
            </w:r>
          </w:p>
        </w:tc>
        <w:tc>
          <w:tcPr>
            <w:tcW w:type="dxa" w:w="8496"/>
            <w:shd w:fill="14293D"/>
            <w:tcMar>
              <w:top w:w="140" w:type="dxa"/>
              <w:bottom w:w="140" w:type="dxa"/>
              <w:left w:w="150" w:type="dxa"/>
              <w:right w:w="150" w:type="dxa"/>
            </w:tcMar>
          </w:tcPr>
          <w:p>
            <w:r>
              <w:rPr>
                <w:rFonts w:ascii="Georgia" w:hAnsi="Georgia"/>
                <w:b/>
                <w:color w:val="FFFFFF"/>
                <w:sz w:val="26"/>
              </w:rPr>
              <w:t>Experiment Tracking &amp; Model Serialization</w:t>
            </w:r>
          </w:p>
        </w:tc>
      </w:tr>
    </w:tbl>
    <w:p>
      <w:pPr>
        <w:spacing w:before="0" w:after="80"/>
      </w:pPr>
    </w:p>
    <w:p>
      <w:pPr>
        <w:spacing w:before="0" w:after="120" w:line="276" w:lineRule="auto"/>
      </w:pPr>
      <w:r>
        <w:rPr>
          <w:rFonts w:ascii="Calibri" w:hAnsi="Calibri"/>
          <w:color w:val="24303D"/>
          <w:sz w:val="22"/>
        </w:rPr>
        <w:t>All model artifacts, TF-IDF vectorizers, label encoders, and Gensim LDA dictionary mappings are serialized to disk under models/ using joblib and PyTorch state dicts. Experiment metrics are automatically appended to models/experiments.csv for complete reproducibility.</w:t>
      </w:r>
    </w:p>
    <w:tbl>
      <w:tblPr>
        <w:tblW w:type="auto" w:w="0"/>
        <w:jc w:val="center"/>
        <w:tblLayout w:type="fixed"/>
        <w:tblLook w:firstColumn="1" w:firstRow="1" w:lastColumn="0" w:lastRow="0" w:noHBand="0" w:noVBand="1" w:val="04A0"/>
      </w:tblPr>
      <w:tblGrid>
        <w:gridCol w:w="864"/>
        <w:gridCol w:w="8496"/>
      </w:tblGrid>
      <w:tr>
        <w:tc>
          <w:tcPr>
            <w:tcW w:type="dxa" w:w="864"/>
            <w:shd w:fill="14293D"/>
            <w:tcMar>
              <w:top w:w="140" w:type="dxa"/>
              <w:bottom w:w="140" w:type="dxa"/>
              <w:left w:w="100" w:type="dxa"/>
              <w:right w:w="100" w:type="dxa"/>
            </w:tcMar>
          </w:tcPr>
          <w:p>
            <w:pPr>
              <w:jc w:val="center"/>
            </w:pPr>
            <w:r>
              <w:rPr>
                <w:rFonts w:ascii="Calibri" w:hAnsi="Calibri"/>
                <w:b/>
                <w:color w:val="C9A227"/>
                <w:sz w:val="26"/>
              </w:rPr>
              <w:t>15</w:t>
            </w:r>
          </w:p>
        </w:tc>
        <w:tc>
          <w:tcPr>
            <w:tcW w:type="dxa" w:w="8496"/>
            <w:shd w:fill="14293D"/>
            <w:tcMar>
              <w:top w:w="140" w:type="dxa"/>
              <w:bottom w:w="140" w:type="dxa"/>
              <w:left w:w="150" w:type="dxa"/>
              <w:right w:w="150" w:type="dxa"/>
            </w:tcMar>
          </w:tcPr>
          <w:p>
            <w:r>
              <w:rPr>
                <w:rFonts w:ascii="Georgia" w:hAnsi="Georgia"/>
                <w:b/>
                <w:color w:val="FFFFFF"/>
                <w:sz w:val="26"/>
              </w:rPr>
              <w:t>Production Engineering Architecture (Step 17)</w:t>
            </w:r>
          </w:p>
        </w:tc>
      </w:tr>
    </w:tbl>
    <w:p>
      <w:pPr>
        <w:spacing w:before="0" w:after="80"/>
      </w:pPr>
    </w:p>
    <w:p>
      <w:pPr>
        <w:spacing w:before="0" w:after="120" w:line="276" w:lineRule="auto"/>
      </w:pPr>
      <w:r>
        <w:rPr>
          <w:rFonts w:ascii="Calibri" w:hAnsi="Calibri"/>
          <w:color w:val="24303D"/>
          <w:sz w:val="22"/>
        </w:rPr>
        <w:t>The project adheres strictly to Step 17 software engineering guidelines:</w:t>
      </w:r>
    </w:p>
    <w:p>
      <w:pPr>
        <w:pStyle w:val="ListParagraph"/>
        <w:spacing w:before="0" w:after="70" w:line="276" w:lineRule="auto"/>
      </w:pPr>
      <w:r>
        <w:rPr>
          <w:rFonts w:ascii="Calibri" w:hAnsi="Calibri"/>
          <w:b/>
          <w:color w:val="14293D"/>
          <w:sz w:val="21"/>
        </w:rPr>
        <w:t xml:space="preserve">Centralized Configuration (src/config.py): </w:t>
      </w:r>
      <w:r>
        <w:rPr>
          <w:rFonts w:ascii="Calibri" w:hAnsi="Calibri"/>
          <w:color w:val="24303D"/>
          <w:sz w:val="21"/>
        </w:rPr>
        <w:t>Single source of truth for paths, random seeds, hyperparameters, and UI parameters.</w:t>
      </w:r>
    </w:p>
    <w:p>
      <w:pPr>
        <w:pStyle w:val="ListParagraph"/>
        <w:spacing w:before="0" w:after="70" w:line="276" w:lineRule="auto"/>
      </w:pPr>
      <w:r>
        <w:rPr>
          <w:rFonts w:ascii="Calibri" w:hAnsi="Calibri"/>
          <w:b/>
          <w:color w:val="14293D"/>
          <w:sz w:val="21"/>
        </w:rPr>
        <w:t xml:space="preserve">Structured Logging (utils/logger.py): </w:t>
      </w:r>
      <w:r>
        <w:rPr>
          <w:rFonts w:ascii="Calibri" w:hAnsi="Calibri"/>
          <w:color w:val="24303D"/>
          <w:sz w:val="21"/>
        </w:rPr>
        <w:t>Dedicated logging appenders for training.log, prediction.log, and application.log.</w:t>
      </w:r>
    </w:p>
    <w:p>
      <w:pPr>
        <w:pStyle w:val="ListParagraph"/>
        <w:spacing w:before="0" w:after="70" w:line="276" w:lineRule="auto"/>
      </w:pPr>
      <w:r>
        <w:rPr>
          <w:rFonts w:ascii="Calibri" w:hAnsi="Calibri"/>
          <w:b/>
          <w:color w:val="14293D"/>
          <w:sz w:val="21"/>
        </w:rPr>
        <w:t xml:space="preserve">CLI Batch Tool (src/inference.py): </w:t>
      </w:r>
      <w:r>
        <w:rPr>
          <w:rFonts w:ascii="Calibri" w:hAnsi="Calibri"/>
          <w:color w:val="24303D"/>
          <w:sz w:val="21"/>
        </w:rPr>
        <w:t>Command-line interface supporting both single string (--text) and file batch (--file) inference.</w:t>
      </w:r>
    </w:p>
    <w:p>
      <w:pPr>
        <w:pStyle w:val="ListParagraph"/>
        <w:spacing w:before="0" w:after="70" w:line="276" w:lineRule="auto"/>
      </w:pPr>
      <w:r>
        <w:rPr>
          <w:rFonts w:ascii="Calibri" w:hAnsi="Calibri"/>
          <w:b/>
          <w:color w:val="14293D"/>
          <w:sz w:val="21"/>
        </w:rPr>
        <w:t xml:space="preserve">Automated Testing Suite (tests/): </w:t>
      </w:r>
      <w:r>
        <w:rPr>
          <w:rFonts w:ascii="Calibri" w:hAnsi="Calibri"/>
          <w:color w:val="24303D"/>
          <w:sz w:val="21"/>
        </w:rPr>
        <w:t>Comprehensive unit tests verifying data loading, preprocessing, NER extraction, and prediction logic.</w:t>
      </w:r>
    </w:p>
    <w:p>
      <w:pPr>
        <w:keepNext/>
        <w:spacing w:before="240" w:after="80"/>
      </w:pPr>
      <w:r>
        <w:rPr>
          <w:rFonts w:ascii="Calibri" w:hAnsi="Calibri"/>
          <w:b/>
          <w:color w:val="14293D"/>
          <w:sz w:val="23"/>
        </w:rPr>
        <w:t>15.1 CLI Prediction Execution Sample</w:t>
      </w:r>
    </w:p>
    <w:tbl>
      <w:tblPr>
        <w:tblW w:type="auto" w:w="0"/>
        <w:jc w:val="center"/>
        <w:tblLayout w:type="fixed"/>
        <w:tblLook w:firstColumn="1" w:firstRow="1" w:lastColumn="0" w:lastRow="0" w:noHBand="0" w:noVBand="1" w:val="04A0"/>
      </w:tblPr>
      <w:tblGrid>
        <w:gridCol w:w="9360"/>
      </w:tblGrid>
      <w:tr>
        <w:tc>
          <w:tcPr>
            <w:tcW w:type="dxa" w:w="9360"/>
            <w:shd w:fill="1E242B"/>
            <w:tcMar>
              <w:top w:w="100" w:type="dxa"/>
              <w:bottom w:w="100" w:type="dxa"/>
              <w:left w:w="150" w:type="dxa"/>
              <w:right w:w="150" w:type="dxa"/>
            </w:tcMar>
          </w:tcPr>
          <w:p>
            <w:pPr>
              <w:spacing w:before="0" w:after="0"/>
            </w:pPr>
            <w:r>
              <w:rPr>
                <w:rFonts w:ascii="Consolas" w:hAnsi="Consolas"/>
                <w:color w:val="9FE6C6"/>
                <w:sz w:val="19"/>
              </w:rPr>
              <w:t>python -m src.inference --text "The central bank announced an unexpected interest rate cut today."</w:t>
              <w:br/>
              <w:t>[PREDICT] Output:</w:t>
              <w:br/>
              <w:t xml:space="preserve">  Category: business</w:t>
              <w:br/>
              <w:t xml:space="preserve">  Confidence: 99.42%</w:t>
              <w:br/>
              <w:t xml:space="preserve">  Probabilities: {'business': 0.9942, 'politics': 0.0035, 'tech': 0.0011, 'sport': 0.0008, 'entertainment': 0.0004}</w:t>
            </w:r>
          </w:p>
        </w:tc>
      </w:tr>
    </w:tbl>
    <w:p>
      <w:pPr>
        <w:spacing w:before="0" w:after="80"/>
      </w:pPr>
    </w:p>
    <w:tbl>
      <w:tblPr>
        <w:tblW w:type="auto" w:w="0"/>
        <w:jc w:val="center"/>
        <w:tblLayout w:type="fixed"/>
        <w:tblLook w:firstColumn="1" w:firstRow="1" w:lastColumn="0" w:lastRow="0" w:noHBand="0" w:noVBand="1" w:val="04A0"/>
      </w:tblPr>
      <w:tblGrid>
        <w:gridCol w:w="864"/>
        <w:gridCol w:w="8496"/>
      </w:tblGrid>
      <w:tr>
        <w:tc>
          <w:tcPr>
            <w:tcW w:type="dxa" w:w="864"/>
            <w:shd w:fill="14293D"/>
            <w:tcMar>
              <w:top w:w="140" w:type="dxa"/>
              <w:bottom w:w="140" w:type="dxa"/>
              <w:left w:w="100" w:type="dxa"/>
              <w:right w:w="100" w:type="dxa"/>
            </w:tcMar>
          </w:tcPr>
          <w:p>
            <w:pPr>
              <w:jc w:val="center"/>
            </w:pPr>
            <w:r>
              <w:rPr>
                <w:rFonts w:ascii="Calibri" w:hAnsi="Calibri"/>
                <w:b/>
                <w:color w:val="C9A227"/>
                <w:sz w:val="26"/>
              </w:rPr>
              <w:t>16</w:t>
            </w:r>
          </w:p>
        </w:tc>
        <w:tc>
          <w:tcPr>
            <w:tcW w:type="dxa" w:w="8496"/>
            <w:shd w:fill="14293D"/>
            <w:tcMar>
              <w:top w:w="140" w:type="dxa"/>
              <w:bottom w:w="140" w:type="dxa"/>
              <w:left w:w="150" w:type="dxa"/>
              <w:right w:w="150" w:type="dxa"/>
            </w:tcMar>
          </w:tcPr>
          <w:p>
            <w:r>
              <w:rPr>
                <w:rFonts w:ascii="Georgia" w:hAnsi="Georgia"/>
                <w:b/>
                <w:color w:val="FFFFFF"/>
                <w:sz w:val="26"/>
              </w:rPr>
              <w:t>Business Applications &amp; Real-World Deployments</w:t>
            </w:r>
          </w:p>
        </w:tc>
      </w:tr>
    </w:tbl>
    <w:p>
      <w:pPr>
        <w:spacing w:before="0" w:after="80"/>
      </w:pPr>
    </w:p>
    <w:p>
      <w:pPr>
        <w:spacing w:before="0" w:after="120" w:line="276" w:lineRule="auto"/>
      </w:pPr>
      <w:r>
        <w:rPr>
          <w:rFonts w:ascii="Calibri" w:hAnsi="Calibri"/>
          <w:color w:val="24303D"/>
          <w:sz w:val="22"/>
        </w:rPr>
        <w:t>1. Automated News Wire Triage: Instantly routing incoming international news feeds to editorial desks based on predicted domain.</w:t>
      </w:r>
    </w:p>
    <w:p>
      <w:pPr>
        <w:spacing w:before="0" w:after="120" w:line="276" w:lineRule="auto"/>
      </w:pPr>
      <w:r>
        <w:rPr>
          <w:rFonts w:ascii="Calibri" w:hAnsi="Calibri"/>
          <w:color w:val="24303D"/>
          <w:sz w:val="22"/>
        </w:rPr>
        <w:t>2. Brand &amp; Political Intelligence: Tracking entity mentions (PERSON, ORG, GPE) in real time to monitor public sentiment and corporate announcements.</w:t>
      </w:r>
    </w:p>
    <w:p>
      <w:pPr>
        <w:spacing w:before="0" w:after="120" w:line="276" w:lineRule="auto"/>
      </w:pPr>
      <w:r>
        <w:rPr>
          <w:rFonts w:ascii="Calibri" w:hAnsi="Calibri"/>
          <w:color w:val="24303D"/>
          <w:sz w:val="22"/>
        </w:rPr>
        <w:t>3. Financial Market Signal Mining: Extracting monetary figures and business topics to inform automated quantitative trading strategies.</w:t>
      </w:r>
    </w:p>
    <w:tbl>
      <w:tblPr>
        <w:tblW w:type="auto" w:w="0"/>
        <w:jc w:val="center"/>
        <w:tblLayout w:type="fixed"/>
        <w:tblLook w:firstColumn="1" w:firstRow="1" w:lastColumn="0" w:lastRow="0" w:noHBand="0" w:noVBand="1" w:val="04A0"/>
      </w:tblPr>
      <w:tblGrid>
        <w:gridCol w:w="864"/>
        <w:gridCol w:w="8496"/>
      </w:tblGrid>
      <w:tr>
        <w:tc>
          <w:tcPr>
            <w:tcW w:type="dxa" w:w="864"/>
            <w:shd w:fill="14293D"/>
            <w:tcMar>
              <w:top w:w="140" w:type="dxa"/>
              <w:bottom w:w="140" w:type="dxa"/>
              <w:left w:w="100" w:type="dxa"/>
              <w:right w:w="100" w:type="dxa"/>
            </w:tcMar>
          </w:tcPr>
          <w:p>
            <w:pPr>
              <w:jc w:val="center"/>
            </w:pPr>
            <w:r>
              <w:rPr>
                <w:rFonts w:ascii="Calibri" w:hAnsi="Calibri"/>
                <w:b/>
                <w:color w:val="C9A227"/>
                <w:sz w:val="26"/>
              </w:rPr>
              <w:t>17</w:t>
            </w:r>
          </w:p>
        </w:tc>
        <w:tc>
          <w:tcPr>
            <w:tcW w:type="dxa" w:w="8496"/>
            <w:shd w:fill="14293D"/>
            <w:tcMar>
              <w:top w:w="140" w:type="dxa"/>
              <w:bottom w:w="140" w:type="dxa"/>
              <w:left w:w="150" w:type="dxa"/>
              <w:right w:w="150" w:type="dxa"/>
            </w:tcMar>
          </w:tcPr>
          <w:p>
            <w:r>
              <w:rPr>
                <w:rFonts w:ascii="Georgia" w:hAnsi="Georgia"/>
                <w:b/>
                <w:color w:val="FFFFFF"/>
                <w:sz w:val="26"/>
              </w:rPr>
              <w:t>Results &amp; Technical Discussion</w:t>
            </w:r>
          </w:p>
        </w:tc>
      </w:tr>
    </w:tbl>
    <w:p>
      <w:pPr>
        <w:spacing w:before="0" w:after="80"/>
      </w:pPr>
    </w:p>
    <w:p>
      <w:pPr>
        <w:spacing w:before="0" w:after="120" w:line="276" w:lineRule="auto"/>
      </w:pPr>
      <w:r>
        <w:rPr>
          <w:rFonts w:ascii="Calibri" w:hAnsi="Calibri"/>
          <w:color w:val="24303D"/>
          <w:sz w:val="22"/>
        </w:rPr>
        <w:t>The experimental results establish that sublinear TF-IDF representations combined with linear classifiers (SVM and Logistic Regression) provide near-perfect categorization accuracy (98.5% - 99.0%) on medium-length news documents, matching fine-tuned transformer architectures while consuming a fraction of computational compute and memory.</w:t>
      </w:r>
    </w:p>
    <w:tbl>
      <w:tblPr>
        <w:tblW w:type="auto" w:w="0"/>
        <w:jc w:val="center"/>
        <w:tblLayout w:type="fixed"/>
        <w:tblLook w:firstColumn="1" w:firstRow="1" w:lastColumn="0" w:lastRow="0" w:noHBand="0" w:noVBand="1" w:val="04A0"/>
      </w:tblPr>
      <w:tblGrid>
        <w:gridCol w:w="864"/>
        <w:gridCol w:w="8496"/>
      </w:tblGrid>
      <w:tr>
        <w:tc>
          <w:tcPr>
            <w:tcW w:type="dxa" w:w="864"/>
            <w:shd w:fill="14293D"/>
            <w:tcMar>
              <w:top w:w="140" w:type="dxa"/>
              <w:bottom w:w="140" w:type="dxa"/>
              <w:left w:w="100" w:type="dxa"/>
              <w:right w:w="100" w:type="dxa"/>
            </w:tcMar>
          </w:tcPr>
          <w:p>
            <w:pPr>
              <w:jc w:val="center"/>
            </w:pPr>
            <w:r>
              <w:rPr>
                <w:rFonts w:ascii="Calibri" w:hAnsi="Calibri"/>
                <w:b/>
                <w:color w:val="C9A227"/>
                <w:sz w:val="26"/>
              </w:rPr>
              <w:t>18</w:t>
            </w:r>
          </w:p>
        </w:tc>
        <w:tc>
          <w:tcPr>
            <w:tcW w:type="dxa" w:w="8496"/>
            <w:shd w:fill="14293D"/>
            <w:tcMar>
              <w:top w:w="140" w:type="dxa"/>
              <w:bottom w:w="140" w:type="dxa"/>
              <w:left w:w="150" w:type="dxa"/>
              <w:right w:w="150" w:type="dxa"/>
            </w:tcMar>
          </w:tcPr>
          <w:p>
            <w:r>
              <w:rPr>
                <w:rFonts w:ascii="Georgia" w:hAnsi="Georgia"/>
                <w:b/>
                <w:color w:val="FFFFFF"/>
                <w:sz w:val="26"/>
              </w:rPr>
              <w:t>Viva Voce &amp; Technical Defense Preparation (Q&amp;A)</w:t>
            </w:r>
          </w:p>
        </w:tc>
      </w:tr>
    </w:tbl>
    <w:p>
      <w:pPr>
        <w:spacing w:before="0" w:after="80"/>
      </w:pPr>
    </w:p>
    <w:p>
      <w:pPr>
        <w:keepNext/>
        <w:spacing w:before="240" w:after="80"/>
      </w:pPr>
      <w:r>
        <w:rPr>
          <w:rFonts w:ascii="Calibri" w:hAnsi="Calibri"/>
          <w:b/>
          <w:color w:val="14293D"/>
          <w:sz w:val="23"/>
        </w:rPr>
        <w:t>Q1 — Why does Linear SVM / Logistic Regression outperform DistilBERT on this dataset?</w:t>
      </w:r>
    </w:p>
    <w:p>
      <w:pPr>
        <w:spacing w:before="0" w:after="120" w:line="276" w:lineRule="auto"/>
      </w:pPr>
      <w:r>
        <w:rPr>
          <w:rFonts w:ascii="Calibri" w:hAnsi="Calibri"/>
          <w:color w:val="24303D"/>
          <w:sz w:val="22"/>
        </w:rPr>
        <w:t>The BBC corpus features distinct, domain-specific vocabulary across news verticals. TF-IDF feature matrices capture these unigram and bigram key terms effectively. On moderate-sized corpora (~2,200 documents), linear classifiers generalize exceptionally well without overfitting risk.</w:t>
      </w:r>
    </w:p>
    <w:p>
      <w:pPr>
        <w:keepNext/>
        <w:spacing w:before="240" w:after="80"/>
      </w:pPr>
      <w:r>
        <w:rPr>
          <w:rFonts w:ascii="Calibri" w:hAnsi="Calibri"/>
          <w:b/>
          <w:color w:val="14293D"/>
          <w:sz w:val="23"/>
        </w:rPr>
        <w:t>Q2 — How was the optimal LDA topic count K=5 validated?</w:t>
      </w:r>
    </w:p>
    <w:p>
      <w:pPr>
        <w:spacing w:before="0" w:after="120" w:line="276" w:lineRule="auto"/>
      </w:pPr>
      <w:r>
        <w:rPr>
          <w:rFonts w:ascii="Calibri" w:hAnsi="Calibri"/>
          <w:color w:val="24303D"/>
          <w:sz w:val="22"/>
        </w:rPr>
        <w:t>Optimal K was validated quantitatively using Gensim's c_v coherence score metric across K=2..15. The coherence score peaked at K=5 (c_v = 0.542), demonstrating that unsupervised cluster quality aligns with the 5 natural domain classes.</w:t>
      </w:r>
    </w:p>
    <w:p>
      <w:pPr>
        <w:keepNext/>
        <w:spacing w:before="240" w:after="80"/>
      </w:pPr>
      <w:r>
        <w:rPr>
          <w:rFonts w:ascii="Calibri" w:hAnsi="Calibri"/>
          <w:b/>
          <w:color w:val="14293D"/>
          <w:sz w:val="23"/>
        </w:rPr>
        <w:t>Q3 — What steps were taken to prevent data leakage during preprocessing?</w:t>
      </w:r>
    </w:p>
    <w:p>
      <w:pPr>
        <w:spacing w:before="0" w:after="120" w:line="276" w:lineRule="auto"/>
      </w:pPr>
      <w:r>
        <w:rPr>
          <w:rFonts w:ascii="Calibri" w:hAnsi="Calibri"/>
          <w:color w:val="24303D"/>
          <w:sz w:val="22"/>
        </w:rPr>
        <w:t>The TF-IDF vectorizer was fit exclusively on the training split (80%), and applied to the test split via transform(). All hyperparameter tuning (GridSearchCV) was performed strictly within 5-fold cross-validation loops.</w:t>
      </w:r>
    </w:p>
    <w:tbl>
      <w:tblPr>
        <w:tblW w:type="auto" w:w="0"/>
        <w:jc w:val="center"/>
        <w:tblLayout w:type="fixed"/>
        <w:tblLook w:firstColumn="1" w:firstRow="1" w:lastColumn="0" w:lastRow="0" w:noHBand="0" w:noVBand="1" w:val="04A0"/>
      </w:tblPr>
      <w:tblGrid>
        <w:gridCol w:w="864"/>
        <w:gridCol w:w="8496"/>
      </w:tblGrid>
      <w:tr>
        <w:tc>
          <w:tcPr>
            <w:tcW w:type="dxa" w:w="864"/>
            <w:shd w:fill="14293D"/>
            <w:tcMar>
              <w:top w:w="140" w:type="dxa"/>
              <w:bottom w:w="140" w:type="dxa"/>
              <w:left w:w="100" w:type="dxa"/>
              <w:right w:w="100" w:type="dxa"/>
            </w:tcMar>
          </w:tcPr>
          <w:p>
            <w:pPr>
              <w:jc w:val="center"/>
            </w:pPr>
            <w:r>
              <w:rPr>
                <w:rFonts w:ascii="Calibri" w:hAnsi="Calibri"/>
                <w:b/>
                <w:color w:val="C9A227"/>
                <w:sz w:val="26"/>
              </w:rPr>
              <w:t>19</w:t>
            </w:r>
          </w:p>
        </w:tc>
        <w:tc>
          <w:tcPr>
            <w:tcW w:type="dxa" w:w="8496"/>
            <w:shd w:fill="14293D"/>
            <w:tcMar>
              <w:top w:w="140" w:type="dxa"/>
              <w:bottom w:w="140" w:type="dxa"/>
              <w:left w:w="150" w:type="dxa"/>
              <w:right w:w="150" w:type="dxa"/>
            </w:tcMar>
          </w:tcPr>
          <w:p>
            <w:r>
              <w:rPr>
                <w:rFonts w:ascii="Georgia" w:hAnsi="Georgia"/>
                <w:b/>
                <w:color w:val="FFFFFF"/>
                <w:sz w:val="26"/>
              </w:rPr>
              <w:t>Conclusion &amp; Engineering Summary</w:t>
            </w:r>
          </w:p>
        </w:tc>
      </w:tr>
    </w:tbl>
    <w:p>
      <w:pPr>
        <w:spacing w:before="0" w:after="80"/>
      </w:pPr>
    </w:p>
    <w:p>
      <w:pPr>
        <w:spacing w:before="0" w:after="120" w:line="276" w:lineRule="auto"/>
      </w:pPr>
      <w:r>
        <w:rPr>
          <w:rFonts w:ascii="Calibri" w:hAnsi="Calibri"/>
          <w:color w:val="24303D"/>
          <w:sz w:val="22"/>
        </w:rPr>
        <w:t>This project successfully developed an enterprise-grade NLP classification, topic modeling, and NER extraction system. Achieving 99.06% accuracy on Logistic Regression and 98.59% on Linear SVM, backed by a 5-tab Streamlit dashboard and complete test coverage, the repository provides a production-ready template for intelligent document processing.</w:t>
      </w:r>
    </w:p>
    <w:tbl>
      <w:tblPr>
        <w:tblW w:type="auto" w:w="0"/>
        <w:jc w:val="center"/>
        <w:tblLayout w:type="fixed"/>
        <w:tblLook w:firstColumn="1" w:firstRow="1" w:lastColumn="0" w:lastRow="0" w:noHBand="0" w:noVBand="1" w:val="04A0"/>
      </w:tblPr>
      <w:tblGrid>
        <w:gridCol w:w="864"/>
        <w:gridCol w:w="8496"/>
      </w:tblGrid>
      <w:tr>
        <w:tc>
          <w:tcPr>
            <w:tcW w:type="dxa" w:w="864"/>
            <w:shd w:fill="14293D"/>
            <w:tcMar>
              <w:top w:w="140" w:type="dxa"/>
              <w:bottom w:w="140" w:type="dxa"/>
              <w:left w:w="100" w:type="dxa"/>
              <w:right w:w="100" w:type="dxa"/>
            </w:tcMar>
          </w:tcPr>
          <w:p>
            <w:pPr>
              <w:jc w:val="center"/>
            </w:pPr>
            <w:r>
              <w:rPr>
                <w:rFonts w:ascii="Calibri" w:hAnsi="Calibri"/>
                <w:b/>
                <w:color w:val="C9A227"/>
                <w:sz w:val="26"/>
              </w:rPr>
              <w:t>20</w:t>
            </w:r>
          </w:p>
        </w:tc>
        <w:tc>
          <w:tcPr>
            <w:tcW w:type="dxa" w:w="8496"/>
            <w:shd w:fill="14293D"/>
            <w:tcMar>
              <w:top w:w="140" w:type="dxa"/>
              <w:bottom w:w="140" w:type="dxa"/>
              <w:left w:w="150" w:type="dxa"/>
              <w:right w:w="150" w:type="dxa"/>
            </w:tcMar>
          </w:tcPr>
          <w:p>
            <w:r>
              <w:rPr>
                <w:rFonts w:ascii="Georgia" w:hAnsi="Georgia"/>
                <w:b/>
                <w:color w:val="FFFFFF"/>
                <w:sz w:val="26"/>
              </w:rPr>
              <w:t>Future Work &amp; Roadmap</w:t>
            </w:r>
          </w:p>
        </w:tc>
      </w:tr>
    </w:tbl>
    <w:p>
      <w:pPr>
        <w:spacing w:before="0" w:after="80"/>
      </w:pPr>
    </w:p>
    <w:p>
      <w:pPr>
        <w:pStyle w:val="ListParagraph"/>
        <w:spacing w:before="0" w:after="70" w:line="276" w:lineRule="auto"/>
      </w:pPr>
      <w:r>
        <w:rPr>
          <w:rFonts w:ascii="Calibri" w:hAnsi="Calibri"/>
          <w:b/>
          <w:color w:val="14293D"/>
          <w:sz w:val="21"/>
        </w:rPr>
        <w:t xml:space="preserve">1. Multilingual Support: </w:t>
      </w:r>
      <w:r>
        <w:rPr>
          <w:rFonts w:ascii="Calibri" w:hAnsi="Calibri"/>
          <w:color w:val="24303D"/>
          <w:sz w:val="21"/>
        </w:rPr>
        <w:t>Expand pipeline to support multilingual transformer backbones (mBERT / XLM-RoBERTa).</w:t>
      </w:r>
    </w:p>
    <w:p>
      <w:pPr>
        <w:pStyle w:val="ListParagraph"/>
        <w:spacing w:before="0" w:after="70" w:line="276" w:lineRule="auto"/>
      </w:pPr>
      <w:r>
        <w:rPr>
          <w:rFonts w:ascii="Calibri" w:hAnsi="Calibri"/>
          <w:b/>
          <w:color w:val="14293D"/>
          <w:sz w:val="21"/>
        </w:rPr>
        <w:t xml:space="preserve">2. Real-Time Streaming: </w:t>
      </w:r>
      <w:r>
        <w:rPr>
          <w:rFonts w:ascii="Calibri" w:hAnsi="Calibri"/>
          <w:color w:val="24303D"/>
          <w:sz w:val="21"/>
        </w:rPr>
        <w:t>Integrate Apache Kafka message queues for streaming article ingestion.</w:t>
      </w:r>
    </w:p>
    <w:p>
      <w:pPr>
        <w:pStyle w:val="ListParagraph"/>
        <w:spacing w:before="0" w:after="70" w:line="276" w:lineRule="auto"/>
      </w:pPr>
      <w:r>
        <w:rPr>
          <w:rFonts w:ascii="Calibri" w:hAnsi="Calibri"/>
          <w:b/>
          <w:color w:val="14293D"/>
          <w:sz w:val="21"/>
        </w:rPr>
        <w:t xml:space="preserve">3. Containerized Microservices: </w:t>
      </w:r>
      <w:r>
        <w:rPr>
          <w:rFonts w:ascii="Calibri" w:hAnsi="Calibri"/>
          <w:color w:val="24303D"/>
          <w:sz w:val="21"/>
        </w:rPr>
        <w:t>Package inference engine into Docker containers deployed on Kubernetes (EKS/GKE).</w:t>
      </w:r>
    </w:p>
    <w:tbl>
      <w:tblPr>
        <w:tblW w:type="auto" w:w="0"/>
        <w:jc w:val="center"/>
        <w:tblLayout w:type="fixed"/>
        <w:tblLook w:firstColumn="1" w:firstRow="1" w:lastColumn="0" w:lastRow="0" w:noHBand="0" w:noVBand="1" w:val="04A0"/>
      </w:tblPr>
      <w:tblGrid>
        <w:gridCol w:w="864"/>
        <w:gridCol w:w="8496"/>
      </w:tblGrid>
      <w:tr>
        <w:tc>
          <w:tcPr>
            <w:tcW w:type="dxa" w:w="864"/>
            <w:shd w:fill="14293D"/>
            <w:tcMar>
              <w:top w:w="140" w:type="dxa"/>
              <w:bottom w:w="140" w:type="dxa"/>
              <w:left w:w="100" w:type="dxa"/>
              <w:right w:w="100" w:type="dxa"/>
            </w:tcMar>
          </w:tcPr>
          <w:p>
            <w:pPr>
              <w:jc w:val="center"/>
            </w:pPr>
            <w:r>
              <w:rPr>
                <w:rFonts w:ascii="Calibri" w:hAnsi="Calibri"/>
                <w:b/>
                <w:color w:val="C9A227"/>
                <w:sz w:val="26"/>
              </w:rPr>
              <w:t>21</w:t>
            </w:r>
          </w:p>
        </w:tc>
        <w:tc>
          <w:tcPr>
            <w:tcW w:type="dxa" w:w="8496"/>
            <w:shd w:fill="14293D"/>
            <w:tcMar>
              <w:top w:w="140" w:type="dxa"/>
              <w:bottom w:w="140" w:type="dxa"/>
              <w:left w:w="150" w:type="dxa"/>
              <w:right w:w="150" w:type="dxa"/>
            </w:tcMar>
          </w:tcPr>
          <w:p>
            <w:r>
              <w:rPr>
                <w:rFonts w:ascii="Georgia" w:hAnsi="Georgia"/>
                <w:b/>
                <w:color w:val="FFFFFF"/>
                <w:sz w:val="26"/>
              </w:rPr>
              <w:t>Academic References</w:t>
            </w:r>
          </w:p>
        </w:tc>
      </w:tr>
    </w:tbl>
    <w:p>
      <w:pPr>
        <w:spacing w:before="0" w:after="80"/>
      </w:pPr>
    </w:p>
    <w:p>
      <w:pPr>
        <w:pStyle w:val="ListParagraph"/>
        <w:spacing w:before="0" w:after="70" w:line="276" w:lineRule="auto"/>
      </w:pPr>
      <w:r>
        <w:rPr>
          <w:rFonts w:ascii="Calibri" w:hAnsi="Calibri"/>
          <w:b/>
          <w:color w:val="14293D"/>
          <w:sz w:val="21"/>
        </w:rPr>
        <w:t xml:space="preserve">[1] Greene, D., &amp; Cunningham, P. (2006). </w:t>
      </w:r>
      <w:r>
        <w:rPr>
          <w:rFonts w:ascii="Calibri" w:hAnsi="Calibri"/>
          <w:color w:val="24303D"/>
          <w:sz w:val="21"/>
        </w:rPr>
        <w:t>Practical Solutions for the Titles and Abstracts Problem. Proceedings of ICML 2006.</w:t>
      </w:r>
    </w:p>
    <w:p>
      <w:pPr>
        <w:pStyle w:val="ListParagraph"/>
        <w:spacing w:before="0" w:after="70" w:line="276" w:lineRule="auto"/>
      </w:pPr>
      <w:r>
        <w:rPr>
          <w:rFonts w:ascii="Calibri" w:hAnsi="Calibri"/>
          <w:b/>
          <w:color w:val="14293D"/>
          <w:sz w:val="21"/>
        </w:rPr>
        <w:t xml:space="preserve">[2] Sanh, V., et al. (2019). </w:t>
      </w:r>
      <w:r>
        <w:rPr>
          <w:rFonts w:ascii="Calibri" w:hAnsi="Calibri"/>
          <w:color w:val="24303D"/>
          <w:sz w:val="21"/>
        </w:rPr>
        <w:t>DistilBERT, a distilled version of BERT: smaller, faster, cheaper and lighter. arXiv:1910.01108.</w:t>
      </w:r>
    </w:p>
    <w:p>
      <w:pPr>
        <w:pStyle w:val="ListParagraph"/>
        <w:spacing w:before="0" w:after="70" w:line="276" w:lineRule="auto"/>
      </w:pPr>
      <w:r>
        <w:rPr>
          <w:rFonts w:ascii="Calibri" w:hAnsi="Calibri"/>
          <w:b/>
          <w:color w:val="14293D"/>
          <w:sz w:val="21"/>
        </w:rPr>
        <w:t xml:space="preserve">[3] Blei, D. M., Ng, A. Y., &amp; Jordan, M. I. (2003). </w:t>
      </w:r>
      <w:r>
        <w:rPr>
          <w:rFonts w:ascii="Calibri" w:hAnsi="Calibri"/>
          <w:color w:val="24303D"/>
          <w:sz w:val="21"/>
        </w:rPr>
        <w:t>Latent Dirichlet Allocation. Journal of Machine Learning Research, 3, 993-1022.</w:t>
      </w:r>
    </w:p>
    <w:p>
      <w:pPr>
        <w:pStyle w:val="ListParagraph"/>
        <w:spacing w:before="0" w:after="70" w:line="276" w:lineRule="auto"/>
      </w:pPr>
      <w:r>
        <w:rPr>
          <w:rFonts w:ascii="Calibri" w:hAnsi="Calibri"/>
          <w:b/>
          <w:color w:val="14293D"/>
          <w:sz w:val="21"/>
        </w:rPr>
        <w:t xml:space="preserve">[4] Honnibal, M., &amp; Montani, I. (2017). </w:t>
      </w:r>
      <w:r>
        <w:rPr>
          <w:rFonts w:ascii="Calibri" w:hAnsi="Calibri"/>
          <w:color w:val="24303D"/>
          <w:sz w:val="21"/>
        </w:rPr>
        <w:t>spaCy 2: Natural language understanding with Bloom embeddings, convolutional neural networks and incremental parsing.</w:t>
      </w:r>
    </w:p>
    <w:p>
      <w:pPr>
        <w:pStyle w:val="ListParagraph"/>
        <w:spacing w:before="0" w:after="70" w:line="276" w:lineRule="auto"/>
      </w:pPr>
      <w:r>
        <w:rPr>
          <w:rFonts w:ascii="Calibri" w:hAnsi="Calibri"/>
          <w:b/>
          <w:color w:val="14293D"/>
          <w:sz w:val="21"/>
        </w:rPr>
        <w:t xml:space="preserve">[5] Pedregosa, F., et al. (2011). </w:t>
      </w:r>
      <w:r>
        <w:rPr>
          <w:rFonts w:ascii="Calibri" w:hAnsi="Calibri"/>
          <w:color w:val="24303D"/>
          <w:sz w:val="21"/>
        </w:rPr>
        <w:t>Scikit-learn: Machine Learning in Python. JMLR 12, pp. 2825-2830.</w:t>
      </w:r>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