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6160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5" name="Picture 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5" name="Picture 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DmlVM4vgEAAIID&#10;AAAOAAAAZHJzL2Uyb0RvYy54bWytU01v2zAMvQ/YfxB0X+ykTZcacXpokF2GrVi3H6DIlC1AX6CU&#10;2Pn3o5QsXbtLD/NBIkXyke9JXj9M1rAjYNTetXw+qzkDJ32nXd/yXz93n1acxSRcJ4x30PITRP6w&#10;+fhhPYYGFn7wpgNkBOJiM4aWDymFpqqiHMCKOPMBHAWVRysSudhXHYqR0K2pFnV9V40eu4BeQox0&#10;uj0H+QUR3wPoldIStl4eLLh0RkUwIhGlOOgQ+aZMqxTI9F2pCImZlhPTVFZqQvY+r9VmLZoeRRi0&#10;vIwg3jPCG05WaEdNr1BbkQQ7oP4HymqJPnqVZtLb6kykKEIs5vUbbZ4HEaBwIaljuIoe/x+s/HZ8&#10;QqY7eglLzpywdOM/SDXhegOMzkigMcSG8p7DE168SGZmOym0eScebCqinq6iwpSYpMPbu9X97WcC&#10;lxS7Wc3ruqhevVQHjOkLeMuy0XKk9kVLcfwaE3Wk1D8puVn0Rnc7bUxxsN8/GmRHQRe8K18emUpe&#10;pRnHxpbfLxfLgux8rqc80VidINOiCuNoy2TP9LKVpv1EwWzufXciqQ4BdT/QmPPSJ0foakr95Rnl&#10;u//bL6Avv87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DmlVM4vgEAAII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hd w:val="clear"/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hd w:val="clear"/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PEMBUATAN 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 xml:space="preserve">RELEASE ORDER </w:t>
      </w:r>
      <w:r>
        <w:rPr>
          <w:rFonts w:hint="default" w:ascii="Abyssinica SIL" w:hAnsi="Abyssinica SIL" w:cs="Abyssinica SIL"/>
          <w:b/>
          <w:i w:val="0"/>
          <w:iCs/>
          <w:color w:val="000000"/>
          <w:sz w:val="33"/>
          <w:szCs w:val="33"/>
        </w:rPr>
        <w:t xml:space="preserve">OLEH </w:t>
      </w:r>
      <w:r>
        <w:rPr>
          <w:rFonts w:hint="default" w:ascii="Abyssinica SIL" w:hAnsi="Abyssinica SIL" w:cs="Abyssinica SIL"/>
          <w:b/>
          <w:i/>
          <w:iCs w:val="0"/>
          <w:color w:val="000000"/>
          <w:sz w:val="33"/>
          <w:szCs w:val="33"/>
        </w:rPr>
        <w:t>CUSTOMER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 xml:space="preserve"> </w:t>
      </w:r>
      <w:r>
        <w:rPr>
          <w:rFonts w:hint="default" w:ascii="Abyssinica SIL" w:hAnsi="Abyssinica SIL" w:cs="Abyssinica SIL"/>
          <w:b/>
          <w:i w:val="0"/>
          <w:iCs/>
          <w:color w:val="000000"/>
          <w:sz w:val="33"/>
          <w:szCs w:val="33"/>
        </w:rPr>
        <w:t>MENGGUNAKAN APLIKASI mySPIL</w:t>
      </w:r>
    </w:p>
    <w:p>
      <w:pPr>
        <w:shd w:val="clear"/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40640</wp:posOffset>
                  </wp:positionV>
                  <wp:extent cx="494665" cy="1031240"/>
                  <wp:effectExtent l="0" t="0" r="635" b="16510"/>
                  <wp:wrapNone/>
                  <wp:docPr id="4" name="Picture 4" descr="Gr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4036" r="44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6" name="Picture 6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Grace S.</w:t>
            </w: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147955</wp:posOffset>
                  </wp:positionV>
                  <wp:extent cx="2872740" cy="1306830"/>
                  <wp:effectExtent l="0" t="0" r="0" b="0"/>
                  <wp:wrapNone/>
                  <wp:docPr id="2" name="Picture 2" descr="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s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110" t="25906" r="9402" b="25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41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46"/>
        <w:gridCol w:w="6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46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10 Mei 2022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60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instruksi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6660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yang digunakan untuk pengambilan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stuffing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terbagi menjadi dua jenis yaitu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dicetak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Backend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 Service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dan Walk In Centre Customer Service sesuai peruntukkannya dan kode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Number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dikirimkan melalui SMS atau email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B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lang w:eastAsia="zh-CN"/>
              </w:rPr>
              <w:t>ackend custo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>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memiliki masa aktif kurun waktu tertentu, apabila masa aktif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telah terlewati maka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tidak dapat melakukan pengambilan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empty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oleh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 b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lang w:eastAsia="zh-CN"/>
              </w:rPr>
              <w:t>ackend custo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 xml:space="preserve">mer service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dan Walk In Centre Customer Service sesuai peruntukkannya, kuota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menyesuaikan dengan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 Costumer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tujuan pemuatan.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 w:val="0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PEMBUATAN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 xml:space="preserve">RELEASE ORDER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OLEH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 w:val="0"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/>
                <w:color w:val="000000"/>
                <w:sz w:val="24"/>
                <w:szCs w:val="24"/>
                <w:lang w:eastAsia="zh-CN"/>
              </w:rPr>
              <w:t>MENGGUNAKAN APLIKASI MY SPIL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i w:val="0"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Buka aplikas mySPIL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(192.168.1.50/my spil com/)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>&gt; Pilih menu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 xml:space="preserve"> Login/ Register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 &gt; Masukkan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>username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 dan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>password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 w:val="0"/>
                <w:color w:val="000000"/>
                <w:sz w:val="24"/>
                <w:szCs w:val="24"/>
                <w:lang w:eastAsia="id-ID"/>
              </w:rPr>
              <w:t xml:space="preserve"> 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id-ID"/>
              </w:rPr>
              <w:t xml:space="preserve">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Arahkan ke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From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To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>Search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 &gt; Pilih Jadwal Kapal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Book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&gt; Isikan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Container Detail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sesuai kebutuhan &gt; 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Choose Available Contract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&gt; Pilih sesuai dengan yang diinput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>Select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 &gt; Pilih kontrak yang sesuai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Request 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Sebelum ke langkah selanjutnya lakukan pemeriksaan data kembali di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Booking Summary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&gt; Klik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Proses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 xml:space="preserve">   Backend customer service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>Backend customer service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ID Booking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dibuat, sesuai dengan permohonan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vessel voyage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kapal yang telah disepakati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sesuai dengan kuota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shd w:val="clear" w:color="auto" w:fill="auto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PEMBUATAN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 xml:space="preserve">RELEASE ORDER </w:t>
          </w:r>
          <w:r>
            <w:rPr>
              <w:rFonts w:hint="default" w:ascii="Abyssinica SIL" w:hAnsi="Abyssinica SIL" w:cs="Abyssinica SIL"/>
              <w:b/>
              <w:i w:val="0"/>
              <w:iCs/>
              <w:color w:val="000000"/>
              <w:sz w:val="24"/>
              <w:szCs w:val="24"/>
            </w:rPr>
            <w:t xml:space="preserve">OLEH </w:t>
          </w:r>
          <w:r>
            <w:rPr>
              <w:rFonts w:hint="default" w:ascii="Abyssinica SIL" w:hAnsi="Abyssinica SIL" w:cs="Abyssinica SIL"/>
              <w:b/>
              <w:i/>
              <w:iCs w:val="0"/>
              <w:color w:val="000000"/>
              <w:sz w:val="24"/>
              <w:szCs w:val="24"/>
            </w:rPr>
            <w:t xml:space="preserve">CUSTOMER </w:t>
          </w:r>
          <w:r>
            <w:rPr>
              <w:rFonts w:hint="default" w:ascii="Abyssinica SIL" w:hAnsi="Abyssinica SIL" w:cs="Abyssinica SIL"/>
              <w:b/>
              <w:i w:val="0"/>
              <w:iCs/>
              <w:color w:val="000000"/>
              <w:sz w:val="24"/>
              <w:szCs w:val="24"/>
            </w:rPr>
            <w:t>MENGGUNAKAN APLIKASI my SPIL</w:t>
          </w: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4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F9A79"/>
    <w:rsid w:val="0FBEF319"/>
    <w:rsid w:val="137B618A"/>
    <w:rsid w:val="1AB99060"/>
    <w:rsid w:val="1B1BEB23"/>
    <w:rsid w:val="26CF50EA"/>
    <w:rsid w:val="2BBFD472"/>
    <w:rsid w:val="2BCD2325"/>
    <w:rsid w:val="2EF9FFBF"/>
    <w:rsid w:val="2FDE98D1"/>
    <w:rsid w:val="2FE75730"/>
    <w:rsid w:val="3597FEEA"/>
    <w:rsid w:val="35FF9C79"/>
    <w:rsid w:val="36F5466A"/>
    <w:rsid w:val="36FFEE98"/>
    <w:rsid w:val="3DDF2728"/>
    <w:rsid w:val="3DFB8B19"/>
    <w:rsid w:val="3E6C3997"/>
    <w:rsid w:val="3F97422D"/>
    <w:rsid w:val="3FA97D14"/>
    <w:rsid w:val="3FD3039A"/>
    <w:rsid w:val="3FEEA09F"/>
    <w:rsid w:val="3FF7A7EA"/>
    <w:rsid w:val="4B7FED29"/>
    <w:rsid w:val="4DDA4B99"/>
    <w:rsid w:val="4EF78BAF"/>
    <w:rsid w:val="4F6FE677"/>
    <w:rsid w:val="4F77A899"/>
    <w:rsid w:val="4FF5E6B8"/>
    <w:rsid w:val="538A4D20"/>
    <w:rsid w:val="53E6128C"/>
    <w:rsid w:val="5507FF0D"/>
    <w:rsid w:val="55FE60E6"/>
    <w:rsid w:val="56B324B5"/>
    <w:rsid w:val="57FFA9C7"/>
    <w:rsid w:val="5995ECD6"/>
    <w:rsid w:val="59ED26CE"/>
    <w:rsid w:val="5BFDE59E"/>
    <w:rsid w:val="5E6FB53B"/>
    <w:rsid w:val="5F66CE2B"/>
    <w:rsid w:val="5FCF146C"/>
    <w:rsid w:val="66FFDEBC"/>
    <w:rsid w:val="6777CE2E"/>
    <w:rsid w:val="6976AA47"/>
    <w:rsid w:val="6A3A6066"/>
    <w:rsid w:val="6AAF9A79"/>
    <w:rsid w:val="6BFD6C75"/>
    <w:rsid w:val="6DD764B8"/>
    <w:rsid w:val="6E6F07E7"/>
    <w:rsid w:val="6E6F5D14"/>
    <w:rsid w:val="6EEF7262"/>
    <w:rsid w:val="6F35E62B"/>
    <w:rsid w:val="6F677D96"/>
    <w:rsid w:val="6FC9F86E"/>
    <w:rsid w:val="6FF7F790"/>
    <w:rsid w:val="6FFF2404"/>
    <w:rsid w:val="6FFFE9DF"/>
    <w:rsid w:val="71ED7E15"/>
    <w:rsid w:val="73279438"/>
    <w:rsid w:val="74FA8B24"/>
    <w:rsid w:val="772E1860"/>
    <w:rsid w:val="77BF0BE1"/>
    <w:rsid w:val="79FD0994"/>
    <w:rsid w:val="7A6AAA57"/>
    <w:rsid w:val="7A7F8451"/>
    <w:rsid w:val="7B3F4919"/>
    <w:rsid w:val="7B9F91D7"/>
    <w:rsid w:val="7D5DA62E"/>
    <w:rsid w:val="7D9D8ABF"/>
    <w:rsid w:val="7DCD720C"/>
    <w:rsid w:val="7DF7839D"/>
    <w:rsid w:val="7E464B54"/>
    <w:rsid w:val="7E5ADED0"/>
    <w:rsid w:val="7E67167C"/>
    <w:rsid w:val="7E71191A"/>
    <w:rsid w:val="7E76CC5F"/>
    <w:rsid w:val="7E9F0D62"/>
    <w:rsid w:val="7ED51C9A"/>
    <w:rsid w:val="7EEFB1D7"/>
    <w:rsid w:val="7EFA5CEC"/>
    <w:rsid w:val="7EFDC3F3"/>
    <w:rsid w:val="7FBBE36D"/>
    <w:rsid w:val="7FDA6576"/>
    <w:rsid w:val="7FEB26D5"/>
    <w:rsid w:val="7FEF51E2"/>
    <w:rsid w:val="7FF906E6"/>
    <w:rsid w:val="7FFE11D1"/>
    <w:rsid w:val="7FFEC7E4"/>
    <w:rsid w:val="7FFF5FA6"/>
    <w:rsid w:val="8BCFD067"/>
    <w:rsid w:val="8DF61D94"/>
    <w:rsid w:val="8FFF83FF"/>
    <w:rsid w:val="93BF8DA9"/>
    <w:rsid w:val="9D7BDE12"/>
    <w:rsid w:val="9EFFE458"/>
    <w:rsid w:val="9F154D5E"/>
    <w:rsid w:val="9F79151F"/>
    <w:rsid w:val="9FBF1B0E"/>
    <w:rsid w:val="9FFE9ABE"/>
    <w:rsid w:val="A6EC7922"/>
    <w:rsid w:val="A7DFDC22"/>
    <w:rsid w:val="A7F589E4"/>
    <w:rsid w:val="AEFA81C1"/>
    <w:rsid w:val="AFFBEF2D"/>
    <w:rsid w:val="B30D5DC9"/>
    <w:rsid w:val="B797FEF5"/>
    <w:rsid w:val="B7AD1D7A"/>
    <w:rsid w:val="B7DD1C03"/>
    <w:rsid w:val="B9DB3F36"/>
    <w:rsid w:val="BBB6F452"/>
    <w:rsid w:val="BDBF86EC"/>
    <w:rsid w:val="BFDBF70C"/>
    <w:rsid w:val="BFF586FB"/>
    <w:rsid w:val="C7FF5D64"/>
    <w:rsid w:val="CB3B48D8"/>
    <w:rsid w:val="D7325036"/>
    <w:rsid w:val="D7DF1426"/>
    <w:rsid w:val="DD7C4154"/>
    <w:rsid w:val="DDE633A4"/>
    <w:rsid w:val="DDFAE8F6"/>
    <w:rsid w:val="DEFE98C7"/>
    <w:rsid w:val="DF6B9662"/>
    <w:rsid w:val="DF891D4A"/>
    <w:rsid w:val="E5BEE395"/>
    <w:rsid w:val="E67FB5E9"/>
    <w:rsid w:val="E7DB924C"/>
    <w:rsid w:val="EBBE2017"/>
    <w:rsid w:val="ED673B5A"/>
    <w:rsid w:val="EE7B490D"/>
    <w:rsid w:val="EEEAC3DC"/>
    <w:rsid w:val="EFD05A81"/>
    <w:rsid w:val="F137D529"/>
    <w:rsid w:val="F69F8A4A"/>
    <w:rsid w:val="F6DCA9E2"/>
    <w:rsid w:val="F77DA663"/>
    <w:rsid w:val="F7FF7239"/>
    <w:rsid w:val="F90F7BC8"/>
    <w:rsid w:val="F9DF79B8"/>
    <w:rsid w:val="FBA62BAF"/>
    <w:rsid w:val="FBCD4F5C"/>
    <w:rsid w:val="FBDE02EB"/>
    <w:rsid w:val="FBEFCDF2"/>
    <w:rsid w:val="FBFF558B"/>
    <w:rsid w:val="FCDC571E"/>
    <w:rsid w:val="FD777C0F"/>
    <w:rsid w:val="FDBD6F9F"/>
    <w:rsid w:val="FDCF65F2"/>
    <w:rsid w:val="FDE779FD"/>
    <w:rsid w:val="FDFFC522"/>
    <w:rsid w:val="FEBEC926"/>
    <w:rsid w:val="FEC90F89"/>
    <w:rsid w:val="FEDAED0E"/>
    <w:rsid w:val="FEEBCB74"/>
    <w:rsid w:val="FEEFB3D7"/>
    <w:rsid w:val="FEF6DDBF"/>
    <w:rsid w:val="FF4FF398"/>
    <w:rsid w:val="FF6D342C"/>
    <w:rsid w:val="FF7F4F7F"/>
    <w:rsid w:val="FFAA99E3"/>
    <w:rsid w:val="FFBD640B"/>
    <w:rsid w:val="FFCB97C6"/>
    <w:rsid w:val="FFCBAF3B"/>
    <w:rsid w:val="FFEE8C87"/>
    <w:rsid w:val="FFF4C3EF"/>
    <w:rsid w:val="FFF62A3A"/>
    <w:rsid w:val="FFF8A3FD"/>
    <w:rsid w:val="FFFAA484"/>
    <w:rsid w:val="FFFF60CF"/>
    <w:rsid w:val="FFFFD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502</Words>
  <Characters>2948</Characters>
  <Lines>0</Lines>
  <Paragraphs>0</Paragraphs>
  <TotalTime>0</TotalTime>
  <ScaleCrop>false</ScaleCrop>
  <LinksUpToDate>false</LinksUpToDate>
  <CharactersWithSpaces>3402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2018-06-25T02:23:00Z</dcterms:created>
  <dc:creator>spil</dc:creator>
  <cp:lastModifiedBy>spil</cp:lastModifiedBy>
  <cp:lastPrinted>2018-07-17T02:45:00Z</cp:lastPrinted>
  <dcterms:modified xsi:type="dcterms:W3CDTF">2024-07-27T09:46:50Z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