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Rev0</w:t>
      </w:r>
      <w:r>
        <w:t xml:space="preserve"> </w:t>
      </w:r>
      <w:r>
        <w:t xml:space="preserve">Maxwell</w:t>
      </w:r>
      <w:r>
        <w:t xml:space="preserve"> </w:t>
      </w:r>
      <w:r>
        <w:t xml:space="preserve">Technical</w:t>
      </w:r>
      <w:r>
        <w:t xml:space="preserve"> </w:t>
      </w:r>
      <w:r>
        <w:t xml:space="preserve">Report</w:t>
      </w:r>
    </w:p>
    <w:p>
      <w:pPr>
        <w:pStyle w:val="Subtitle"/>
      </w:pPr>
      <w:r>
        <w:t xml:space="preserve">AK-07</w:t>
      </w:r>
      <w:r>
        <w:t xml:space="preserve"> </w:t>
      </w:r>
      <w:r>
        <w:t xml:space="preserve">PCB</w:t>
      </w:r>
      <w:r>
        <w:t xml:space="preserve"> </w:t>
      </w:r>
      <w:r>
        <w:t xml:space="preserve">coreless</w:t>
      </w:r>
      <w:r>
        <w:t xml:space="preserve"> </w:t>
      </w:r>
      <w:r>
        <w:t xml:space="preserve">axial-flux</w:t>
      </w:r>
      <w:r>
        <w:t xml:space="preserve"> </w:t>
      </w:r>
      <w:r>
        <w:t xml:space="preserve">motor</w:t>
      </w:r>
      <w:r>
        <w:t xml:space="preserve"> </w:t>
      </w:r>
      <w:r>
        <w:t xml:space="preserve">—</w:t>
      </w:r>
      <w:r>
        <w:t xml:space="preserve"> </w:t>
      </w:r>
      <w:r>
        <w:t xml:space="preserve">Olwethu</w:t>
      </w:r>
      <w:r>
        <w:t xml:space="preserve"> </w:t>
      </w:r>
      <w:r>
        <w:t xml:space="preserve">Khanzi</w:t>
      </w:r>
      <w:r>
        <w:t xml:space="preserve"> </w:t>
      </w:r>
      <w:r>
        <w:t xml:space="preserve">—</w:t>
      </w:r>
      <w:r>
        <w:t xml:space="preserve"> </w:t>
      </w:r>
      <w:r>
        <w:t xml:space="preserve">17</w:t>
      </w:r>
      <w:r>
        <w:t xml:space="preserve"> </w:t>
      </w:r>
      <w:r>
        <w:t xml:space="preserve">October</w:t>
      </w:r>
      <w:r>
        <w:t xml:space="preserve"> </w:t>
      </w:r>
      <w:r>
        <w:t xml:space="preserve">2026,</w:t>
      </w:r>
      <w:r>
        <w:t xml:space="preserve"> </w:t>
      </w:r>
      <w:r>
        <w:t xml:space="preserve">revised</w:t>
      </w:r>
      <w:r>
        <w:t xml:space="preserve"> </w:t>
      </w:r>
      <w:r>
        <w:t xml:space="preserve">19</w:t>
      </w:r>
      <w:r>
        <w:t xml:space="preserve"> </w:t>
      </w:r>
      <w:r>
        <w:t xml:space="preserve">October</w:t>
      </w:r>
      <w:r>
        <w:t xml:space="preserve"> </w:t>
      </w:r>
      <w:r>
        <w:t xml:space="preserve">2026</w:t>
      </w:r>
      <w:r>
        <w:t xml:space="preserve"> </w:t>
      </w:r>
      <w:r>
        <w:t xml:space="preserve">(measured</w:t>
      </w:r>
      <w:r>
        <w:t xml:space="preserve"> </w:t>
      </w:r>
      <w:r>
        <w:t xml:space="preserve">resistance</w:t>
      </w:r>
      <w:r>
        <w:t xml:space="preserve"> </w:t>
      </w:r>
      <w:r>
        <w:t xml:space="preserve">of</w:t>
      </w:r>
      <w:r>
        <w:t xml:space="preserve"> </w:t>
      </w:r>
      <w:r>
        <w:t xml:space="preserve">both</w:t>
      </w:r>
      <w:r>
        <w:t xml:space="preserve"> </w:t>
      </w:r>
      <w:r>
        <w:t xml:space="preserve">stators,</w:t>
      </w:r>
      <w:r>
        <w:t xml:space="preserve"> </w:t>
      </w:r>
      <w:r>
        <w:t xml:space="preserve">inductance,</w:t>
      </w:r>
      <w:r>
        <w:t xml:space="preserve"> </w:t>
      </w:r>
      <w:r>
        <w:t xml:space="preserve">measured</w:t>
      </w:r>
      <w:r>
        <w:t xml:space="preserve"> </w:t>
      </w:r>
      <w:r>
        <w:t xml:space="preserve">stack)</w:t>
      </w:r>
    </w:p>
    <w:p>
      <w:pPr>
        <w:pStyle w:val="FirstParagraph"/>
      </w:pPr>
      <w:r>
        <w:t xml:space="preserve">Rev0 (one 5-board PCB stator, one 16-magnet rotor) produces</w:t>
      </w:r>
      <w:r>
        <w:t xml:space="preserve"> </w:t>
      </w:r>
      <w:r>
        <w:rPr>
          <w:bCs/>
          <w:b/>
        </w:rPr>
        <w:t xml:space="preserve">27.8 mN·m per amp of peak phase current</w:t>
      </w:r>
      <w:r>
        <w:t xml:space="preserve"> </w:t>
      </w:r>
      <w:r>
        <w:t xml:space="preserve">(39.3 mN·m per amp rms), with</w:t>
      </w:r>
      <w:r>
        <w:t xml:space="preserve"> </w:t>
      </w:r>
      <w:r>
        <w:rPr>
          <w:bCs/>
          <w:b/>
        </w:rPr>
        <w:t xml:space="preserve">2.38 V rms line-to-line back-EMF at 1000 rpm</w:t>
      </w:r>
      <w:r>
        <w:t xml:space="preserve">, in the modelled geometry. The full-motor solve and the board-by-board sum agree within 0.03 %; the field map reads 5 % high. The model’s backplate, stack spacing and air gap still differ from, or are unconfirmed against, the hardware, so these are predictions for the test bench, not a rating.</w:t>
      </w:r>
    </w:p>
    <w:bookmarkStart w:id="20" w:name="machine-and-simulation-chain"/>
    <w:p>
      <w:pPr>
        <w:pStyle w:val="Heading1"/>
      </w:pPr>
      <w:r>
        <w:t xml:space="preserve">Machine and simulation chain</w:t>
      </w:r>
    </w:p>
    <w:p>
      <w:pPr>
        <w:pStyle w:val="FirstParagraph"/>
      </w:pPr>
      <w:r>
        <w:t xml:space="preserve">Rev0 is a single-sided coreless axial-flux machine: five 6-layer PCBs stacked as one stator, facing one rotor of 16 magnets on a steel backplate.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cantSplit/>
        </w:trPr>
        <w:tc>
          <w:tcPr>
            <w:shd w:fill="DCE6F2" w:val="clear"/>
          </w:tcPr>
          <w:p>
            <w:pPr>
              <w:pStyle w:val="Compact"/>
              <w:keepNext/>
              <w:spacing w:after="20" w:before="20"/>
              <w:jc w:val="left"/>
            </w:pPr>
            <w:r>
              <w:rPr>
                <w:b/>
                <w:sz w:val="17"/>
              </w:rPr>
              <w:t xml:space="preserve">Item</w:t>
            </w:r>
          </w:p>
        </w:tc>
        <w:tc>
          <w:tcPr>
            <w:shd w:fill="DCE6F2" w:val="clear"/>
          </w:tcPr>
          <w:p>
            <w:pPr>
              <w:pStyle w:val="Compact"/>
              <w:keepNext/>
              <w:spacing w:after="20" w:before="20"/>
              <w:jc w:val="left"/>
            </w:pPr>
            <w:r>
              <w:rPr>
                <w:b/>
                <w:sz w:val="17"/>
              </w:rPr>
              <w:t xml:space="preserve">Value used in the models</w:t>
            </w:r>
          </w:p>
        </w:tc>
      </w:tr>
      <w:tr>
        <w:trPr>
          <w:cantSplit/>
        </w:trPr>
        <w:tc>
          <w:tcPr/>
          <w:p>
            <w:pPr>
              <w:pStyle w:val="Compact"/>
              <w:keepNext/>
              <w:spacing w:after="20" w:before="20"/>
              <w:jc w:val="left"/>
            </w:pPr>
            <w:r>
              <w:rPr>
                <w:sz w:val="17"/>
              </w:rPr>
              <w:t xml:space="preserve">Stator</w:t>
            </w:r>
          </w:p>
        </w:tc>
        <w:tc>
          <w:tcPr/>
          <w:p>
            <w:pPr>
              <w:pStyle w:val="Compact"/>
              <w:keepNext/>
              <w:spacing w:after="20" w:before="20"/>
              <w:jc w:val="left"/>
            </w:pPr>
            <w:r>
              <w:rPr>
                <w:sz w:val="17"/>
              </w:rPr>
              <w:t xml:space="preserve">5 boards, 6 layers each, 1 oz copper, 1.0 mm FR-4, board pitch 1.02 mm; 3 phases, 8 coils per phase per board</w:t>
            </w:r>
          </w:p>
        </w:tc>
      </w:tr>
      <w:tr>
        <w:trPr>
          <w:cantSplit/>
        </w:trPr>
        <w:tc>
          <w:tcPr/>
          <w:p>
            <w:pPr>
              <w:pStyle w:val="Compact"/>
              <w:keepNext/>
              <w:spacing w:after="20" w:before="20"/>
              <w:jc w:val="left"/>
            </w:pPr>
            <w:r>
              <w:rPr>
                <w:sz w:val="17"/>
              </w:rPr>
              <w:t xml:space="preserve">Rotor</w:t>
            </w:r>
          </w:p>
        </w:tc>
        <w:tc>
          <w:tcPr/>
          <w:p>
            <w:pPr>
              <w:pStyle w:val="Compact"/>
              <w:keepNext/>
              <w:spacing w:after="20" w:before="20"/>
              <w:jc w:val="left"/>
            </w:pPr>
            <w:r>
              <w:rPr>
                <w:sz w:val="17"/>
              </w:rPr>
              <w:t xml:space="preserve">16 × N35, 20 × 6 × 2 mm, centred at 28 mm radius, alternating polarity (8 pole pairs)</w:t>
            </w:r>
          </w:p>
        </w:tc>
      </w:tr>
      <w:tr>
        <w:trPr>
          <w:cantSplit/>
        </w:trPr>
        <w:tc>
          <w:tcPr/>
          <w:p>
            <w:pPr>
              <w:pStyle w:val="Compact"/>
              <w:keepNext/>
              <w:spacing w:after="20" w:before="20"/>
              <w:jc w:val="left"/>
            </w:pPr>
            <w:r>
              <w:rPr>
                <w:sz w:val="17"/>
              </w:rPr>
              <w:t xml:space="preserve">Backplate</w:t>
            </w:r>
          </w:p>
        </w:tc>
        <w:tc>
          <w:tcPr/>
          <w:p>
            <w:pPr>
              <w:pStyle w:val="Compact"/>
              <w:keepNext/>
              <w:spacing w:after="20" w:before="20"/>
              <w:jc w:val="left"/>
            </w:pPr>
            <w:r>
              <w:rPr>
                <w:sz w:val="17"/>
              </w:rPr>
              <w:t xml:space="preserve">2 mm steel 1010, OD 86 / ID 19 mm (hardware is 80 / 25 mm: correction pending)</w:t>
            </w:r>
          </w:p>
        </w:tc>
      </w:tr>
      <w:tr>
        <w:trPr>
          <w:cantSplit/>
        </w:trPr>
        <w:tc>
          <w:tcPr/>
          <w:p>
            <w:pPr>
              <w:pStyle w:val="Compact"/>
              <w:keepNext/>
              <w:spacing w:after="20" w:before="20"/>
              <w:jc w:val="left"/>
            </w:pPr>
            <w:r>
              <w:rPr>
                <w:sz w:val="17"/>
              </w:rPr>
              <w:t xml:space="preserve">Air gap</w:t>
            </w:r>
          </w:p>
        </w:tc>
        <w:tc>
          <w:tcPr/>
          <w:p>
            <w:pPr>
              <w:pStyle w:val="Compact"/>
              <w:keepNext/>
              <w:spacing w:after="20" w:before="20"/>
              <w:jc w:val="left"/>
            </w:pPr>
            <w:r>
              <w:rPr>
                <w:sz w:val="17"/>
              </w:rPr>
              <w:t xml:space="preserve">1.0 mm, magnet face to board-1 surface</w:t>
            </w:r>
          </w:p>
        </w:tc>
      </w:tr>
      <w:tr>
        <w:trPr>
          <w:cantSplit/>
        </w:trPr>
        <w:tc>
          <w:tcPr/>
          <w:p>
            <w:pPr>
              <w:pStyle w:val="Compact"/>
              <w:keepNext/>
              <w:spacing w:after="20" w:before="20"/>
              <w:jc w:val="left"/>
            </w:pPr>
            <w:r>
              <w:rPr>
                <w:sz w:val="17"/>
              </w:rPr>
              <w:t xml:space="preserve">Shaft</w:t>
            </w:r>
          </w:p>
        </w:tc>
        <w:tc>
          <w:tcPr/>
          <w:p>
            <w:pPr>
              <w:pStyle w:val="Compact"/>
              <w:keepNext/>
              <w:spacing w:after="20" w:before="20"/>
              <w:jc w:val="left"/>
            </w:pPr>
            <w:r>
              <w:rPr>
                <w:sz w:val="17"/>
              </w:rPr>
              <w:t xml:space="preserve">19 mm steel</w:t>
            </w:r>
          </w:p>
        </w:tc>
      </w:tr>
      <w:tr>
        <w:trPr>
          <w:cantSplit/>
        </w:trPr>
        <w:tc>
          <w:tcPr/>
          <w:p>
            <w:pPr>
              <w:pStyle w:val="Compact"/>
              <w:spacing w:after="20" w:before="20"/>
              <w:jc w:val="left"/>
            </w:pPr>
            <w:r>
              <w:rPr>
                <w:sz w:val="17"/>
              </w:rPr>
              <w:t xml:space="preserve">Reference speed</w:t>
            </w:r>
          </w:p>
        </w:tc>
        <w:tc>
          <w:tcPr/>
          <w:p>
            <w:pPr>
              <w:pStyle w:val="Compact"/>
              <w:spacing w:after="20" w:before="20"/>
              <w:jc w:val="left"/>
            </w:pPr>
            <w:r>
              <w:rPr>
                <w:sz w:val="17"/>
              </w:rPr>
              <w:t xml:space="preserve">1000 rpm = 133.3 Hz electrical</w:t>
            </w:r>
          </w:p>
        </w:tc>
      </w:tr>
    </w:tbl>
    <w:p>
      <w:pPr>
        <w:pStyle w:val="BodyText"/>
        <w:spacing w:before="140"/>
      </w:pPr>
      <w:r>
        <w:t xml:space="preserve">The results come from five Ansys Maxwell 2025 R2 models, each checking the next:</w:t>
      </w:r>
    </w:p>
    <w:p>
      <w:pPr>
        <w:numPr>
          <w:ilvl w:val="0"/>
          <w:numId w:val="1001"/>
        </w:numPr>
        <w:pStyle w:val="Compact"/>
      </w:pPr>
      <w:r>
        <w:rPr>
          <w:bCs/>
          <w:b/>
        </w:rPr>
        <w:t xml:space="preserve">Board-by-board detailed FEM:</w:t>
      </w:r>
      <w:r>
        <w:t xml:space="preserve"> </w:t>
      </w:r>
      <w:r>
        <w:t xml:space="preserve">each board solved alone with its real traces and vias, then summed (lab PCs).</w:t>
      </w:r>
    </w:p>
    <w:p>
      <w:pPr>
        <w:numPr>
          <w:ilvl w:val="0"/>
          <w:numId w:val="1001"/>
        </w:numPr>
        <w:pStyle w:val="Compact"/>
      </w:pPr>
      <w:r>
        <w:rPr>
          <w:bCs/>
          <w:b/>
        </w:rPr>
        <w:t xml:space="preserve">Field map:</w:t>
      </w:r>
      <w:r>
        <w:t xml:space="preserve"> </w:t>
      </w:r>
      <w:r>
        <w:t xml:space="preserve">magnets and steel only, with B sampled on the trace centre-lines and Lorentz force integrated (lab PCs).</w:t>
      </w:r>
    </w:p>
    <w:p>
      <w:pPr>
        <w:numPr>
          <w:ilvl w:val="0"/>
          <w:numId w:val="1001"/>
        </w:numPr>
        <w:pStyle w:val="Compact"/>
      </w:pPr>
      <w:r>
        <w:rPr>
          <w:bCs/>
          <w:b/>
        </w:rPr>
        <w:t xml:space="preserve">Full-motor detailed static:</w:t>
      </w:r>
      <w:r>
        <w:t xml:space="preserve"> </w:t>
      </w:r>
      <w:r>
        <w:t xml:space="preserve">all five boards meshed together, all three phases at 1 A synchronous, two rotor angles, 6 adaptive passes, 110 GB per angle (UCT HPC, 40 cores).</w:t>
      </w:r>
    </w:p>
    <w:p>
      <w:pPr>
        <w:numPr>
          <w:ilvl w:val="0"/>
          <w:numId w:val="1001"/>
        </w:numPr>
        <w:pStyle w:val="Compact"/>
      </w:pPr>
      <w:r>
        <w:rPr>
          <w:bCs/>
          <w:b/>
        </w:rPr>
        <w:t xml:space="preserve">Rotating field-only transient (FMROT):</w:t>
      </w:r>
      <w:r>
        <w:t xml:space="preserve"> </w:t>
      </w:r>
      <w:r>
        <w:t xml:space="preserve">the rotor turns at 1000 rpm through one electrical period in 24 steps, with B exported on the traces at every step (UCT HPC).</w:t>
      </w:r>
    </w:p>
    <w:p>
      <w:pPr>
        <w:numPr>
          <w:ilvl w:val="0"/>
          <w:numId w:val="1001"/>
        </w:numPr>
        <w:pStyle w:val="Compact"/>
      </w:pPr>
      <w:r>
        <w:rPr>
          <w:bCs/>
          <w:b/>
        </w:rPr>
        <w:t xml:space="preserve">Equivalent-coil model (EQ):</w:t>
      </w:r>
      <w:r>
        <w:t xml:space="preserve"> </w:t>
      </w:r>
      <w:r>
        <w:t xml:space="preserve">each phase per board is replaced by 8 stranded sector coils calibrated to model 3; 8 rotor angles (UCT HPC).</w:t>
      </w:r>
    </w:p>
    <w:p>
      <w:pPr>
        <w:pStyle w:val="FirstParagraph"/>
      </w:pPr>
      <w:r>
        <w:t xml:space="preserve">The torque constant K is defined by T = 1.5 · K · I_pk. The phase back-EMF peak equals K · ω_mech.</w:t>
      </w:r>
    </w:p>
    <w:bookmarkEnd w:id="20"/>
    <w:bookmarkStart w:id="21" w:name="torque-constant"/>
    <w:p>
      <w:pPr>
        <w:pStyle w:val="Heading1"/>
      </w:pPr>
      <w:r>
        <w:t xml:space="preserve">Torque constant</w:t>
      </w:r>
    </w:p>
    <w:p>
      <w:pPr>
        <w:pStyle w:val="FirstParagraph"/>
      </w:pPr>
      <w:r>
        <w:t xml:space="preserve">The full-motor solve gives K = 18.534 mN·m/A from the copper (Lorentz) torque. This matches the sum of the single-board solves to 0.03 %. The field map reads 4.9 % high.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fill="DCE6F2" w:val="clear"/>
          </w:tcPr>
          <w:p>
            <w:pPr>
              <w:pStyle w:val="Compact"/>
              <w:keepNext/>
              <w:spacing w:after="20" w:before="20"/>
              <w:jc w:val="left"/>
            </w:pPr>
            <w:r>
              <w:rPr>
                <w:b/>
                <w:sz w:val="17"/>
              </w:rPr>
              <w:t xml:space="preserve">Method</w:t>
            </w:r>
          </w:p>
        </w:tc>
        <w:tc>
          <w:tcPr>
            <w:shd w:fill="DCE6F2" w:val="clear"/>
          </w:tcPr>
          <w:p>
            <w:pPr>
              <w:pStyle w:val="Compact"/>
              <w:keepNext/>
              <w:spacing w:after="20" w:before="20"/>
              <w:jc w:val="left"/>
            </w:pPr>
            <w:r>
              <w:rPr>
                <w:b/>
                <w:sz w:val="17"/>
              </w:rPr>
              <w:t xml:space="preserve">K (mN·m/A)</w:t>
            </w:r>
          </w:p>
        </w:tc>
        <w:tc>
          <w:tcPr>
            <w:shd w:fill="DCE6F2" w:val="clear"/>
          </w:tcPr>
          <w:p>
            <w:pPr>
              <w:pStyle w:val="Compact"/>
              <w:keepNext/>
              <w:spacing w:after="20" w:before="20"/>
              <w:jc w:val="left"/>
            </w:pPr>
            <w:r>
              <w:rPr>
                <w:b/>
                <w:sz w:val="17"/>
              </w:rPr>
              <w:t xml:space="preserve">vs full motor</w:t>
            </w:r>
          </w:p>
        </w:tc>
      </w:tr>
      <w:tr>
        <w:trPr>
          <w:cantSplit/>
        </w:trPr>
        <w:tc>
          <w:tcPr/>
          <w:p>
            <w:pPr>
              <w:pStyle w:val="Compact"/>
              <w:keepNext/>
              <w:spacing w:after="20" w:before="20"/>
              <w:jc w:val="left"/>
            </w:pPr>
            <w:r>
              <w:rPr>
                <w:sz w:val="17"/>
              </w:rPr>
              <w:t xml:space="preserve">Full-motor static, copper torque (2-angle mean)</w:t>
            </w:r>
          </w:p>
        </w:tc>
        <w:tc>
          <w:tcPr/>
          <w:p>
            <w:pPr>
              <w:pStyle w:val="Compact"/>
              <w:keepNext/>
              <w:spacing w:after="20" w:before="20"/>
              <w:jc w:val="left"/>
            </w:pPr>
            <w:r>
              <w:rPr>
                <w:sz w:val="17"/>
              </w:rPr>
              <w:t xml:space="preserve">18.534</w:t>
            </w:r>
          </w:p>
        </w:tc>
        <w:tc>
          <w:tcPr/>
          <w:p>
            <w:pPr>
              <w:pStyle w:val="Compact"/>
              <w:keepNext/>
              <w:spacing w:after="20" w:before="20"/>
              <w:jc w:val="left"/>
            </w:pPr>
            <w:r>
              <w:rPr>
                <w:sz w:val="17"/>
              </w:rPr>
              <w:t xml:space="preserve">reference</w:t>
            </w:r>
          </w:p>
        </w:tc>
      </w:tr>
      <w:tr>
        <w:trPr>
          <w:cantSplit/>
        </w:trPr>
        <w:tc>
          <w:tcPr/>
          <w:p>
            <w:pPr>
              <w:pStyle w:val="Compact"/>
              <w:keepNext/>
              <w:spacing w:after="20" w:before="20"/>
              <w:jc w:val="left"/>
            </w:pPr>
            <w:r>
              <w:rPr>
                <w:sz w:val="17"/>
              </w:rPr>
              <w:t xml:space="preserve">Full-motor static, rotor virtual work</w:t>
            </w:r>
          </w:p>
        </w:tc>
        <w:tc>
          <w:tcPr/>
          <w:p>
            <w:pPr>
              <w:pStyle w:val="Compact"/>
              <w:keepNext/>
              <w:spacing w:after="20" w:before="20"/>
              <w:jc w:val="left"/>
            </w:pPr>
            <w:r>
              <w:rPr>
                <w:sz w:val="17"/>
              </w:rPr>
              <w:t xml:space="preserve">18.470</w:t>
            </w:r>
          </w:p>
        </w:tc>
        <w:tc>
          <w:tcPr/>
          <w:p>
            <w:pPr>
              <w:pStyle w:val="Compact"/>
              <w:keepNext/>
              <w:spacing w:after="20" w:before="20"/>
              <w:jc w:val="left"/>
            </w:pPr>
            <w:r>
              <w:rPr>
                <w:sz w:val="17"/>
              </w:rPr>
              <w:t xml:space="preserve">−0.3 %</w:t>
            </w:r>
          </w:p>
        </w:tc>
      </w:tr>
      <w:tr>
        <w:trPr>
          <w:cantSplit/>
        </w:trPr>
        <w:tc>
          <w:tcPr/>
          <w:p>
            <w:pPr>
              <w:pStyle w:val="Compact"/>
              <w:keepNext/>
              <w:spacing w:after="20" w:before="20"/>
              <w:jc w:val="left"/>
            </w:pPr>
            <w:r>
              <w:rPr>
                <w:sz w:val="17"/>
              </w:rPr>
              <w:t xml:space="preserve">Board-by-board detailed sum</w:t>
            </w:r>
          </w:p>
        </w:tc>
        <w:tc>
          <w:tcPr/>
          <w:p>
            <w:pPr>
              <w:pStyle w:val="Compact"/>
              <w:keepNext/>
              <w:spacing w:after="20" w:before="20"/>
              <w:jc w:val="left"/>
            </w:pPr>
            <w:r>
              <w:rPr>
                <w:sz w:val="17"/>
              </w:rPr>
              <w:t xml:space="preserve">18.540</w:t>
            </w:r>
          </w:p>
        </w:tc>
        <w:tc>
          <w:tcPr/>
          <w:p>
            <w:pPr>
              <w:pStyle w:val="Compact"/>
              <w:keepNext/>
              <w:spacing w:after="20" w:before="20"/>
              <w:jc w:val="left"/>
            </w:pPr>
            <w:r>
              <w:rPr>
                <w:sz w:val="17"/>
              </w:rPr>
              <w:t xml:space="preserve">+0.03 %</w:t>
            </w:r>
          </w:p>
        </w:tc>
      </w:tr>
      <w:tr>
        <w:trPr>
          <w:cantSplit/>
        </w:trPr>
        <w:tc>
          <w:tcPr/>
          <w:p>
            <w:pPr>
              <w:pStyle w:val="Compact"/>
              <w:keepNext/>
              <w:spacing w:after="20" w:before="20"/>
              <w:jc w:val="left"/>
            </w:pPr>
            <w:r>
              <w:rPr>
                <w:sz w:val="17"/>
              </w:rPr>
              <w:t xml:space="preserve">Field map (centre-line Lorentz)</w:t>
            </w:r>
          </w:p>
        </w:tc>
        <w:tc>
          <w:tcPr/>
          <w:p>
            <w:pPr>
              <w:pStyle w:val="Compact"/>
              <w:keepNext/>
              <w:spacing w:after="20" w:before="20"/>
              <w:jc w:val="left"/>
            </w:pPr>
            <w:r>
              <w:rPr>
                <w:sz w:val="17"/>
              </w:rPr>
              <w:t xml:space="preserve">19.496</w:t>
            </w:r>
          </w:p>
        </w:tc>
        <w:tc>
          <w:tcPr/>
          <w:p>
            <w:pPr>
              <w:pStyle w:val="Compact"/>
              <w:keepNext/>
              <w:spacing w:after="20" w:before="20"/>
              <w:jc w:val="left"/>
            </w:pPr>
            <w:r>
              <w:rPr>
                <w:sz w:val="17"/>
              </w:rPr>
              <w:t xml:space="preserve">+5.2 %</w:t>
            </w:r>
          </w:p>
        </w:tc>
      </w:tr>
      <w:tr>
        <w:trPr>
          <w:cantSplit/>
        </w:trPr>
        <w:tc>
          <w:tcPr/>
          <w:p>
            <w:pPr>
              <w:pStyle w:val="Compact"/>
              <w:spacing w:after="20" w:before="20"/>
              <w:jc w:val="left"/>
            </w:pPr>
            <w:r>
              <w:rPr>
                <w:sz w:val="17"/>
              </w:rPr>
              <w:t xml:space="preserve">Rotating field-only transient</w:t>
            </w:r>
          </w:p>
        </w:tc>
        <w:tc>
          <w:tcPr/>
          <w:p>
            <w:pPr>
              <w:pStyle w:val="Compact"/>
              <w:spacing w:after="20" w:before="20"/>
              <w:jc w:val="left"/>
            </w:pPr>
            <w:r>
              <w:rPr>
                <w:sz w:val="17"/>
              </w:rPr>
              <w:t xml:space="preserve">19.475</w:t>
            </w:r>
          </w:p>
        </w:tc>
        <w:tc>
          <w:tcPr/>
          <w:p>
            <w:pPr>
              <w:pStyle w:val="Compact"/>
              <w:spacing w:after="20" w:before="20"/>
              <w:jc w:val="left"/>
            </w:pPr>
            <w:r>
              <w:rPr>
                <w:sz w:val="17"/>
              </w:rPr>
              <w:t xml:space="preserve">+5.1 % (same basis as the field map)</w:t>
            </w:r>
          </w:p>
        </w:tc>
      </w:tr>
    </w:tbl>
    <w:p>
      <w:pPr>
        <w:spacing w:before="140"/>
      </w:pP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cantSplit/>
        </w:trPr>
        <w:tc>
          <w:tcPr>
            <w:shd w:fill="DCE6F2" w:val="clear"/>
          </w:tcPr>
          <w:p>
            <w:pPr>
              <w:pStyle w:val="Compact"/>
              <w:keepNext/>
              <w:spacing w:after="20" w:before="20"/>
              <w:jc w:val="left"/>
            </w:pPr>
            <w:r>
              <w:rPr>
                <w:b/>
                <w:sz w:val="17"/>
              </w:rPr>
              <w:t xml:space="preserve">Board (1 = next to the magnets)</w:t>
            </w:r>
          </w:p>
        </w:tc>
        <w:tc>
          <w:tcPr>
            <w:shd w:fill="DCE6F2" w:val="clear"/>
          </w:tcPr>
          <w:p>
            <w:pPr>
              <w:pStyle w:val="Compact"/>
              <w:keepNext/>
              <w:spacing w:after="20" w:before="20"/>
              <w:jc w:val="left"/>
            </w:pPr>
            <w:r>
              <w:rPr>
                <w:b/>
                <w:sz w:val="17"/>
              </w:rPr>
              <w:t xml:space="preserve">1</w:t>
            </w:r>
          </w:p>
        </w:tc>
        <w:tc>
          <w:tcPr>
            <w:shd w:fill="DCE6F2" w:val="clear"/>
          </w:tcPr>
          <w:p>
            <w:pPr>
              <w:pStyle w:val="Compact"/>
              <w:keepNext/>
              <w:spacing w:after="20" w:before="20"/>
              <w:jc w:val="left"/>
            </w:pPr>
            <w:r>
              <w:rPr>
                <w:b/>
                <w:sz w:val="17"/>
              </w:rPr>
              <w:t xml:space="preserve">2</w:t>
            </w:r>
          </w:p>
        </w:tc>
        <w:tc>
          <w:tcPr>
            <w:shd w:fill="DCE6F2" w:val="clear"/>
          </w:tcPr>
          <w:p>
            <w:pPr>
              <w:pStyle w:val="Compact"/>
              <w:keepNext/>
              <w:spacing w:after="20" w:before="20"/>
              <w:jc w:val="left"/>
            </w:pPr>
            <w:r>
              <w:rPr>
                <w:b/>
                <w:sz w:val="17"/>
              </w:rPr>
              <w:t xml:space="preserve">3</w:t>
            </w:r>
          </w:p>
        </w:tc>
        <w:tc>
          <w:tcPr>
            <w:shd w:fill="DCE6F2" w:val="clear"/>
          </w:tcPr>
          <w:p>
            <w:pPr>
              <w:pStyle w:val="Compact"/>
              <w:keepNext/>
              <w:spacing w:after="20" w:before="20"/>
              <w:jc w:val="left"/>
            </w:pPr>
            <w:r>
              <w:rPr>
                <w:b/>
                <w:sz w:val="17"/>
              </w:rPr>
              <w:t xml:space="preserve">4</w:t>
            </w:r>
          </w:p>
        </w:tc>
        <w:tc>
          <w:tcPr>
            <w:shd w:fill="DCE6F2" w:val="clear"/>
          </w:tcPr>
          <w:p>
            <w:pPr>
              <w:pStyle w:val="Compact"/>
              <w:keepNext/>
              <w:spacing w:after="20" w:before="20"/>
              <w:jc w:val="left"/>
            </w:pPr>
            <w:r>
              <w:rPr>
                <w:b/>
                <w:sz w:val="17"/>
              </w:rPr>
              <w:t xml:space="preserve">5</w:t>
            </w:r>
          </w:p>
        </w:tc>
      </w:tr>
      <w:tr>
        <w:trPr>
          <w:cantSplit/>
        </w:trPr>
        <w:tc>
          <w:tcPr/>
          <w:p>
            <w:pPr>
              <w:pStyle w:val="Compact"/>
              <w:keepNext/>
              <w:spacing w:after="20" w:before="20"/>
              <w:jc w:val="left"/>
            </w:pPr>
            <w:r>
              <w:rPr>
                <w:sz w:val="17"/>
              </w:rPr>
              <w:t xml:space="preserve">Full motor, K (mN·m/A)</w:t>
            </w:r>
          </w:p>
        </w:tc>
        <w:tc>
          <w:tcPr/>
          <w:p>
            <w:pPr>
              <w:pStyle w:val="Compact"/>
              <w:keepNext/>
              <w:spacing w:after="20" w:before="20"/>
              <w:jc w:val="left"/>
            </w:pPr>
            <w:r>
              <w:rPr>
                <w:sz w:val="17"/>
              </w:rPr>
              <w:t xml:space="preserve">6.282</w:t>
            </w:r>
          </w:p>
        </w:tc>
        <w:tc>
          <w:tcPr/>
          <w:p>
            <w:pPr>
              <w:pStyle w:val="Compact"/>
              <w:keepNext/>
              <w:spacing w:after="20" w:before="20"/>
              <w:jc w:val="left"/>
            </w:pPr>
            <w:r>
              <w:rPr>
                <w:sz w:val="17"/>
              </w:rPr>
              <w:t xml:space="preserve">4.590</w:t>
            </w:r>
          </w:p>
        </w:tc>
        <w:tc>
          <w:tcPr/>
          <w:p>
            <w:pPr>
              <w:pStyle w:val="Compact"/>
              <w:keepNext/>
              <w:spacing w:after="20" w:before="20"/>
              <w:jc w:val="left"/>
            </w:pPr>
            <w:r>
              <w:rPr>
                <w:sz w:val="17"/>
              </w:rPr>
              <w:t xml:space="preserve">3.364</w:t>
            </w:r>
          </w:p>
        </w:tc>
        <w:tc>
          <w:tcPr/>
          <w:p>
            <w:pPr>
              <w:pStyle w:val="Compact"/>
              <w:keepNext/>
              <w:spacing w:after="20" w:before="20"/>
              <w:jc w:val="left"/>
            </w:pPr>
            <w:r>
              <w:rPr>
                <w:sz w:val="17"/>
              </w:rPr>
              <w:t xml:space="preserve">2.474</w:t>
            </w:r>
          </w:p>
        </w:tc>
        <w:tc>
          <w:tcPr/>
          <w:p>
            <w:pPr>
              <w:pStyle w:val="Compact"/>
              <w:keepNext/>
              <w:spacing w:after="20" w:before="20"/>
              <w:jc w:val="left"/>
            </w:pPr>
            <w:r>
              <w:rPr>
                <w:sz w:val="17"/>
              </w:rPr>
              <w:t xml:space="preserve">1.825</w:t>
            </w:r>
          </w:p>
        </w:tc>
      </w:tr>
      <w:tr>
        <w:trPr>
          <w:cantSplit/>
        </w:trPr>
        <w:tc>
          <w:tcPr/>
          <w:p>
            <w:pPr>
              <w:pStyle w:val="Compact"/>
              <w:spacing w:after="20" w:before="20"/>
              <w:jc w:val="left"/>
            </w:pPr>
            <w:r>
              <w:rPr>
                <w:sz w:val="17"/>
              </w:rPr>
              <w:t xml:space="preserve">Field map vs full motor</w:t>
            </w:r>
          </w:p>
        </w:tc>
        <w:tc>
          <w:tcPr/>
          <w:p>
            <w:pPr>
              <w:pStyle w:val="Compact"/>
              <w:spacing w:after="20" w:before="20"/>
              <w:jc w:val="left"/>
            </w:pPr>
            <w:r>
              <w:rPr>
                <w:sz w:val="17"/>
              </w:rPr>
              <w:t xml:space="preserve">+1.4 %</w:t>
            </w:r>
          </w:p>
        </w:tc>
        <w:tc>
          <w:tcPr/>
          <w:p>
            <w:pPr>
              <w:pStyle w:val="Compact"/>
              <w:spacing w:after="20" w:before="20"/>
              <w:jc w:val="left"/>
            </w:pPr>
            <w:r>
              <w:rPr>
                <w:sz w:val="17"/>
              </w:rPr>
              <w:t xml:space="preserve">+4.5 %</w:t>
            </w:r>
          </w:p>
        </w:tc>
        <w:tc>
          <w:tcPr/>
          <w:p>
            <w:pPr>
              <w:pStyle w:val="Compact"/>
              <w:spacing w:after="20" w:before="20"/>
              <w:jc w:val="left"/>
            </w:pPr>
            <w:r>
              <w:rPr>
                <w:sz w:val="17"/>
              </w:rPr>
              <w:t xml:space="preserve">+6.7 %</w:t>
            </w:r>
          </w:p>
        </w:tc>
        <w:tc>
          <w:tcPr/>
          <w:p>
            <w:pPr>
              <w:pStyle w:val="Compact"/>
              <w:spacing w:after="20" w:before="20"/>
              <w:jc w:val="left"/>
            </w:pPr>
            <w:r>
              <w:rPr>
                <w:sz w:val="17"/>
              </w:rPr>
              <w:t xml:space="preserve">+10.2 %</w:t>
            </w:r>
          </w:p>
        </w:tc>
        <w:tc>
          <w:tcPr/>
          <w:p>
            <w:pPr>
              <w:pStyle w:val="Compact"/>
              <w:spacing w:after="20" w:before="20"/>
              <w:jc w:val="left"/>
            </w:pPr>
            <w:r>
              <w:rPr>
                <w:sz w:val="17"/>
              </w:rPr>
              <w:t xml:space="preserve">+10.4 %</w:t>
            </w:r>
          </w:p>
        </w:tc>
      </w:tr>
    </w:tbl>
    <w:p>
      <w:pPr>
        <w:numPr>
          <w:ilvl w:val="0"/>
          <w:numId w:val="1002"/>
        </w:numPr>
        <w:pStyle w:val="Compact"/>
        <w:spacing w:before="140"/>
      </w:pPr>
      <w:r>
        <w:t xml:space="preserve">Copper and rotor torque agree within 0.51 % (0°) and 0.18 % (3.75°), which confirms the mesh.</w:t>
      </w:r>
    </w:p>
    <w:p>
      <w:pPr>
        <w:numPr>
          <w:ilvl w:val="0"/>
          <w:numId w:val="1002"/>
        </w:numPr>
        <w:pStyle w:val="Compact"/>
      </w:pPr>
      <w:r>
        <w:t xml:space="preserve">K falls by about 26 % per board: the field decays at 0.30 per mm through the stack.</w:t>
      </w:r>
    </w:p>
    <w:p>
      <w:pPr>
        <w:numPr>
          <w:ilvl w:val="0"/>
          <w:numId w:val="1002"/>
        </w:numPr>
        <w:pStyle w:val="Compact"/>
      </w:pPr>
      <w:r>
        <w:t xml:space="preserve">The field map’s excess grows with distance from the magnets. The likely cause is that centre-line sampling differs from the volume force on the meshed copper. Mesh, padding and shaft stub were each ruled out.</w:t>
      </w:r>
    </w:p>
    <w:p>
      <w:pPr>
        <w:numPr>
          <w:ilvl w:val="0"/>
          <w:numId w:val="1002"/>
        </w:numPr>
        <w:pStyle w:val="Compact"/>
      </w:pPr>
      <w:r>
        <w:t xml:space="preserve">Torque is linear in current: 2 A gives exactly twice the torque of 1 A, within 0.002 %.</w:t>
      </w:r>
    </w:p>
    <w:p>
      <w:pPr>
        <w:numPr>
          <w:ilvl w:val="0"/>
          <w:numId w:val="1002"/>
        </w:numPr>
        <w:pStyle w:val="Compact"/>
      </w:pPr>
      <w:r>
        <w:t xml:space="preserve">Results from the field map and the rotating model are scaled by 18.534 / 19.475 = 0.952 to the full-motor value.</w:t>
      </w:r>
    </w:p>
    <w:bookmarkEnd w:id="21"/>
    <w:bookmarkStart w:id="28" w:name="back-emf-torque-ripple-and-cogging"/>
    <w:p>
      <w:pPr>
        <w:pStyle w:val="Heading1"/>
      </w:pPr>
      <w:r>
        <w:t xml:space="preserve">Back-EMF, torque ripple and cogging</w:t>
      </w:r>
    </w:p>
    <w:p>
      <w:pPr>
        <w:pStyle w:val="FirstParagraph"/>
      </w:pPr>
      <w:r>
        <w:t xml:space="preserve">At 1000 rpm the phase back-EMF is 1.372 V rms and the line back-EMF is 2.377 V rms. The line waveform is close to sinusoidal at 0.7 % THD, because the phase waveform’s 3rd harmonic cancels between phases.</w:t>
      </w:r>
    </w:p>
    <w:p>
      <w:pPr>
        <w:pStyle w:val="CaptionedFigure"/>
      </w:pPr>
      <w:r>
        <w:drawing>
          <wp:inline>
            <wp:extent cx="5334000" cy="2270752"/>
            <wp:effectExtent b="0" l="0" r="0" t="0"/>
            <wp:docPr descr="Phase and line back-EMF at 1000 rpm" title="" id="23" name="Picture"/>
            <a:graphic>
              <a:graphicData uri="http://schemas.openxmlformats.org/drawingml/2006/picture">
                <pic:pic>
                  <pic:nvPicPr>
                    <pic:cNvPr descr="../out_rev0/fig1_backemf_rev0.png" id="24" name="Picture"/>
                    <pic:cNvPicPr>
                      <a:picLocks noChangeArrowheads="1" noChangeAspect="1"/>
                    </pic:cNvPicPr>
                  </pic:nvPicPr>
                  <pic:blipFill>
                    <a:blip r:embed="rId22"/>
                    <a:stretch>
                      <a:fillRect/>
                    </a:stretch>
                  </pic:blipFill>
                  <pic:spPr bwMode="auto">
                    <a:xfrm>
                      <a:off x="0" y="0"/>
                      <a:ext cx="5334000" cy="2270752"/>
                    </a:xfrm>
                    <a:prstGeom prst="rect">
                      <a:avLst/>
                    </a:prstGeom>
                    <a:noFill/>
                    <a:ln w="9525">
                      <a:noFill/>
                      <a:headEnd/>
                      <a:tailEnd/>
                    </a:ln>
                  </pic:spPr>
                </pic:pic>
              </a:graphicData>
            </a:graphic>
          </wp:inline>
        </w:drawing>
      </w:r>
    </w:p>
    <w:p>
      <w:pPr>
        <w:pStyle w:val="ImageCaption"/>
      </w:pPr>
      <w:r>
        <w:t xml:space="preserve">Phase and line back-EMF at 1000 rpm</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fill="DCE6F2" w:val="clear"/>
          </w:tcPr>
          <w:p>
            <w:pPr>
              <w:pStyle w:val="Compact"/>
              <w:keepNext/>
              <w:spacing w:after="20" w:before="20"/>
              <w:jc w:val="left"/>
            </w:pPr>
            <w:r>
              <w:rPr>
                <w:b/>
                <w:sz w:val="17"/>
              </w:rPr>
              <w:t xml:space="preserve">Quantity</w:t>
            </w:r>
          </w:p>
        </w:tc>
        <w:tc>
          <w:tcPr>
            <w:shd w:fill="DCE6F2" w:val="clear"/>
          </w:tcPr>
          <w:p>
            <w:pPr>
              <w:pStyle w:val="Compact"/>
              <w:keepNext/>
              <w:spacing w:after="20" w:before="20"/>
              <w:jc w:val="left"/>
            </w:pPr>
            <w:r>
              <w:rPr>
                <w:b/>
                <w:sz w:val="17"/>
              </w:rPr>
              <w:t xml:space="preserve">Phase</w:t>
            </w:r>
          </w:p>
        </w:tc>
        <w:tc>
          <w:tcPr>
            <w:shd w:fill="DCE6F2" w:val="clear"/>
          </w:tcPr>
          <w:p>
            <w:pPr>
              <w:pStyle w:val="Compact"/>
              <w:keepNext/>
              <w:spacing w:after="20" w:before="20"/>
              <w:jc w:val="left"/>
            </w:pPr>
            <w:r>
              <w:rPr>
                <w:b/>
                <w:sz w:val="17"/>
              </w:rPr>
              <w:t xml:space="preserve">Line</w:t>
            </w:r>
          </w:p>
        </w:tc>
      </w:tr>
      <w:tr>
        <w:trPr>
          <w:cantSplit/>
        </w:trPr>
        <w:tc>
          <w:tcPr/>
          <w:p>
            <w:pPr>
              <w:pStyle w:val="Compact"/>
              <w:keepNext/>
              <w:spacing w:after="20" w:before="20"/>
              <w:jc w:val="left"/>
            </w:pPr>
            <w:r>
              <w:rPr>
                <w:sz w:val="17"/>
              </w:rPr>
              <w:t xml:space="preserve">Fundamental at 1000 rpm</w:t>
            </w:r>
          </w:p>
        </w:tc>
        <w:tc>
          <w:tcPr/>
          <w:p>
            <w:pPr>
              <w:pStyle w:val="Compact"/>
              <w:keepNext/>
              <w:spacing w:after="20" w:before="20"/>
              <w:jc w:val="left"/>
            </w:pPr>
            <w:r>
              <w:rPr>
                <w:sz w:val="17"/>
              </w:rPr>
              <w:t xml:space="preserve">1.372 V rms (1.941 V pk)</w:t>
            </w:r>
          </w:p>
        </w:tc>
        <w:tc>
          <w:tcPr/>
          <w:p>
            <w:pPr>
              <w:pStyle w:val="Compact"/>
              <w:keepNext/>
              <w:spacing w:after="20" w:before="20"/>
              <w:jc w:val="left"/>
            </w:pPr>
            <w:r>
              <w:rPr>
                <w:sz w:val="17"/>
              </w:rPr>
              <w:t xml:space="preserve">2.377 V rms</w:t>
            </w:r>
          </w:p>
        </w:tc>
      </w:tr>
      <w:tr>
        <w:trPr>
          <w:cantSplit/>
        </w:trPr>
        <w:tc>
          <w:tcPr/>
          <w:p>
            <w:pPr>
              <w:pStyle w:val="Compact"/>
              <w:keepNext/>
              <w:spacing w:after="20" w:before="20"/>
              <w:jc w:val="left"/>
            </w:pPr>
            <w:r>
              <w:rPr>
                <w:sz w:val="17"/>
              </w:rPr>
              <w:t xml:space="preserve">Back-EMF constant</w:t>
            </w:r>
          </w:p>
        </w:tc>
        <w:tc>
          <w:tcPr/>
          <w:p>
            <w:pPr>
              <w:pStyle w:val="Compact"/>
              <w:keepNext/>
              <w:spacing w:after="20" w:before="20"/>
              <w:jc w:val="left"/>
            </w:pPr>
            <w:r>
              <w:rPr>
                <w:sz w:val="17"/>
              </w:rPr>
              <w:t xml:space="preserve">1.372 V rms per 1000 rpm</w:t>
            </w:r>
          </w:p>
        </w:tc>
        <w:tc>
          <w:tcPr/>
          <w:p>
            <w:pPr>
              <w:pStyle w:val="Compact"/>
              <w:keepNext/>
              <w:spacing w:after="20" w:before="20"/>
              <w:jc w:val="left"/>
            </w:pPr>
            <w:r>
              <w:rPr>
                <w:sz w:val="17"/>
              </w:rPr>
              <w:t xml:space="preserve">2.377 V rms per 1000 rpm</w:t>
            </w:r>
          </w:p>
        </w:tc>
      </w:tr>
      <w:tr>
        <w:trPr>
          <w:cantSplit/>
        </w:trPr>
        <w:tc>
          <w:tcPr/>
          <w:p>
            <w:pPr>
              <w:pStyle w:val="Compact"/>
              <w:keepNext/>
              <w:spacing w:after="20" w:before="20"/>
              <w:jc w:val="left"/>
            </w:pPr>
            <w:r>
              <w:rPr>
                <w:sz w:val="17"/>
              </w:rPr>
              <w:t xml:space="preserve">THD</w:t>
            </w:r>
          </w:p>
        </w:tc>
        <w:tc>
          <w:tcPr/>
          <w:p>
            <w:pPr>
              <w:pStyle w:val="Compact"/>
              <w:keepNext/>
              <w:spacing w:after="20" w:before="20"/>
              <w:jc w:val="left"/>
            </w:pPr>
            <w:r>
              <w:rPr>
                <w:sz w:val="17"/>
              </w:rPr>
              <w:t xml:space="preserve">5.5 % (H3 5.5, H5 0.7, H7 0.05 %)</w:t>
            </w:r>
          </w:p>
        </w:tc>
        <w:tc>
          <w:tcPr/>
          <w:p>
            <w:pPr>
              <w:pStyle w:val="Compact"/>
              <w:keepNext/>
              <w:spacing w:after="20" w:before="20"/>
              <w:jc w:val="left"/>
            </w:pPr>
            <w:r>
              <w:rPr>
                <w:sz w:val="17"/>
              </w:rPr>
              <w:t xml:space="preserve">0.7 %</w:t>
            </w:r>
          </w:p>
        </w:tc>
      </w:tr>
      <w:tr>
        <w:trPr>
          <w:cantSplit/>
        </w:trPr>
        <w:tc>
          <w:tcPr/>
          <w:p>
            <w:pPr>
              <w:pStyle w:val="Compact"/>
              <w:spacing w:after="20" w:before="20"/>
              <w:jc w:val="left"/>
            </w:pPr>
            <w:r>
              <w:rPr>
                <w:sz w:val="17"/>
              </w:rPr>
              <w:t xml:space="preserve">Phase balance</w:t>
            </w:r>
          </w:p>
        </w:tc>
        <w:tc>
          <w:tcPr/>
          <w:p>
            <w:pPr>
              <w:pStyle w:val="Compact"/>
              <w:spacing w:after="20" w:before="20"/>
              <w:jc w:val="left"/>
            </w:pPr>
            <w:r>
              <w:rPr>
                <w:sz w:val="17"/>
              </w:rPr>
              <w:t xml:space="preserve">K spread 0.04 %; displacement 120.0°</w:t>
            </w:r>
          </w:p>
        </w:tc>
        <w:tc>
          <w:tcPr/>
          <w:p>
            <w:pPr>
              <w:pStyle w:val="Compact"/>
              <w:spacing w:after="20" w:before="20"/>
              <w:jc w:val="left"/>
            </w:pPr>
            <w:r>
              <w:rPr>
                <w:sz w:val="17"/>
              </w:rPr>
              <w:t xml:space="preserve">—</w:t>
            </w:r>
          </w:p>
        </w:tc>
      </w:tr>
    </w:tbl>
    <w:p>
      <w:pPr>
        <w:numPr>
          <w:ilvl w:val="0"/>
          <w:numId w:val="1003"/>
        </w:numPr>
        <w:pStyle w:val="Compact"/>
        <w:spacing w:before="140"/>
      </w:pPr>
      <w:r>
        <w:t xml:space="preserve">The rotating model turns the magnets and steel only: no stator current is solved. It agrees with the static field map within 1.49 % of K1 at all 120 board-phase-angle points, so the back-EMF predictions are sound. Its waveforms are scaled by 0.952 to the full-motor K.</w:t>
      </w:r>
    </w:p>
    <w:p>
      <w:pPr>
        <w:numPr>
          <w:ilvl w:val="0"/>
          <w:numId w:val="1003"/>
        </w:numPr>
        <w:pStyle w:val="Compact"/>
      </w:pPr>
      <w:r>
        <w:t xml:space="preserve">The loaded torque waveform is reconstructed by applying ideal sinusoidal currents to the exported field, not solved as a loaded transient. Mean torque at 1 A pk is 27.80 mN·m with 1.26 % pk-pk (0.35 mN·m) ripple at 6× electrical frequency. As a consistency check, the back-EMF harmonics predict 2·(H5 − H7) = 1.23 % pk-pk for sinusoidal drive, so the ripple follows from the field shape rather than numerical noise. It still needs a resolution check with finer time steps.</w:t>
      </w:r>
    </w:p>
    <w:p>
      <w:pPr>
        <w:numPr>
          <w:ilvl w:val="0"/>
          <w:numId w:val="1003"/>
        </w:numPr>
        <w:pStyle w:val="Compact"/>
      </w:pPr>
      <w:r>
        <w:t xml:space="preserve">The no-load rotor torque comes from Maxwell’s rotor force (volume integration), a separate calculation from the Lorentz torque above. It varies 0.61 mN·m pk-pk without periodicity, and the static board solves showed the same (below 0.47 mN·m, not periodic). Cogging is therefore below this solver noise floor, as expected with no stator iron; the noise floor is larger than the predicted ripple, so neither is resolved by the rotor-torque output.</w:t>
      </w:r>
    </w:p>
    <w:p>
      <w:pPr>
        <w:numPr>
          <w:ilvl w:val="0"/>
          <w:numId w:val="1003"/>
        </w:numPr>
        <w:pStyle w:val="Compact"/>
      </w:pPr>
      <w:r>
        <w:t xml:space="preserve">Zero magnet and steel eddy loss is a consequence of the model scope (no armature field, no PWM ripple), not proof of zero loss under inverter drive.</w:t>
      </w:r>
    </w:p>
    <w:p>
      <w:pPr>
        <w:pStyle w:val="CaptionedFigure"/>
      </w:pPr>
      <w:r>
        <w:drawing>
          <wp:inline>
            <wp:extent cx="5334000" cy="1885757"/>
            <wp:effectExtent b="0" l="0" r="0" t="0"/>
            <wp:docPr descr="Torque at 1 A pk and no-load rotor torque" title="" id="26" name="Picture"/>
            <a:graphic>
              <a:graphicData uri="http://schemas.openxmlformats.org/drawingml/2006/picture">
                <pic:pic>
                  <pic:nvPicPr>
                    <pic:cNvPr descr="../out_rev0/fig2_torque_cogging_rev0.png" id="27" name="Picture"/>
                    <pic:cNvPicPr>
                      <a:picLocks noChangeArrowheads="1" noChangeAspect="1"/>
                    </pic:cNvPicPr>
                  </pic:nvPicPr>
                  <pic:blipFill>
                    <a:blip r:embed="rId25"/>
                    <a:stretch>
                      <a:fillRect/>
                    </a:stretch>
                  </pic:blipFill>
                  <pic:spPr bwMode="auto">
                    <a:xfrm>
                      <a:off x="0" y="0"/>
                      <a:ext cx="5334000" cy="1885757"/>
                    </a:xfrm>
                    <a:prstGeom prst="rect">
                      <a:avLst/>
                    </a:prstGeom>
                    <a:noFill/>
                    <a:ln w="9525">
                      <a:noFill/>
                      <a:headEnd/>
                      <a:tailEnd/>
                    </a:ln>
                  </pic:spPr>
                </pic:pic>
              </a:graphicData>
            </a:graphic>
          </wp:inline>
        </w:drawing>
      </w:r>
    </w:p>
    <w:p>
      <w:pPr>
        <w:pStyle w:val="ImageCaption"/>
      </w:pPr>
      <w:r>
        <w:t xml:space="preserve">Torque at 1 A pk and no-load rotor torque</w:t>
      </w:r>
    </w:p>
    <w:bookmarkEnd w:id="28"/>
    <w:bookmarkStart w:id="35" w:name="field-distribution-and-current-density"/>
    <w:p>
      <w:pPr>
        <w:pStyle w:val="Heading1"/>
      </w:pPr>
      <w:r>
        <w:t xml:space="preserve">Field distribution and current density</w:t>
      </w:r>
    </w:p>
    <w:p>
      <w:pPr>
        <w:pStyle w:val="FirstParagraph"/>
      </w:pPr>
      <w:r>
        <w:t xml:space="preserve">The air-gap field peaks at 0.44 T just off the stator face, and the backplate peaks at 0.90–0.92 T. That is well below the 1.5–1.6 T knee of 1010 steel, so the 2 mm plate is not saturated.</w:t>
      </w:r>
    </w:p>
    <w:p>
      <w:pPr>
        <w:pStyle w:val="CaptionedFigure"/>
      </w:pPr>
      <w:r>
        <w:drawing>
          <wp:inline>
            <wp:extent cx="5334000" cy="2384641"/>
            <wp:effectExtent b="0" l="0" r="0" t="0"/>
            <wp:docPr descr="Axial field at the stator face and field magnitude in the steel backplate" title="" id="30" name="Picture"/>
            <a:graphic>
              <a:graphicData uri="http://schemas.openxmlformats.org/drawingml/2006/picture">
                <pic:pic>
                  <pic:nvPicPr>
                    <pic:cNvPr descr="../out_rev0/fig3_field_maps_rev0.png" id="31" name="Picture"/>
                    <pic:cNvPicPr>
                      <a:picLocks noChangeArrowheads="1" noChangeAspect="1"/>
                    </pic:cNvPicPr>
                  </pic:nvPicPr>
                  <pic:blipFill>
                    <a:blip r:embed="rId29"/>
                    <a:stretch>
                      <a:fillRect/>
                    </a:stretch>
                  </pic:blipFill>
                  <pic:spPr bwMode="auto">
                    <a:xfrm>
                      <a:off x="0" y="0"/>
                      <a:ext cx="5334000" cy="2384641"/>
                    </a:xfrm>
                    <a:prstGeom prst="rect">
                      <a:avLst/>
                    </a:prstGeom>
                    <a:noFill/>
                    <a:ln w="9525">
                      <a:noFill/>
                      <a:headEnd/>
                      <a:tailEnd/>
                    </a:ln>
                  </pic:spPr>
                </pic:pic>
              </a:graphicData>
            </a:graphic>
          </wp:inline>
        </w:drawing>
      </w:r>
    </w:p>
    <w:p>
      <w:pPr>
        <w:pStyle w:val="ImageCaption"/>
      </w:pPr>
      <w:r>
        <w:t xml:space="preserve">Axial field at the stator face and field magnitude in the steel backplate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fill="DCE6F2" w:val="clear"/>
          </w:tcPr>
          <w:p>
            <w:pPr>
              <w:pStyle w:val="Compact"/>
              <w:keepNext/>
              <w:spacing w:after="20" w:before="20"/>
              <w:jc w:val="left"/>
            </w:pPr>
            <w:r>
              <w:rPr>
                <w:b/>
                <w:sz w:val="17"/>
              </w:rPr>
              <w:t xml:space="preserve">Quantity</w:t>
            </w:r>
          </w:p>
        </w:tc>
        <w:tc>
          <w:tcPr>
            <w:shd w:fill="DCE6F2" w:val="clear"/>
          </w:tcPr>
          <w:p>
            <w:pPr>
              <w:pStyle w:val="Compact"/>
              <w:keepNext/>
              <w:spacing w:after="20" w:before="20"/>
              <w:jc w:val="left"/>
            </w:pPr>
            <w:r>
              <w:rPr>
                <w:b/>
                <w:sz w:val="17"/>
              </w:rPr>
              <w:t xml:space="preserve">Value</w:t>
            </w:r>
          </w:p>
        </w:tc>
        <w:tc>
          <w:tcPr>
            <w:shd w:fill="DCE6F2" w:val="clear"/>
          </w:tcPr>
          <w:p>
            <w:pPr>
              <w:pStyle w:val="Compact"/>
              <w:keepNext/>
              <w:spacing w:after="20" w:before="20"/>
              <w:jc w:val="left"/>
            </w:pPr>
            <w:r>
              <w:rPr>
                <w:b/>
                <w:sz w:val="17"/>
              </w:rPr>
              <w:t xml:space="preserve">Source</w:t>
            </w:r>
          </w:p>
        </w:tc>
      </w:tr>
      <w:tr>
        <w:trPr>
          <w:cantSplit/>
        </w:trPr>
        <w:tc>
          <w:tcPr/>
          <w:p>
            <w:pPr>
              <w:pStyle w:val="Compact"/>
              <w:keepNext/>
              <w:spacing w:after="20" w:before="20"/>
              <w:jc w:val="left"/>
            </w:pPr>
            <w:r>
              <w:rPr>
                <w:sz w:val="17"/>
              </w:rPr>
              <w:t xml:space="preserve">Bz 0.25 mm off the stator face</w:t>
            </w:r>
          </w:p>
        </w:tc>
        <w:tc>
          <w:tcPr/>
          <w:p>
            <w:pPr>
              <w:pStyle w:val="Compact"/>
              <w:keepNext/>
              <w:spacing w:after="20" w:before="20"/>
              <w:jc w:val="left"/>
            </w:pPr>
            <w:r>
              <w:rPr>
                <w:sz w:val="17"/>
              </w:rPr>
              <w:t xml:space="preserve">max 0.448 T; mean field magnitude 0.227 T</w:t>
            </w:r>
          </w:p>
        </w:tc>
        <w:tc>
          <w:tcPr/>
          <w:p>
            <w:pPr>
              <w:pStyle w:val="Compact"/>
              <w:keepNext/>
              <w:spacing w:after="20" w:before="20"/>
              <w:jc w:val="left"/>
            </w:pPr>
            <w:r>
              <w:rPr>
                <w:sz w:val="17"/>
              </w:rPr>
              <w:t xml:space="preserve">Rotating model, 8 instants</w:t>
            </w:r>
          </w:p>
        </w:tc>
      </w:tr>
      <w:tr>
        <w:trPr>
          <w:cantSplit/>
        </w:trPr>
        <w:tc>
          <w:tcPr/>
          <w:p>
            <w:pPr>
              <w:pStyle w:val="Compact"/>
              <w:keepNext/>
              <w:spacing w:after="20" w:before="20"/>
              <w:jc w:val="left"/>
            </w:pPr>
            <w:r>
              <w:rPr>
                <w:sz w:val="17"/>
              </w:rPr>
              <w:t xml:space="preserve">Fundamental Bz on the tracks, board 1 / board 5</w:t>
            </w:r>
          </w:p>
        </w:tc>
        <w:tc>
          <w:tcPr/>
          <w:p>
            <w:pPr>
              <w:pStyle w:val="Compact"/>
              <w:keepNext/>
              <w:spacing w:after="20" w:before="20"/>
              <w:jc w:val="left"/>
            </w:pPr>
            <w:r>
              <w:rPr>
                <w:sz w:val="17"/>
              </w:rPr>
              <w:t xml:space="preserve">0.174 / 0.051 T</w:t>
            </w:r>
          </w:p>
        </w:tc>
        <w:tc>
          <w:tcPr/>
          <w:p>
            <w:pPr>
              <w:pStyle w:val="Compact"/>
              <w:keepNext/>
              <w:spacing w:after="20" w:before="20"/>
              <w:jc w:val="left"/>
            </w:pPr>
            <w:r>
              <w:rPr>
                <w:sz w:val="17"/>
              </w:rPr>
              <w:t xml:space="preserve">Field map</w:t>
            </w:r>
          </w:p>
        </w:tc>
      </w:tr>
      <w:tr>
        <w:trPr>
          <w:cantSplit/>
        </w:trPr>
        <w:tc>
          <w:tcPr/>
          <w:p>
            <w:pPr>
              <w:pStyle w:val="Compact"/>
              <w:keepNext/>
              <w:spacing w:after="20" w:before="20"/>
              <w:jc w:val="left"/>
            </w:pPr>
            <w:r>
              <w:rPr>
                <w:sz w:val="17"/>
              </w:rPr>
              <w:t xml:space="preserve">Field decay through the stack</w:t>
            </w:r>
          </w:p>
        </w:tc>
        <w:tc>
          <w:tcPr/>
          <w:p>
            <w:pPr>
              <w:pStyle w:val="Compact"/>
              <w:keepNext/>
              <w:spacing w:after="20" w:before="20"/>
              <w:jc w:val="left"/>
            </w:pPr>
            <w:r>
              <w:rPr>
                <w:sz w:val="17"/>
              </w:rPr>
              <w:t xml:space="preserve">0.30 per mm (26 % lost per board)</w:t>
            </w:r>
          </w:p>
        </w:tc>
        <w:tc>
          <w:tcPr/>
          <w:p>
            <w:pPr>
              <w:pStyle w:val="Compact"/>
              <w:keepNext/>
              <w:spacing w:after="20" w:before="20"/>
              <w:jc w:val="left"/>
            </w:pPr>
            <w:r>
              <w:rPr>
                <w:sz w:val="17"/>
              </w:rPr>
              <w:t xml:space="preserve">Field map</w:t>
            </w:r>
          </w:p>
        </w:tc>
      </w:tr>
      <w:tr>
        <w:trPr>
          <w:cantSplit/>
        </w:trPr>
        <w:tc>
          <w:tcPr/>
          <w:p>
            <w:pPr>
              <w:pStyle w:val="Compact"/>
              <w:keepNext/>
              <w:spacing w:after="20" w:before="20"/>
              <w:jc w:val="left"/>
            </w:pPr>
            <w:r>
              <w:rPr>
                <w:sz w:val="17"/>
              </w:rPr>
              <w:t xml:space="preserve">Backplate field magnitude, max / 99th percentile / mean</w:t>
            </w:r>
          </w:p>
        </w:tc>
        <w:tc>
          <w:tcPr/>
          <w:p>
            <w:pPr>
              <w:pStyle w:val="Compact"/>
              <w:keepNext/>
              <w:spacing w:after="20" w:before="20"/>
              <w:jc w:val="left"/>
            </w:pPr>
            <w:r>
              <w:rPr>
                <w:sz w:val="17"/>
              </w:rPr>
              <w:t xml:space="preserve">0.907 / 0.869 / 0.332 T</w:t>
            </w:r>
          </w:p>
        </w:tc>
        <w:tc>
          <w:tcPr/>
          <w:p>
            <w:pPr>
              <w:pStyle w:val="Compact"/>
              <w:keepNext/>
              <w:spacing w:after="20" w:before="20"/>
              <w:jc w:val="left"/>
            </w:pPr>
            <w:r>
              <w:rPr>
                <w:sz w:val="17"/>
              </w:rPr>
              <w:t xml:space="preserve">Rotating model</w:t>
            </w:r>
          </w:p>
        </w:tc>
      </w:tr>
      <w:tr>
        <w:trPr>
          <w:cantSplit/>
        </w:trPr>
        <w:tc>
          <w:tcPr/>
          <w:p>
            <w:pPr>
              <w:pStyle w:val="Compact"/>
              <w:spacing w:after="20" w:before="20"/>
              <w:jc w:val="left"/>
            </w:pPr>
            <w:r>
              <w:rPr>
                <w:sz w:val="17"/>
              </w:rPr>
              <w:t xml:space="preserve">Backplate field magnitude, max, static</w:t>
            </w:r>
          </w:p>
        </w:tc>
        <w:tc>
          <w:tcPr/>
          <w:p>
            <w:pPr>
              <w:pStyle w:val="Compact"/>
              <w:spacing w:after="20" w:before="20"/>
              <w:jc w:val="left"/>
            </w:pPr>
            <w:r>
              <w:rPr>
                <w:sz w:val="17"/>
              </w:rPr>
              <w:t xml:space="preserve">0.92 T</w:t>
            </w:r>
          </w:p>
        </w:tc>
        <w:tc>
          <w:tcPr/>
          <w:p>
            <w:pPr>
              <w:pStyle w:val="Compact"/>
              <w:spacing w:after="20" w:before="20"/>
              <w:jc w:val="left"/>
            </w:pPr>
            <w:r>
              <w:rPr>
                <w:sz w:val="17"/>
              </w:rPr>
              <w:t xml:space="preserve">Full-motor static</w:t>
            </w:r>
          </w:p>
        </w:tc>
      </w:tr>
    </w:tbl>
    <w:p>
      <w:pPr>
        <w:pStyle w:val="BodyText"/>
        <w:spacing w:before="140"/>
      </w:pPr>
      <w:r>
        <w:t xml:space="preserve">Current density per 1 A of phase current is 9.2–9.4 A/mm² in the tracks, with a whole-board mean of 8.6 A/mm² and a 95th percentile of 10.3 A/mm². Each phase splits over parallel tracks on all six layers. Local peaks reach 57 A/mm² per A at narrow necks near the terminals and vias; these are short hot-spot candidates but carry little of the total loss. Skin depth at 1000 rpm is 5.7 mm (164× the copper thickness), so the distribution is effectively DC.</w:t>
      </w:r>
    </w:p>
    <w:p>
      <w:pPr>
        <w:pStyle w:val="CaptionedFigure"/>
      </w:pPr>
      <w:r>
        <w:drawing>
          <wp:inline>
            <wp:extent cx="5334000" cy="1733956"/>
            <wp:effectExtent b="0" l="0" r="0" t="0"/>
            <wp:docPr descr="Current density in board 1, layer L1, per 1 A" title="" id="33" name="Picture"/>
            <a:graphic>
              <a:graphicData uri="http://schemas.openxmlformats.org/drawingml/2006/picture">
                <pic:pic>
                  <pic:nvPicPr>
                    <pic:cNvPr descr="../out_rev0/fig4_current_density_rev0.png" id="34" name="Picture"/>
                    <pic:cNvPicPr>
                      <a:picLocks noChangeArrowheads="1" noChangeAspect="1"/>
                    </pic:cNvPicPr>
                  </pic:nvPicPr>
                  <pic:blipFill>
                    <a:blip r:embed="rId32"/>
                    <a:stretch>
                      <a:fillRect/>
                    </a:stretch>
                  </pic:blipFill>
                  <pic:spPr bwMode="auto">
                    <a:xfrm>
                      <a:off x="0" y="0"/>
                      <a:ext cx="5334000" cy="1733956"/>
                    </a:xfrm>
                    <a:prstGeom prst="rect">
                      <a:avLst/>
                    </a:prstGeom>
                    <a:noFill/>
                    <a:ln w="9525">
                      <a:noFill/>
                      <a:headEnd/>
                      <a:tailEnd/>
                    </a:ln>
                  </pic:spPr>
                </pic:pic>
              </a:graphicData>
            </a:graphic>
          </wp:inline>
        </w:drawing>
      </w:r>
    </w:p>
    <w:p>
      <w:pPr>
        <w:pStyle w:val="ImageCaption"/>
      </w:pPr>
      <w:r>
        <w:t xml:space="preserve">Current density in board 1, layer L1, per 1 A</w:t>
      </w:r>
    </w:p>
    <w:bookmarkEnd w:id="35"/>
    <w:bookmarkStart w:id="39" w:name="losses-efficiency-and-thermal-limit"/>
    <w:p>
      <w:pPr>
        <w:pStyle w:val="Heading1"/>
      </w:pPr>
      <w:r>
        <w:t xml:space="preserve">Losses, efficiency and thermal limit</w:t>
      </w:r>
    </w:p>
    <w:p>
      <w:pPr>
        <w:pStyle w:val="FirstParagraph"/>
      </w:pPr>
      <w:r>
        <w:t xml:space="preserve">Copper I²R loss dominates: 3.2 W at 1 A pk and 60 °C against 20 mW of track eddy loss at 1000 rpm. Electromagnetic efficiency at the 1000 rpm, 1 A pk point is therefore about 47 % (about 51 % at the 0.84 A pk test point), rising with speed and falling with current.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fill="DCE6F2" w:val="clear"/>
          </w:tcPr>
          <w:p>
            <w:pPr>
              <w:pStyle w:val="Compact"/>
              <w:keepNext/>
              <w:spacing w:after="20" w:before="20"/>
              <w:jc w:val="left"/>
            </w:pPr>
            <w:r>
              <w:rPr>
                <w:b/>
                <w:sz w:val="17"/>
              </w:rPr>
              <w:t xml:space="preserve">Loss</w:t>
            </w:r>
          </w:p>
        </w:tc>
        <w:tc>
          <w:tcPr>
            <w:shd w:fill="DCE6F2" w:val="clear"/>
          </w:tcPr>
          <w:p>
            <w:pPr>
              <w:pStyle w:val="Compact"/>
              <w:keepNext/>
              <w:spacing w:after="20" w:before="20"/>
              <w:jc w:val="left"/>
            </w:pPr>
            <w:r>
              <w:rPr>
                <w:b/>
                <w:sz w:val="17"/>
              </w:rPr>
              <w:t xml:space="preserve">Value</w:t>
            </w:r>
          </w:p>
        </w:tc>
        <w:tc>
          <w:tcPr>
            <w:shd w:fill="DCE6F2" w:val="clear"/>
          </w:tcPr>
          <w:p>
            <w:pPr>
              <w:pStyle w:val="Compact"/>
              <w:keepNext/>
              <w:spacing w:after="20" w:before="20"/>
              <w:jc w:val="left"/>
            </w:pPr>
            <w:r>
              <w:rPr>
                <w:b/>
                <w:sz w:val="17"/>
              </w:rPr>
              <w:t xml:space="preserve">Notes</w:t>
            </w:r>
          </w:p>
        </w:tc>
      </w:tr>
      <w:tr>
        <w:trPr>
          <w:cantSplit/>
        </w:trPr>
        <w:tc>
          <w:tcPr/>
          <w:p>
            <w:pPr>
              <w:pStyle w:val="Compact"/>
              <w:keepNext/>
              <w:spacing w:after="20" w:before="20"/>
              <w:jc w:val="left"/>
            </w:pPr>
            <w:r>
              <w:rPr>
                <w:sz w:val="17"/>
              </w:rPr>
              <w:t xml:space="preserve">Phase resistance, measured</w:t>
            </w:r>
          </w:p>
        </w:tc>
        <w:tc>
          <w:tcPr/>
          <w:p>
            <w:pPr>
              <w:pStyle w:val="Compact"/>
              <w:keepNext/>
              <w:spacing w:after="20" w:before="20"/>
              <w:jc w:val="left"/>
            </w:pPr>
            <w:r>
              <w:rPr>
                <w:sz w:val="17"/>
              </w:rPr>
              <w:t xml:space="preserve">1.87–1.90 Ω per phase (complete stator), every phase of S1 and S2; temperature not recorded</w:t>
            </w:r>
          </w:p>
        </w:tc>
        <w:tc>
          <w:tcPr/>
          <w:p>
            <w:pPr>
              <w:pStyle w:val="Compact"/>
              <w:keepNext/>
              <w:spacing w:after="20" w:before="20"/>
              <w:jc w:val="left"/>
            </w:pPr>
            <w:r>
              <w:rPr>
                <w:sz w:val="17"/>
              </w:rPr>
              <w:t xml:space="preserve">Model (traces only): 1.33–1.39 Ω; the difference is joints, leads and contact</w:t>
            </w:r>
          </w:p>
        </w:tc>
      </w:tr>
      <w:tr>
        <w:trPr>
          <w:cantSplit/>
        </w:trPr>
        <w:tc>
          <w:tcPr/>
          <w:p>
            <w:pPr>
              <w:pStyle w:val="Compact"/>
              <w:keepNext/>
              <w:spacing w:after="20" w:before="20"/>
              <w:jc w:val="left"/>
            </w:pPr>
            <w:r>
              <w:rPr>
                <w:sz w:val="17"/>
              </w:rPr>
              <w:t xml:space="preserve">Resistance used</w:t>
            </w:r>
          </w:p>
        </w:tc>
        <w:tc>
          <w:tcPr/>
          <w:p>
            <w:pPr>
              <w:pStyle w:val="Compact"/>
              <w:keepNext/>
              <w:spacing w:after="20" w:before="20"/>
              <w:jc w:val="left"/>
            </w:pPr>
            <w:r>
              <w:rPr>
                <w:sz w:val="17"/>
              </w:rPr>
              <w:t xml:space="preserve">1.85–1.96 Ω at 25 °C; 2.10–2.22 Ω at 60 °C (2.16 Ω used)</w:t>
            </w:r>
          </w:p>
        </w:tc>
        <w:tc>
          <w:tcPr/>
          <w:p>
            <w:pPr>
              <w:pStyle w:val="Compact"/>
              <w:keepNext/>
              <w:spacing w:after="20" w:before="20"/>
              <w:jc w:val="left"/>
            </w:pPr>
            <w:r>
              <w:rPr>
                <w:sz w:val="17"/>
              </w:rPr>
              <w:t xml:space="preserve">Measurement at an assumed 15–30 °C; 0–0.1 Ω of it treated as contact resistance and not temperature-corrected</w:t>
            </w:r>
          </w:p>
        </w:tc>
      </w:tr>
      <w:tr>
        <w:trPr>
          <w:cantSplit/>
        </w:trPr>
        <w:tc>
          <w:tcPr/>
          <w:p>
            <w:pPr>
              <w:pStyle w:val="Compact"/>
              <w:keepNext/>
              <w:spacing w:after="20" w:before="20"/>
              <w:jc w:val="left"/>
            </w:pPr>
            <w:r>
              <w:rPr>
                <w:sz w:val="17"/>
              </w:rPr>
              <w:t xml:space="preserve">Copper loss at 1 A pk, 60 °C</w:t>
            </w:r>
          </w:p>
        </w:tc>
        <w:tc>
          <w:tcPr/>
          <w:p>
            <w:pPr>
              <w:pStyle w:val="Compact"/>
              <w:keepNext/>
              <w:spacing w:after="20" w:before="20"/>
              <w:jc w:val="left"/>
            </w:pPr>
            <w:r>
              <w:rPr>
                <w:sz w:val="17"/>
              </w:rPr>
              <w:t xml:space="preserve">3.24 W (1.5 · I² · R)</w:t>
            </w:r>
          </w:p>
        </w:tc>
        <w:tc>
          <w:tcPr/>
          <w:p>
            <w:pPr>
              <w:pStyle w:val="Compact"/>
              <w:keepNext/>
              <w:spacing w:after="20" w:before="20"/>
              <w:jc w:val="left"/>
            </w:pPr>
            <w:r>
              <w:rPr>
                <w:sz w:val="17"/>
              </w:rPr>
              <w:t xml:space="preserve">Includes contact loss; scales with I² and winding temperature</w:t>
            </w:r>
          </w:p>
        </w:tc>
      </w:tr>
      <w:tr>
        <w:trPr>
          <w:cantSplit/>
        </w:trPr>
        <w:tc>
          <w:tcPr/>
          <w:p>
            <w:pPr>
              <w:pStyle w:val="Compact"/>
              <w:keepNext/>
              <w:spacing w:after="20" w:before="20"/>
              <w:jc w:val="left"/>
            </w:pPr>
            <w:r>
              <w:rPr>
                <w:sz w:val="17"/>
              </w:rPr>
              <w:t xml:space="preserve">Track eddy loss at 1000 rpm</w:t>
            </w:r>
          </w:p>
        </w:tc>
        <w:tc>
          <w:tcPr/>
          <w:p>
            <w:pPr>
              <w:pStyle w:val="Compact"/>
              <w:keepNext/>
              <w:spacing w:after="20" w:before="20"/>
              <w:jc w:val="left"/>
            </w:pPr>
            <w:r>
              <w:rPr>
                <w:sz w:val="17"/>
              </w:rPr>
              <w:t xml:space="preserve">20.4 mW (boards 1–5: 10.8 / 4.8 / 2.5 / 1.5 / 0.8 mW)</w:t>
            </w:r>
          </w:p>
        </w:tc>
        <w:tc>
          <w:tcPr/>
          <w:p>
            <w:pPr>
              <w:pStyle w:val="Compact"/>
              <w:keepNext/>
              <w:spacing w:after="20" w:before="20"/>
              <w:jc w:val="left"/>
            </w:pPr>
            <w:r>
              <w:rPr>
                <w:sz w:val="17"/>
              </w:rPr>
              <w:t xml:space="preserve">Thin-strip estimate, ∝ speed²; 0.33 W at 4000 rpm</w:t>
            </w:r>
          </w:p>
        </w:tc>
      </w:tr>
      <w:tr>
        <w:trPr>
          <w:cantSplit/>
        </w:trPr>
        <w:tc>
          <w:tcPr/>
          <w:p>
            <w:pPr>
              <w:pStyle w:val="Compact"/>
              <w:keepNext/>
              <w:spacing w:after="20" w:before="20"/>
              <w:jc w:val="left"/>
            </w:pPr>
            <w:r>
              <w:rPr>
                <w:sz w:val="17"/>
              </w:rPr>
              <w:t xml:space="preserve">Magnet and steel eddy loss</w:t>
            </w:r>
          </w:p>
        </w:tc>
        <w:tc>
          <w:tcPr/>
          <w:p>
            <w:pPr>
              <w:pStyle w:val="Compact"/>
              <w:keepNext/>
              <w:spacing w:after="20" w:before="20"/>
              <w:jc w:val="left"/>
            </w:pPr>
            <w:r>
              <w:rPr>
                <w:sz w:val="17"/>
              </w:rPr>
              <w:t xml:space="preserve">not modelled under load</w:t>
            </w:r>
          </w:p>
        </w:tc>
        <w:tc>
          <w:tcPr/>
          <w:p>
            <w:pPr>
              <w:pStyle w:val="Compact"/>
              <w:keepNext/>
              <w:spacing w:after="20" w:before="20"/>
              <w:jc w:val="left"/>
            </w:pPr>
            <w:r>
              <w:rPr>
                <w:sz w:val="17"/>
              </w:rPr>
              <w:t xml:space="preserve">Zero in the field-only model by construction</w:t>
            </w:r>
          </w:p>
        </w:tc>
      </w:tr>
      <w:tr>
        <w:trPr>
          <w:cantSplit/>
        </w:trPr>
        <w:tc>
          <w:tcPr/>
          <w:p>
            <w:pPr>
              <w:pStyle w:val="Compact"/>
              <w:spacing w:after="20" w:before="20"/>
              <w:jc w:val="left"/>
            </w:pPr>
            <w:r>
              <w:rPr>
                <w:sz w:val="17"/>
              </w:rPr>
              <w:t xml:space="preserve">Phase inductance</w:t>
            </w:r>
          </w:p>
        </w:tc>
        <w:tc>
          <w:tcPr/>
          <w:p>
            <w:pPr>
              <w:pStyle w:val="Compact"/>
              <w:spacing w:after="20" w:before="20"/>
              <w:jc w:val="left"/>
            </w:pPr>
            <w:r>
              <w:rPr>
                <w:sz w:val="17"/>
              </w:rPr>
              <w:t xml:space="preserve">about 25 µH (from the Maxwell single-board value and board coupling; measure it)</w:t>
            </w:r>
          </w:p>
        </w:tc>
        <w:tc>
          <w:tcPr/>
          <w:p>
            <w:pPr>
              <w:pStyle w:val="Compact"/>
              <w:spacing w:after="20" w:before="20"/>
              <w:jc w:val="left"/>
            </w:pPr>
            <w:r>
              <w:rPr>
                <w:sz w:val="17"/>
              </w:rPr>
              <w:t xml:space="preserve">ωL = 0.02 Ω at 1000 rpm, negligible against R; too small to filter PWM ripple (see the operating-points sheet)</w:t>
            </w:r>
          </w:p>
        </w:tc>
      </w:tr>
    </w:tbl>
    <w:p>
      <w:pPr>
        <w:pStyle w:val="CaptionedFigure"/>
        <w:spacing w:before="140"/>
      </w:pPr>
      <w:r>
        <w:drawing>
          <wp:inline>
            <wp:extent cx="5334000" cy="3576722"/>
            <wp:effectExtent b="0" l="0" r="0" t="0"/>
            <wp:docPr descr="Rev0 electromagnetic efficiency, winding at 60 °C" title="" id="37" name="Picture"/>
            <a:graphic>
              <a:graphicData uri="http://schemas.openxmlformats.org/drawingml/2006/picture">
                <pic:pic>
                  <pic:nvPicPr>
                    <pic:cNvPr descr="../pc0/fig5_efficiency_rev0.png" id="38" name="Picture"/>
                    <pic:cNvPicPr>
                      <a:picLocks noChangeArrowheads="1" noChangeAspect="1"/>
                    </pic:cNvPicPr>
                  </pic:nvPicPr>
                  <pic:blipFill>
                    <a:blip r:embed="rId36"/>
                    <a:stretch>
                      <a:fillRect/>
                    </a:stretch>
                  </pic:blipFill>
                  <pic:spPr bwMode="auto">
                    <a:xfrm>
                      <a:off x="0" y="0"/>
                      <a:ext cx="5334000" cy="3576722"/>
                    </a:xfrm>
                    <a:prstGeom prst="rect">
                      <a:avLst/>
                    </a:prstGeom>
                    <a:noFill/>
                    <a:ln w="9525">
                      <a:noFill/>
                      <a:headEnd/>
                      <a:tailEnd/>
                    </a:ln>
                  </pic:spPr>
                </pic:pic>
              </a:graphicData>
            </a:graphic>
          </wp:inline>
        </w:drawing>
      </w:r>
    </w:p>
    <w:p>
      <w:pPr>
        <w:pStyle w:val="ImageCaption"/>
      </w:pPr>
      <w:r>
        <w:t xml:space="preserve">Rev0 electromagnetic efficiency, winding at 60 °C</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cantSplit/>
        </w:trPr>
        <w:tc>
          <w:tcPr>
            <w:shd w:fill="DCE6F2" w:val="clear"/>
          </w:tcPr>
          <w:p>
            <w:pPr>
              <w:pStyle w:val="Compact"/>
              <w:keepNext/>
              <w:spacing w:after="20" w:before="20"/>
              <w:jc w:val="left"/>
            </w:pPr>
            <w:r>
              <w:rPr>
                <w:b/>
                <w:sz w:val="17"/>
              </w:rPr>
              <w:t xml:space="preserve">Speed</w:t>
            </w:r>
          </w:p>
        </w:tc>
        <w:tc>
          <w:tcPr>
            <w:shd w:fill="DCE6F2" w:val="clear"/>
          </w:tcPr>
          <w:p>
            <w:pPr>
              <w:pStyle w:val="Compact"/>
              <w:keepNext/>
              <w:spacing w:after="20" w:before="20"/>
              <w:jc w:val="left"/>
            </w:pPr>
            <w:r>
              <w:rPr>
                <w:b/>
                <w:sz w:val="17"/>
              </w:rPr>
              <w:t xml:space="preserve">0.5 A pk (13.9 mN·m)</w:t>
            </w:r>
          </w:p>
        </w:tc>
        <w:tc>
          <w:tcPr>
            <w:shd w:fill="DCE6F2" w:val="clear"/>
          </w:tcPr>
          <w:p>
            <w:pPr>
              <w:pStyle w:val="Compact"/>
              <w:keepNext/>
              <w:spacing w:after="20" w:before="20"/>
              <w:jc w:val="left"/>
            </w:pPr>
            <w:r>
              <w:rPr>
                <w:b/>
                <w:sz w:val="17"/>
              </w:rPr>
              <w:t xml:space="preserve">1.0 A pk (27.8 mN·m)</w:t>
            </w:r>
          </w:p>
        </w:tc>
        <w:tc>
          <w:tcPr>
            <w:shd w:fill="DCE6F2" w:val="clear"/>
          </w:tcPr>
          <w:p>
            <w:pPr>
              <w:pStyle w:val="Compact"/>
              <w:keepNext/>
              <w:spacing w:after="20" w:before="20"/>
              <w:jc w:val="left"/>
            </w:pPr>
            <w:r>
              <w:rPr>
                <w:b/>
                <w:sz w:val="17"/>
              </w:rPr>
              <w:t xml:space="preserve">1.5 A pk (41.7 mN·m)</w:t>
            </w:r>
          </w:p>
        </w:tc>
      </w:tr>
      <w:tr>
        <w:trPr>
          <w:cantSplit/>
        </w:trPr>
        <w:tc>
          <w:tcPr/>
          <w:p>
            <w:pPr>
              <w:pStyle w:val="Compact"/>
              <w:keepNext/>
              <w:spacing w:after="20" w:before="20"/>
              <w:jc w:val="left"/>
            </w:pPr>
            <w:r>
              <w:rPr>
                <w:sz w:val="17"/>
              </w:rPr>
              <w:t xml:space="preserve">500 rpm</w:t>
            </w:r>
          </w:p>
        </w:tc>
        <w:tc>
          <w:tcPr/>
          <w:p>
            <w:pPr>
              <w:pStyle w:val="Compact"/>
              <w:keepNext/>
              <w:spacing w:after="20" w:before="20"/>
              <w:jc w:val="left"/>
            </w:pPr>
            <w:r>
              <w:rPr>
                <w:sz w:val="17"/>
              </w:rPr>
              <w:t xml:space="preserve">47.2 %</w:t>
            </w:r>
          </w:p>
        </w:tc>
        <w:tc>
          <w:tcPr/>
          <w:p>
            <w:pPr>
              <w:pStyle w:val="Compact"/>
              <w:keepNext/>
              <w:spacing w:after="20" w:before="20"/>
              <w:jc w:val="left"/>
            </w:pPr>
            <w:r>
              <w:rPr>
                <w:sz w:val="17"/>
              </w:rPr>
              <w:t xml:space="preserve">31.0 %</w:t>
            </w:r>
          </w:p>
        </w:tc>
        <w:tc>
          <w:tcPr/>
          <w:p>
            <w:pPr>
              <w:pStyle w:val="Compact"/>
              <w:keepNext/>
              <w:spacing w:after="20" w:before="20"/>
              <w:jc w:val="left"/>
            </w:pPr>
            <w:r>
              <w:rPr>
                <w:sz w:val="17"/>
              </w:rPr>
              <w:t xml:space="preserve">23.0 %</w:t>
            </w:r>
          </w:p>
        </w:tc>
      </w:tr>
      <w:tr>
        <w:trPr>
          <w:cantSplit/>
        </w:trPr>
        <w:tc>
          <w:tcPr/>
          <w:p>
            <w:pPr>
              <w:pStyle w:val="Compact"/>
              <w:keepNext/>
              <w:spacing w:after="20" w:before="20"/>
              <w:jc w:val="left"/>
            </w:pPr>
            <w:r>
              <w:rPr>
                <w:sz w:val="17"/>
              </w:rPr>
              <w:t xml:space="preserve">1000 rpm</w:t>
            </w:r>
          </w:p>
        </w:tc>
        <w:tc>
          <w:tcPr/>
          <w:p>
            <w:pPr>
              <w:pStyle w:val="Compact"/>
              <w:keepNext/>
              <w:spacing w:after="20" w:before="20"/>
              <w:jc w:val="left"/>
            </w:pPr>
            <w:r>
              <w:rPr>
                <w:sz w:val="17"/>
              </w:rPr>
              <w:t xml:space="preserve">63.7 %</w:t>
            </w:r>
          </w:p>
        </w:tc>
        <w:tc>
          <w:tcPr/>
          <w:p>
            <w:pPr>
              <w:pStyle w:val="Compact"/>
              <w:keepNext/>
              <w:spacing w:after="20" w:before="20"/>
              <w:jc w:val="left"/>
            </w:pPr>
            <w:r>
              <w:rPr>
                <w:sz w:val="17"/>
              </w:rPr>
              <w:t xml:space="preserve">47.2 %</w:t>
            </w:r>
          </w:p>
        </w:tc>
        <w:tc>
          <w:tcPr/>
          <w:p>
            <w:pPr>
              <w:pStyle w:val="Compact"/>
              <w:keepNext/>
              <w:spacing w:after="20" w:before="20"/>
              <w:jc w:val="left"/>
            </w:pPr>
            <w:r>
              <w:rPr>
                <w:sz w:val="17"/>
              </w:rPr>
              <w:t xml:space="preserve">37.4 %</w:t>
            </w:r>
          </w:p>
        </w:tc>
      </w:tr>
      <w:tr>
        <w:trPr>
          <w:cantSplit/>
        </w:trPr>
        <w:tc>
          <w:tcPr/>
          <w:p>
            <w:pPr>
              <w:pStyle w:val="Compact"/>
              <w:spacing w:after="20" w:before="20"/>
              <w:jc w:val="left"/>
            </w:pPr>
            <w:r>
              <w:rPr>
                <w:sz w:val="17"/>
              </w:rPr>
              <w:t xml:space="preserve">2000 rpm</w:t>
            </w:r>
          </w:p>
        </w:tc>
        <w:tc>
          <w:tcPr/>
          <w:p>
            <w:pPr>
              <w:pStyle w:val="Compact"/>
              <w:spacing w:after="20" w:before="20"/>
              <w:jc w:val="left"/>
            </w:pPr>
            <w:r>
              <w:rPr>
                <w:sz w:val="17"/>
              </w:rPr>
              <w:t xml:space="preserve">76.6 %</w:t>
            </w:r>
          </w:p>
        </w:tc>
        <w:tc>
          <w:tcPr/>
          <w:p>
            <w:pPr>
              <w:pStyle w:val="Compact"/>
              <w:spacing w:after="20" w:before="20"/>
              <w:jc w:val="left"/>
            </w:pPr>
            <w:r>
              <w:rPr>
                <w:sz w:val="17"/>
              </w:rPr>
              <w:t xml:space="preserve">63.7 %</w:t>
            </w:r>
          </w:p>
        </w:tc>
        <w:tc>
          <w:tcPr/>
          <w:p>
            <w:pPr>
              <w:pStyle w:val="Compact"/>
              <w:spacing w:after="20" w:before="20"/>
              <w:jc w:val="left"/>
            </w:pPr>
            <w:r>
              <w:rPr>
                <w:sz w:val="17"/>
              </w:rPr>
              <w:t xml:space="preserve">54.2 %</w:t>
            </w:r>
          </w:p>
        </w:tc>
      </w:tr>
    </w:tbl>
    <w:p>
      <w:pPr>
        <w:pStyle w:val="BodyText"/>
        <w:spacing w:before="140"/>
      </w:pPr>
      <w:r>
        <w:t xml:space="preserve">These efficiencies are electromagnetic only. Bearing and windage loss are not modelled, and they will lower the measured shaft efficiency at these small power levels.</w:t>
      </w:r>
    </w:p>
    <w:p>
      <w:pPr>
        <w:pStyle w:val="BodyText"/>
      </w:pPr>
      <w:r>
        <w:t xml:space="preserve">Thermal limit: no thermal model of the as-built assembly exists yet. The earlier 1.75 A pk limit is withdrawn. It used the model resistance and an assumed acrylic hood with fans and aluminium end plates (Icepak, 8.75 K/W from the hottest board to air). A candidate thermal test point of</w:t>
      </w:r>
      <w:r>
        <w:t xml:space="preserve"> </w:t>
      </w:r>
      <w:r>
        <w:rPr>
          <w:bCs/>
          <w:b/>
        </w:rPr>
        <w:t xml:space="preserve">0.84 A pk</w:t>
      </w:r>
      <w:r>
        <w:t xml:space="preserve"> </w:t>
      </w:r>
      <w:r>
        <w:t xml:space="preserve">(about 23 mN·m) assumes a 60 °C board limit and a pessimistic 15 K/W. It is a candidate for supervised testing, not an approved continuous rating, until the holder material is confirmed and the temperature rise is measured. N35 magnets are limited to 80 °C.</w:t>
      </w:r>
    </w:p>
    <w:bookmarkEnd w:id="39"/>
    <w:bookmarkStart w:id="40" w:name="X060d849a1bc9f5db1e191937107f3d85e17ff4f"/>
    <w:p>
      <w:pPr>
        <w:pStyle w:val="Heading1"/>
      </w:pPr>
      <w:r>
        <w:t xml:space="preserve">Equivalent-coil model, limitations and open items</w:t>
      </w:r>
    </w:p>
    <w:p>
      <w:pPr>
        <w:pStyle w:val="FirstParagraph"/>
      </w:pPr>
      <w:r>
        <w:t xml:space="preserve">The equivalent-coil model is calibrated, not independently predictive. Each phase per board is 8 stranded sector coils on two layer slabs, which keeps the angular and radial position of the coil sides, the board heights and the phase polarity. With geometric turns (Ncoil = 2.006) it gives K ≈ 23.0 mN·m/A, 24 % high. One factor of 0.809 (Ncoil = 1.623) matches the full-motor value, so agreement after calibration is not a further validation of the absolute torque. It is useful for fast sensitivity studies (geometry changes, Rev1-S). After calibration:</w:t>
      </w:r>
    </w:p>
    <w:p>
      <w:pPr>
        <w:numPr>
          <w:ilvl w:val="0"/>
          <w:numId w:val="1004"/>
        </w:numPr>
        <w:pStyle w:val="Compact"/>
      </w:pPr>
      <w:r>
        <w:t xml:space="preserve">every board agrees within about ±4 % (spread 7.1 %);</w:t>
      </w:r>
    </w:p>
    <w:p>
      <w:pPr>
        <w:numPr>
          <w:ilvl w:val="0"/>
          <w:numId w:val="1004"/>
        </w:numPr>
        <w:pStyle w:val="Compact"/>
      </w:pPr>
      <w:r>
        <w:t xml:space="preserve">the phases agree within 1.1 %;</w:t>
      </w:r>
    </w:p>
    <w:p>
      <w:pPr>
        <w:numPr>
          <w:ilvl w:val="0"/>
          <w:numId w:val="1004"/>
        </w:numPr>
        <w:pStyle w:val="Compact"/>
      </w:pPr>
      <w:r>
        <w:t xml:space="preserve">the phase angle is within 0.4° and the phase displacement is 120.0°.</w:t>
      </w:r>
    </w:p>
    <w:p>
      <w:pPr>
        <w:pStyle w:val="FirstParagraph"/>
      </w:pPr>
      <w:r>
        <w:t xml:space="preserve">Copper resistance and loss are handled outside the field model, with no bulk conducting block.</w:t>
      </w:r>
    </w:p>
    <w:p>
      <w:pPr>
        <w:pStyle w:val="BodyText"/>
      </w:pPr>
      <w:r>
        <w:t xml:space="preserve">Limitations:</w:t>
      </w:r>
    </w:p>
    <w:p>
      <w:pPr>
        <w:numPr>
          <w:ilvl w:val="0"/>
          <w:numId w:val="1005"/>
        </w:numPr>
        <w:pStyle w:val="Compact"/>
      </w:pPr>
      <w:r>
        <w:rPr>
          <w:bCs/>
          <w:b/>
        </w:rPr>
        <w:t xml:space="preserve">Backplate:</w:t>
      </w:r>
      <w:r>
        <w:t xml:space="preserve"> </w:t>
      </w:r>
      <w:r>
        <w:t xml:space="preserve">modelled at OD 86 / ID 19 mm, but the hardware is 80 / 25 mm. A correction run is pending; the effect is expected but not shown to be small.</w:t>
      </w:r>
    </w:p>
    <w:p>
      <w:pPr>
        <w:numPr>
          <w:ilvl w:val="0"/>
          <w:numId w:val="1005"/>
        </w:numPr>
        <w:pStyle w:val="Compact"/>
      </w:pPr>
      <w:r>
        <w:rPr>
          <w:bCs/>
          <w:b/>
        </w:rPr>
        <w:t xml:space="preserve">Stack spacing:</w:t>
      </w:r>
      <w:r>
        <w:t xml:space="preserve"> </w:t>
      </w:r>
      <w:r>
        <w:t xml:space="preserve">modelled with a 1.02 mm board pitch, giving a 5.10 mm stack. The assembled stack measured 5.1 mm maximum, so the spacing matches the model.</w:t>
      </w:r>
    </w:p>
    <w:p>
      <w:pPr>
        <w:numPr>
          <w:ilvl w:val="0"/>
          <w:numId w:val="1005"/>
        </w:numPr>
        <w:pStyle w:val="Compact"/>
      </w:pPr>
      <w:r>
        <w:rPr>
          <w:bCs/>
          <w:b/>
        </w:rPr>
        <w:t xml:space="preserve">Air gap:</w:t>
      </w:r>
      <w:r>
        <w:t xml:space="preserve"> </w:t>
      </w:r>
      <w:r>
        <w:t xml:space="preserve">a 1.0 mm target, unmeasured. Each extra 0.25 mm lowers K by about 7 %.</w:t>
      </w:r>
    </w:p>
    <w:p>
      <w:pPr>
        <w:numPr>
          <w:ilvl w:val="0"/>
          <w:numId w:val="1005"/>
        </w:numPr>
        <w:pStyle w:val="Compact"/>
      </w:pPr>
      <w:r>
        <w:rPr>
          <w:bCs/>
          <w:b/>
        </w:rPr>
        <w:t xml:space="preserve">Resistance:</w:t>
      </w:r>
      <w:r>
        <w:t xml:space="preserve"> </w:t>
      </w:r>
      <w:r>
        <w:t xml:space="preserve">measured on both stators (1.87–1.90 Ω), temperature not recorded; contact and copper parts not separated.</w:t>
      </w:r>
    </w:p>
    <w:p>
      <w:pPr>
        <w:numPr>
          <w:ilvl w:val="0"/>
          <w:numId w:val="1005"/>
        </w:numPr>
        <w:pStyle w:val="Compact"/>
      </w:pPr>
      <w:r>
        <w:rPr>
          <w:bCs/>
          <w:b/>
        </w:rPr>
        <w:t xml:space="preserve">Rotating model:</w:t>
      </w:r>
      <w:r>
        <w:t xml:space="preserve"> </w:t>
      </w:r>
      <w:r>
        <w:t xml:space="preserve">field only. The loaded waveform is reconstructed with ideal sinusoidal currents. Armature reaction is neglected, which is valid for a coreless stator (mT armature field against 0.2–0.4 T from the magnets). Inverter ripple losses are not included.</w:t>
      </w:r>
    </w:p>
    <w:p>
      <w:pPr>
        <w:numPr>
          <w:ilvl w:val="0"/>
          <w:numId w:val="1005"/>
        </w:numPr>
        <w:pStyle w:val="Compact"/>
      </w:pPr>
      <w:r>
        <w:rPr>
          <w:bCs/>
          <w:b/>
        </w:rPr>
        <w:t xml:space="preserve">Eddy-loss estimate:</w:t>
      </w:r>
      <w:r>
        <w:t xml:space="preserve"> </w:t>
      </w:r>
      <w:r>
        <w:t xml:space="preserve">samples B at track mid-points and may be 10–20 % high. Pads, pours and vias are not included.</w:t>
      </w:r>
    </w:p>
    <w:p>
      <w:pPr>
        <w:numPr>
          <w:ilvl w:val="0"/>
          <w:numId w:val="1005"/>
        </w:numPr>
        <w:pStyle w:val="Compact"/>
      </w:pPr>
      <w:r>
        <w:rPr>
          <w:bCs/>
          <w:b/>
        </w:rPr>
        <w:t xml:space="preserve">Thermal:</w:t>
      </w:r>
      <w:r>
        <w:t xml:space="preserve"> </w:t>
      </w:r>
      <w:r>
        <w:t xml:space="preserve">no model of the as-built assembly yet.</w:t>
      </w:r>
    </w:p>
    <w:p>
      <w:pPr>
        <w:pStyle w:val="FirstParagraph"/>
      </w:pPr>
      <w:r>
        <w:rPr>
          <w:bCs/>
          <w:b/>
        </w:rPr>
        <w:t xml:space="preserve">Expected simulation-to-hardware gap.</w:t>
      </w:r>
      <w:r>
        <w:t xml:space="preserve"> </w:t>
      </w:r>
      <w:r>
        <w:t xml:space="preserve">The models were built before the hardware was finalised. The prototype differs in backplate size (80 / 25 mm against 86 / 19 mm), and possibly in stack spacing and air gap. Measured torque and back-EMF are therefore expected to differ from these predictions by more than the 0.03–5 % agreement between the simulation methods. The sensitivities above give the likely size: about 7 % per extra 0.25 mm of air gap and about 4 % per 0.1 mm of inter-board gap. The backplate change is expected to be smaller but is not quantified.</w:t>
      </w:r>
    </w:p>
    <w:p>
      <w:pPr>
        <w:pStyle w:val="BodyText"/>
      </w:pPr>
      <w:r>
        <w:rPr>
          <w:bCs/>
          <w:b/>
        </w:rPr>
        <w:t xml:space="preserve">Recommendation.</w:t>
      </w:r>
      <w:r>
        <w:t xml:space="preserve"> </w:t>
      </w:r>
      <w:r>
        <w:t xml:space="preserve">In future work, build and measure the hardware first: backplate, holders, stack thickness and assembled air gap. Then rebuild the simulation model to those measured dimensions before testing. The equivalent-coil model, already calibrated here, is the fast route for that rebuild. Simulation and test would then compare like with like, and the remaining differences would show modelling error rather than geometry mismatch.</w:t>
      </w:r>
    </w:p>
    <w:bookmarkEnd w:id="40"/>
    <w:sectPr>
      <w:footerReference w:type="default" r:id="rId9"/>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1"/>
    </w:rPr>
  </w:style>
  <w:style w:styleId="BodyText" w:type="paragraph">
    <w:name w:val="Body Text"/>
    <w:basedOn w:val="Normal"/>
    <w:link w:val="BodyTextChar"/>
    <w:pPr>
      <w:spacing w:after="100" w:before="0" w:line="259" w:lineRule="auto"/>
      <w:jc w:val="both"/>
    </w:pPr>
    <w:qFormat/>
    <w:rPr>
      <w:rFonts w:ascii="Calibri" w:hAnsi="Calibri" w:eastAsia="Calibri"/>
      <w:sz w:val="21"/>
    </w:rPr>
  </w:style>
  <w:style w:customStyle="1" w:styleId="FirstParagraph" w:type="paragraph">
    <w:name w:val="First Paragraph"/>
    <w:basedOn w:val="BodyText"/>
    <w:next w:val="BodyText"/>
    <w:qFormat/>
    <w:pPr>
      <w:spacing w:after="100" w:before="0" w:line="259" w:lineRule="auto"/>
      <w:jc w:val="both"/>
    </w:pPr>
    <w:rPr>
      <w:rFonts w:ascii="Calibri" w:hAnsi="Calibri" w:eastAsia="Calibri"/>
      <w:sz w:val="21"/>
    </w:rPr>
  </w:style>
  <w:style w:customStyle="1" w:styleId="Compact" w:type="paragraph">
    <w:name w:val="Compact"/>
    <w:basedOn w:val="BodyText"/>
    <w:qFormat/>
    <w:pPr>
      <w:spacing w:after="36" w:before="36"/>
    </w:pPr>
    <w:rPr>
      <w:rFonts w:ascii="Calibri" w:hAnsi="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eastAsia="Calibri"/>
      <w:b/>
      <w:bCs/>
      <w:color w:val="1F3864"/>
      <w:sz w:val="36"/>
      <w:szCs w:val="36"/>
    </w:rPr>
  </w:style>
  <w:style w:styleId="Subtitle" w:type="paragraph">
    <w:name w:val="Subtitle"/>
    <w:basedOn w:val="Title"/>
    <w:next w:val="BodyText"/>
    <w:qFormat/>
    <w:pPr>
      <w:keepNext/>
      <w:keepLines/>
      <w:spacing w:after="240" w:before="240"/>
      <w:jc w:val="center"/>
    </w:pPr>
    <w:rPr>
      <w:rFonts w:ascii="Calibri" w:hAnsi="Calibri" w:eastAsia="Calibri"/>
      <w:b w:val="0"/>
      <w:color w:val="1F3864"/>
      <w:sz w:val="24"/>
      <w:szCs w:val="30"/>
    </w:rPr>
  </w:style>
  <w:style w:customStyle="1" w:styleId="Author" w:type="paragraph">
    <w:name w:val="Author"/>
    <w:next w:val="BodyText"/>
    <w:qFormat/>
    <w:pPr>
      <w:keepNext/>
      <w:keepLines/>
      <w:jc w:val="center"/>
    </w:pPr>
    <w:rPr>
      <w:rFonts w:ascii="Calibri" w:hAnsi="Calibri" w:eastAsia="Calibri"/>
      <w:sz w:val="21"/>
    </w:rPr>
  </w:style>
  <w:style w:styleId="Date" w:type="paragraph">
    <w:name w:val="Date"/>
    <w:next w:val="BodyText"/>
    <w:qFormat/>
    <w:pPr>
      <w:keepNext/>
      <w:keepLines/>
      <w:jc w:val="center"/>
    </w:pPr>
    <w:rPr>
      <w:rFonts w:ascii="Calibri" w:hAnsi="Calibri" w:eastAsia="Calibri"/>
      <w:sz w:val="21"/>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00"/>
      <w:outlineLvl w:val="0"/>
    </w:pPr>
    <w:rPr>
      <w:rFonts w:asciiTheme="majorHAnsi" w:cstheme="majorBidi" w:eastAsiaTheme="majorEastAsia" w:hAnsiTheme="majorHAnsi" w:ascii="Calibri" w:hAnsi="Calibri" w:eastAsia="Calibri"/>
      <w:b/>
      <w:bCs/>
      <w:color w:val="1F3864"/>
      <w:sz w:val="28"/>
      <w:szCs w:val="32"/>
    </w:rPr>
  </w:style>
  <w:style w:styleId="Heading2" w:type="paragraph">
    <w:name w:val="Heading 2"/>
    <w:basedOn w:val="Normal"/>
    <w:next w:val="BodyText"/>
    <w:uiPriority w:val="9"/>
    <w:unhideWhenUsed/>
    <w:qFormat/>
    <w:pPr>
      <w:keepNext/>
      <w:keepLines/>
      <w:spacing w:after="80" w:before="200"/>
      <w:outlineLvl w:val="1"/>
    </w:pPr>
    <w:rPr>
      <w:rFonts w:asciiTheme="majorHAnsi" w:cstheme="majorBidi" w:eastAsiaTheme="majorEastAsia" w:hAnsiTheme="majorHAnsi" w:ascii="Calibri" w:hAnsi="Calibri" w:eastAsia="Calibri"/>
      <w:b/>
      <w:bCs/>
      <w:color w:val="2E5597"/>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Calibri" w:hAnsi="Calibri" w:eastAsia="Calibri"/>
      <w:i/>
      <w:sz w:val="18"/>
    </w:rPr>
  </w:style>
  <w:style w:customStyle="1" w:styleId="ImageCaption" w:type="paragraph">
    <w:name w:val="Image Caption"/>
    <w:basedOn w:val="Caption"/>
    <w:rPr>
      <w:rFonts w:ascii="Calibri" w:hAnsi="Calibri" w:eastAsia="Calibri"/>
      <w:i/>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25" Type="http://schemas.openxmlformats.org/officeDocument/2006/relationships/image" Target="media/rId25.png"/><Relationship Id="rId29" Type="http://schemas.openxmlformats.org/officeDocument/2006/relationships/image" Target="media/rId29.png"/><Relationship Id="rId32" Type="http://schemas.openxmlformats.org/officeDocument/2006/relationships/image" Target="media/rId32.png"/><Relationship Id="rId36" Type="http://schemas.openxmlformats.org/officeDocument/2006/relationships/image" Target="media/rId3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Rev0 Maxwell Technical Report</dc:title>
  <dc:creator/>
  <cp:keywords/>
  <dcterms:created xsi:type="dcterms:W3CDTF">2026-10-19T08:19:30Z</dcterms:created>
  <dcterms:modified xsi:type="dcterms:W3CDTF">2026-10-19T08:19:30Z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AK-07 PCB coreless axial-flux motor — Olwethu Khanzi — 17 October 2026, revised 19 October 2026 (measured resistance of both stators, inductance, measured stack)</vt:lpwstr>
  </property>
</Properties>
</file>