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Rev1-S</w:t>
      </w:r>
      <w:r>
        <w:t xml:space="preserve"> </w:t>
      </w:r>
      <w:r>
        <w:t xml:space="preserve">Maxwell</w:t>
      </w:r>
      <w:r>
        <w:t xml:space="preserve"> </w:t>
      </w:r>
      <w:r>
        <w:t xml:space="preserve">Technical</w:t>
      </w:r>
      <w:r>
        <w:t xml:space="preserve"> </w:t>
      </w:r>
      <w:r>
        <w:t xml:space="preserve">Report</w:t>
      </w:r>
    </w:p>
    <w:p>
      <w:pPr>
        <w:pStyle w:val="Subtitle"/>
      </w:pPr>
      <w:r>
        <w:t xml:space="preserve">AK-07</w:t>
      </w:r>
      <w:r>
        <w:t xml:space="preserve"> </w:t>
      </w:r>
      <w:r>
        <w:t xml:space="preserve">PCB</w:t>
      </w:r>
      <w:r>
        <w:t xml:space="preserve"> </w:t>
      </w:r>
      <w:r>
        <w:t xml:space="preserve">coreless</w:t>
      </w:r>
      <w:r>
        <w:t xml:space="preserve"> </w:t>
      </w:r>
      <w:r>
        <w:t xml:space="preserve">axial-flux</w:t>
      </w:r>
      <w:r>
        <w:t xml:space="preserve"> </w:t>
      </w:r>
      <w:r>
        <w:t xml:space="preserve">motor</w:t>
      </w:r>
      <w:r>
        <w:t xml:space="preserve"> </w:t>
      </w:r>
      <w:r>
        <w:t xml:space="preserve">—</w:t>
      </w:r>
      <w:r>
        <w:t xml:space="preserve"> </w:t>
      </w:r>
      <w:r>
        <w:t xml:space="preserve">Olwethu</w:t>
      </w:r>
      <w:r>
        <w:t xml:space="preserve"> </w:t>
      </w:r>
      <w:r>
        <w:t xml:space="preserve">Khanzi</w:t>
      </w:r>
      <w:r>
        <w:t xml:space="preserve"> </w:t>
      </w:r>
      <w:r>
        <w:t xml:space="preserve">—</w:t>
      </w:r>
      <w:r>
        <w:t xml:space="preserve"> </w:t>
      </w:r>
      <w:r>
        <w:t xml:space="preserve">19</w:t>
      </w:r>
      <w:r>
        <w:t xml:space="preserve"> </w:t>
      </w:r>
      <w:r>
        <w:t xml:space="preserve">October</w:t>
      </w:r>
      <w:r>
        <w:t xml:space="preserve"> </w:t>
      </w:r>
      <w:r>
        <w:t xml:space="preserve">2026,</w:t>
      </w:r>
      <w:r>
        <w:t xml:space="preserve"> </w:t>
      </w:r>
      <w:r>
        <w:t xml:space="preserve">rev.</w:t>
      </w:r>
      <w:r>
        <w:t xml:space="preserve"> </w:t>
      </w:r>
      <w:r>
        <w:t xml:space="preserve">2</w:t>
      </w:r>
      <w:r>
        <w:t xml:space="preserve"> </w:t>
      </w:r>
      <w:r>
        <w:t xml:space="preserve">(measured</w:t>
      </w:r>
      <w:r>
        <w:t xml:space="preserve"> </w:t>
      </w:r>
      <w:r>
        <w:t xml:space="preserve">resistance</w:t>
      </w:r>
      <w:r>
        <w:t xml:space="preserve"> </w:t>
      </w:r>
      <w:r>
        <w:t xml:space="preserve">of</w:t>
      </w:r>
      <w:r>
        <w:t xml:space="preserve"> </w:t>
      </w:r>
      <w:r>
        <w:t xml:space="preserve">both</w:t>
      </w:r>
      <w:r>
        <w:t xml:space="preserve"> </w:t>
      </w:r>
      <w:r>
        <w:t xml:space="preserve">stators,</w:t>
      </w:r>
      <w:r>
        <w:t xml:space="preserve"> </w:t>
      </w:r>
      <w:r>
        <w:t xml:space="preserve">inductance,</w:t>
      </w:r>
      <w:r>
        <w:t xml:space="preserve"> </w:t>
      </w:r>
      <w:r>
        <w:t xml:space="preserve">measured</w:t>
      </w:r>
      <w:r>
        <w:t xml:space="preserve"> </w:t>
      </w:r>
      <w:r>
        <w:t xml:space="preserve">stack)</w:t>
      </w:r>
    </w:p>
    <w:p>
      <w:pPr>
        <w:pStyle w:val="FirstParagraph"/>
      </w:pPr>
      <w:r>
        <w:t xml:space="preserve">Rev1-S (two 5-board stators, two 16-magnet rotors, S1–R1–S2–R2) produces</w:t>
      </w:r>
      <w:r>
        <w:t xml:space="preserve"> </w:t>
      </w:r>
      <w:r>
        <w:rPr>
          <w:bCs/>
          <w:b/>
        </w:rPr>
        <w:t xml:space="preserve">59.2 mN·m per amp of peak phase current</w:t>
      </w:r>
      <w:r>
        <w:t xml:space="preserve"> </w:t>
      </w:r>
      <w:r>
        <w:t xml:space="preserve">(83.8 mN·m per amp rms) with the stators in series. It has</w:t>
      </w:r>
      <w:r>
        <w:t xml:space="preserve"> </w:t>
      </w:r>
      <w:r>
        <w:rPr>
          <w:bCs/>
          <w:b/>
        </w:rPr>
        <w:t xml:space="preserve">5.07 V rms line-to-line back-EMF at 1000 rpm</w:t>
      </w:r>
      <w:r>
        <w:t xml:space="preserve">, 2.13 × Rev0, in the modelled geometry. Two independent routes give the torque constant within 0.5 %. The Rev1-S full-motor solve was lost to the disk quota, so the Rev0 full-motor result is the anchor. As with Rev0, the model geometry is not yet matched to the hardware, so these are predictions for the test bench, not a rating.</w:t>
      </w:r>
    </w:p>
    <w:bookmarkStart w:id="20" w:name="machine-and-simulation-chain"/>
    <w:p>
      <w:pPr>
        <w:pStyle w:val="Heading1"/>
      </w:pPr>
      <w:r>
        <w:t xml:space="preserve">Machine and simulation chain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cantSplit/>
        </w:trPr>
        <w:tc>
          <w:tcPr>
            <w:shd w:fill="DCE6F2" w:val="clear"/>
          </w:tcPr>
          <w:p>
            <w:pPr>
              <w:pStyle w:val="Compact"/>
              <w:keepNext/>
              <w:spacing w:after="20" w:before="20"/>
              <w:jc w:val="left"/>
            </w:pPr>
            <w:r>
              <w:rPr>
                <w:b/>
                <w:sz w:val="17"/>
              </w:rPr>
              <w:t xml:space="preserve">Item</w:t>
            </w:r>
          </w:p>
        </w:tc>
        <w:tc>
          <w:tcPr>
            <w:shd w:fill="DCE6F2" w:val="clear"/>
          </w:tcPr>
          <w:p>
            <w:pPr>
              <w:pStyle w:val="Compact"/>
              <w:keepNext/>
              <w:spacing w:after="20" w:before="20"/>
              <w:jc w:val="left"/>
            </w:pPr>
            <w:r>
              <w:rPr>
                <w:b/>
                <w:sz w:val="17"/>
              </w:rPr>
              <w:t xml:space="preserve">Value used in the models</w:t>
            </w:r>
          </w:p>
        </w:tc>
      </w:tr>
      <w:tr>
        <w:trPr>
          <w:cantSplit/>
        </w:trPr>
        <w:tc>
          <w:tcPr/>
          <w:p>
            <w:pPr>
              <w:pStyle w:val="Compact"/>
              <w:keepNext/>
              <w:spacing w:after="20" w:before="20"/>
              <w:jc w:val="left"/>
            </w:pPr>
            <w:r>
              <w:rPr>
                <w:sz w:val="17"/>
              </w:rPr>
              <w:t xml:space="preserve">Stack order</w:t>
            </w:r>
          </w:p>
        </w:tc>
        <w:tc>
          <w:tcPr/>
          <w:p>
            <w:pPr>
              <w:pStyle w:val="Compact"/>
              <w:keepNext/>
              <w:spacing w:after="20" w:before="20"/>
              <w:jc w:val="left"/>
            </w:pPr>
            <w:r>
              <w:rPr>
                <w:sz w:val="17"/>
              </w:rPr>
              <w:t xml:space="preserve">S1 – R1 – S2 – R2 (two single-sided rotors on one shaft, aligned)</w:t>
            </w:r>
          </w:p>
        </w:tc>
      </w:tr>
      <w:tr>
        <w:trPr>
          <w:cantSplit/>
        </w:trPr>
        <w:tc>
          <w:tcPr/>
          <w:p>
            <w:pPr>
              <w:pStyle w:val="Compact"/>
              <w:keepNext/>
              <w:spacing w:after="20" w:before="20"/>
              <w:jc w:val="left"/>
            </w:pPr>
            <w:r>
              <w:rPr>
                <w:sz w:val="17"/>
              </w:rPr>
              <w:t xml:space="preserve">Stators</w:t>
            </w:r>
          </w:p>
        </w:tc>
        <w:tc>
          <w:tcPr/>
          <w:p>
            <w:pPr>
              <w:pStyle w:val="Compact"/>
              <w:keepNext/>
              <w:spacing w:after="20" w:before="20"/>
              <w:jc w:val="left"/>
            </w:pPr>
            <w:r>
              <w:rPr>
                <w:sz w:val="17"/>
              </w:rPr>
              <w:t xml:space="preserve">2 × 5 boards, identical to Rev0 (6 layers, 1 oz, pitch 1.02 mm)</w:t>
            </w:r>
          </w:p>
        </w:tc>
      </w:tr>
      <w:tr>
        <w:trPr>
          <w:cantSplit/>
        </w:trPr>
        <w:tc>
          <w:tcPr/>
          <w:p>
            <w:pPr>
              <w:pStyle w:val="Compact"/>
              <w:keepNext/>
              <w:spacing w:after="20" w:before="20"/>
              <w:jc w:val="left"/>
            </w:pPr>
            <w:r>
              <w:rPr>
                <w:sz w:val="17"/>
              </w:rPr>
              <w:t xml:space="preserve">Rotors</w:t>
            </w:r>
          </w:p>
        </w:tc>
        <w:tc>
          <w:tcPr/>
          <w:p>
            <w:pPr>
              <w:pStyle w:val="Compact"/>
              <w:keepNext/>
              <w:spacing w:after="20" w:before="20"/>
              <w:jc w:val="left"/>
            </w:pPr>
            <w:r>
              <w:rPr>
                <w:sz w:val="17"/>
              </w:rPr>
              <w:t xml:space="preserve">2 × 16 N35 magnets, 20 × 6 × 2 mm at 28 mm radius; 2 mm steel 1010 backplate each, OD 86 / ID 19 mm in the model</w:t>
            </w:r>
          </w:p>
        </w:tc>
      </w:tr>
      <w:tr>
        <w:trPr>
          <w:cantSplit/>
        </w:trPr>
        <w:tc>
          <w:tcPr/>
          <w:p>
            <w:pPr>
              <w:pStyle w:val="Compact"/>
              <w:keepNext/>
              <w:spacing w:after="20" w:before="20"/>
              <w:jc w:val="left"/>
            </w:pPr>
            <w:r>
              <w:rPr>
                <w:sz w:val="17"/>
              </w:rPr>
              <w:t xml:space="preserve">S1 environment</w:t>
            </w:r>
          </w:p>
        </w:tc>
        <w:tc>
          <w:tcPr/>
          <w:p>
            <w:pPr>
              <w:pStyle w:val="Compact"/>
              <w:keepNext/>
              <w:spacing w:after="20" w:before="20"/>
              <w:jc w:val="left"/>
            </w:pPr>
            <w:r>
              <w:rPr>
                <w:sz w:val="17"/>
              </w:rPr>
              <w:t xml:space="preserve">1.0 mm gap to R1’s magnets, nothing behind it (same as Rev0)</w:t>
            </w:r>
          </w:p>
        </w:tc>
      </w:tr>
      <w:tr>
        <w:trPr>
          <w:cantSplit/>
        </w:trPr>
        <w:tc>
          <w:tcPr/>
          <w:p>
            <w:pPr>
              <w:pStyle w:val="Compact"/>
              <w:keepNext/>
              <w:spacing w:after="20" w:before="20"/>
              <w:jc w:val="left"/>
            </w:pPr>
            <w:r>
              <w:rPr>
                <w:sz w:val="17"/>
              </w:rPr>
              <w:t xml:space="preserve">S2 environment</w:t>
            </w:r>
          </w:p>
        </w:tc>
        <w:tc>
          <w:tcPr/>
          <w:p>
            <w:pPr>
              <w:pStyle w:val="Compact"/>
              <w:keepNext/>
              <w:spacing w:after="20" w:before="20"/>
              <w:jc w:val="left"/>
            </w:pPr>
            <w:r>
              <w:rPr>
                <w:sz w:val="17"/>
              </w:rPr>
              <w:t xml:space="preserve">1.0 mm gap to R2’s magnets on one side; R1’s bare steel backplate 1.0 mm (assumed) behind board 1 on the other</w:t>
            </w:r>
          </w:p>
        </w:tc>
      </w:tr>
      <w:tr>
        <w:trPr>
          <w:cantSplit/>
        </w:trPr>
        <w:tc>
          <w:tcPr/>
          <w:p>
            <w:pPr>
              <w:pStyle w:val="Compact"/>
              <w:spacing w:after="20" w:before="20"/>
              <w:jc w:val="left"/>
            </w:pPr>
            <w:r>
              <w:rPr>
                <w:sz w:val="17"/>
              </w:rPr>
              <w:t xml:space="preserve">Winding connection in the models</w:t>
            </w:r>
          </w:p>
        </w:tc>
        <w:tc>
          <w:tcPr/>
          <w:p>
            <w:pPr>
              <w:pStyle w:val="Compact"/>
              <w:spacing w:after="20" w:before="20"/>
              <w:jc w:val="left"/>
            </w:pPr>
            <w:r>
              <w:rPr>
                <w:sz w:val="17"/>
              </w:rPr>
              <w:t xml:space="preserve">Phase A of S1 in series with phase A of S2 (likewise B, C); parallel also assessed</w:t>
            </w:r>
          </w:p>
        </w:tc>
      </w:tr>
    </w:tbl>
    <w:p>
      <w:pPr>
        <w:pStyle w:val="BodyText"/>
        <w:spacing w:before="140"/>
      </w:pPr>
      <w:r>
        <w:t xml:space="preserve">Models used:</w:t>
      </w:r>
    </w:p>
    <w:p>
      <w:pPr>
        <w:numPr>
          <w:ilvl w:val="0"/>
          <w:numId w:val="1001"/>
        </w:numPr>
        <w:pStyle w:val="Compact"/>
      </w:pPr>
      <w:r>
        <w:rPr>
          <w:bCs/>
          <w:b/>
        </w:rPr>
        <w:t xml:space="preserve">Board-by-board detailed FEM:</w:t>
      </w:r>
      <w:r>
        <w:t xml:space="preserve"> </w:t>
      </w:r>
      <w:r>
        <w:t xml:space="preserve">S2’s five boards solved one at a time in their real environment; S1 taken as the Rev0 stack, which the full-motor Rev0 solve confirmed.</w:t>
      </w:r>
    </w:p>
    <w:p>
      <w:pPr>
        <w:numPr>
          <w:ilvl w:val="0"/>
          <w:numId w:val="1001"/>
        </w:numPr>
        <w:pStyle w:val="Compact"/>
      </w:pPr>
      <w:r>
        <w:rPr>
          <w:bCs/>
          <w:b/>
        </w:rPr>
        <w:t xml:space="preserve">Field map:</w:t>
      </w:r>
      <w:r>
        <w:t xml:space="preserve"> </w:t>
      </w:r>
      <w:r>
        <w:t xml:space="preserve">magnets and steel of the whole Rev1-S machine, B on the trace centre-lines.</w:t>
      </w:r>
    </w:p>
    <w:p>
      <w:pPr>
        <w:numPr>
          <w:ilvl w:val="0"/>
          <w:numId w:val="1001"/>
        </w:numPr>
        <w:pStyle w:val="Compact"/>
      </w:pPr>
      <w:r>
        <w:rPr>
          <w:bCs/>
          <w:b/>
        </w:rPr>
        <w:t xml:space="preserve">Equivalent-coil model (EQ):</w:t>
      </w:r>
      <w:r>
        <w:t xml:space="preserve"> </w:t>
      </w:r>
      <w:r>
        <w:t xml:space="preserve">all 10 boards, 3 phases, 8 rotor angles. The 8th angle was filled from the 7 solved ones by half-wave antisymmetry; the solved pairs obey it to 0.08 mN·m out of 7.3 mN·m.</w:t>
      </w:r>
    </w:p>
    <w:p>
      <w:pPr>
        <w:numPr>
          <w:ilvl w:val="0"/>
          <w:numId w:val="1001"/>
        </w:numPr>
        <w:pStyle w:val="Compact"/>
      </w:pPr>
      <w:r>
        <w:rPr>
          <w:bCs/>
          <w:b/>
        </w:rPr>
        <w:t xml:space="preserve">Rotating field-only transient (FMROT):</w:t>
      </w:r>
      <w:r>
        <w:t xml:space="preserve"> </w:t>
      </w:r>
      <w:r>
        <w:t xml:space="preserve">both rotors turning at 1000 rpm through one electrical period in 24 steps; two rotating bands; 32 cores, 122 GB.</w:t>
      </w:r>
    </w:p>
    <w:p>
      <w:pPr>
        <w:pStyle w:val="FirstParagraph"/>
      </w:pPr>
      <w:r>
        <w:t xml:space="preserve">The full-motor detailed static solve of Rev1-S ran for 47 h and was stopped by the 50 GB scratch quota before finishing one angle. It was not repeated.</w:t>
      </w:r>
    </w:p>
    <w:bookmarkEnd w:id="20"/>
    <w:bookmarkStart w:id="21" w:name="torque-constant"/>
    <w:p>
      <w:pPr>
        <w:pStyle w:val="Heading1"/>
      </w:pPr>
      <w:r>
        <w:t xml:space="preserve">Torque constant</w:t>
      </w:r>
    </w:p>
    <w:p>
      <w:pPr>
        <w:pStyle w:val="FirstParagraph"/>
      </w:pPr>
      <w:r>
        <w:t xml:space="preserve">The board-by-board sum gives K = 39.50 mN·m/A. The equivalent-coil model, calibrated on Rev0 alone and not refitted to Rev1-S, gives 39.30 mN·m/A, 0.5 % lower.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fill="DCE6F2" w:val="clear"/>
          </w:tcPr>
          <w:p>
            <w:pPr>
              <w:pStyle w:val="Compact"/>
              <w:keepNext/>
              <w:spacing w:after="20" w:before="20"/>
              <w:jc w:val="left"/>
            </w:pPr>
            <w:r>
              <w:rPr>
                <w:b/>
                <w:sz w:val="17"/>
              </w:rPr>
              <w:t xml:space="preserve">Method</w:t>
            </w:r>
          </w:p>
        </w:tc>
        <w:tc>
          <w:tcPr>
            <w:shd w:fill="DCE6F2" w:val="clear"/>
          </w:tcPr>
          <w:p>
            <w:pPr>
              <w:pStyle w:val="Compact"/>
              <w:keepNext/>
              <w:spacing w:after="20" w:before="20"/>
              <w:jc w:val="left"/>
            </w:pPr>
            <w:r>
              <w:rPr>
                <w:b/>
                <w:sz w:val="17"/>
              </w:rPr>
              <w:t xml:space="preserve">S1</w:t>
            </w:r>
          </w:p>
        </w:tc>
        <w:tc>
          <w:tcPr>
            <w:shd w:fill="DCE6F2" w:val="clear"/>
          </w:tcPr>
          <w:p>
            <w:pPr>
              <w:pStyle w:val="Compact"/>
              <w:keepNext/>
              <w:spacing w:after="20" w:before="20"/>
              <w:jc w:val="left"/>
            </w:pPr>
            <w:r>
              <w:rPr>
                <w:b/>
                <w:sz w:val="17"/>
              </w:rPr>
              <w:t xml:space="preserve">S2</w:t>
            </w:r>
          </w:p>
        </w:tc>
        <w:tc>
          <w:tcPr>
            <w:shd w:fill="DCE6F2" w:val="clear"/>
          </w:tcPr>
          <w:p>
            <w:pPr>
              <w:pStyle w:val="Compact"/>
              <w:keepNext/>
              <w:spacing w:after="20" w:before="20"/>
              <w:jc w:val="left"/>
            </w:pPr>
            <w:r>
              <w:rPr>
                <w:b/>
                <w:sz w:val="17"/>
              </w:rPr>
              <w:t xml:space="preserve">Machine K (mN·m/A)</w:t>
            </w:r>
          </w:p>
        </w:tc>
        <w:tc>
          <w:tcPr>
            <w:shd w:fill="DCE6F2" w:val="clear"/>
          </w:tcPr>
          <w:p>
            <w:pPr>
              <w:pStyle w:val="Compact"/>
              <w:keepNext/>
              <w:spacing w:after="20" w:before="20"/>
              <w:jc w:val="left"/>
            </w:pPr>
            <w:r>
              <w:rPr>
                <w:b/>
                <w:sz w:val="17"/>
              </w:rPr>
              <w:t xml:space="preserve">vs board sum</w:t>
            </w:r>
          </w:p>
        </w:tc>
      </w:tr>
      <w:tr>
        <w:trPr>
          <w:cantSplit/>
        </w:trPr>
        <w:tc>
          <w:tcPr/>
          <w:p>
            <w:pPr>
              <w:pStyle w:val="Compact"/>
              <w:keepNext/>
              <w:spacing w:after="20" w:before="20"/>
              <w:jc w:val="left"/>
            </w:pPr>
            <w:r>
              <w:rPr>
                <w:sz w:val="17"/>
              </w:rPr>
              <w:t xml:space="preserve">Board-by-board detailed sum</w:t>
            </w:r>
          </w:p>
        </w:tc>
        <w:tc>
          <w:tcPr/>
          <w:p>
            <w:pPr>
              <w:pStyle w:val="Compact"/>
              <w:keepNext/>
              <w:spacing w:after="20" w:before="20"/>
              <w:jc w:val="left"/>
            </w:pPr>
            <w:r>
              <w:rPr>
                <w:sz w:val="17"/>
              </w:rPr>
              <w:t xml:space="preserve">18.54</w:t>
            </w:r>
          </w:p>
        </w:tc>
        <w:tc>
          <w:tcPr/>
          <w:p>
            <w:pPr>
              <w:pStyle w:val="Compact"/>
              <w:keepNext/>
              <w:spacing w:after="20" w:before="20"/>
              <w:jc w:val="left"/>
            </w:pPr>
            <w:r>
              <w:rPr>
                <w:sz w:val="17"/>
              </w:rPr>
              <w:t xml:space="preserve">20.96</w:t>
            </w:r>
          </w:p>
        </w:tc>
        <w:tc>
          <w:tcPr/>
          <w:p>
            <w:pPr>
              <w:pStyle w:val="Compact"/>
              <w:keepNext/>
              <w:spacing w:after="20" w:before="20"/>
              <w:jc w:val="left"/>
            </w:pPr>
            <w:r>
              <w:rPr>
                <w:bCs/>
                <w:b/>
                <w:sz w:val="17"/>
              </w:rPr>
              <w:t xml:space="preserve">39.50</w:t>
            </w:r>
          </w:p>
        </w:tc>
        <w:tc>
          <w:tcPr/>
          <w:p>
            <w:pPr>
              <w:pStyle w:val="Compact"/>
              <w:keepNext/>
              <w:spacing w:after="20" w:before="20"/>
              <w:jc w:val="left"/>
            </w:pPr>
            <w:r>
              <w:rPr>
                <w:sz w:val="17"/>
              </w:rPr>
              <w:t xml:space="preserve">reference</w:t>
            </w:r>
          </w:p>
        </w:tc>
      </w:tr>
      <w:tr>
        <w:trPr>
          <w:cantSplit/>
        </w:trPr>
        <w:tc>
          <w:tcPr/>
          <w:p>
            <w:pPr>
              <w:pStyle w:val="Compact"/>
              <w:keepNext/>
              <w:spacing w:after="20" w:before="20"/>
              <w:jc w:val="left"/>
            </w:pPr>
            <w:r>
              <w:rPr>
                <w:sz w:val="17"/>
              </w:rPr>
              <w:t xml:space="preserve">Equivalent coils with the Rev0 calibration (×0.809)</w:t>
            </w:r>
          </w:p>
        </w:tc>
        <w:tc>
          <w:tcPr/>
          <w:p>
            <w:pPr>
              <w:pStyle w:val="Compact"/>
              <w:keepNext/>
              <w:spacing w:after="20" w:before="20"/>
              <w:jc w:val="left"/>
            </w:pPr>
            <w:r>
              <w:rPr>
                <w:sz w:val="17"/>
              </w:rPr>
              <w:t xml:space="preserve">18.54</w:t>
            </w:r>
          </w:p>
        </w:tc>
        <w:tc>
          <w:tcPr/>
          <w:p>
            <w:pPr>
              <w:pStyle w:val="Compact"/>
              <w:keepNext/>
              <w:spacing w:after="20" w:before="20"/>
              <w:jc w:val="left"/>
            </w:pPr>
            <w:r>
              <w:rPr>
                <w:sz w:val="17"/>
              </w:rPr>
              <w:t xml:space="preserve">20.76</w:t>
            </w:r>
          </w:p>
        </w:tc>
        <w:tc>
          <w:tcPr/>
          <w:p>
            <w:pPr>
              <w:pStyle w:val="Compact"/>
              <w:keepNext/>
              <w:spacing w:after="20" w:before="20"/>
              <w:jc w:val="left"/>
            </w:pPr>
            <w:r>
              <w:rPr>
                <w:sz w:val="17"/>
              </w:rPr>
              <w:t xml:space="preserve">39.30</w:t>
            </w:r>
          </w:p>
        </w:tc>
        <w:tc>
          <w:tcPr/>
          <w:p>
            <w:pPr>
              <w:pStyle w:val="Compact"/>
              <w:keepNext/>
              <w:spacing w:after="20" w:before="20"/>
              <w:jc w:val="left"/>
            </w:pPr>
            <w:r>
              <w:rPr>
                <w:sz w:val="17"/>
              </w:rPr>
              <w:t xml:space="preserve">−0.5 %</w:t>
            </w:r>
          </w:p>
        </w:tc>
      </w:tr>
      <w:tr>
        <w:trPr>
          <w:cantSplit/>
        </w:trPr>
        <w:tc>
          <w:tcPr/>
          <w:p>
            <w:pPr>
              <w:pStyle w:val="Compact"/>
              <w:keepNext/>
              <w:spacing w:after="20" w:before="20"/>
              <w:jc w:val="left"/>
            </w:pPr>
            <w:r>
              <w:rPr>
                <w:sz w:val="17"/>
              </w:rPr>
              <w:t xml:space="preserve">Field map (centre-line Lorentz)</w:t>
            </w:r>
          </w:p>
        </w:tc>
        <w:tc>
          <w:tcPr/>
          <w:p>
            <w:pPr>
              <w:pStyle w:val="Compact"/>
              <w:keepNext/>
              <w:spacing w:after="20" w:before="20"/>
              <w:jc w:val="left"/>
            </w:pPr>
            <w:r>
              <w:rPr>
                <w:sz w:val="17"/>
              </w:rPr>
              <w:t xml:space="preserve">19.50</w:t>
            </w:r>
          </w:p>
        </w:tc>
        <w:tc>
          <w:tcPr/>
          <w:p>
            <w:pPr>
              <w:pStyle w:val="Compact"/>
              <w:keepNext/>
              <w:spacing w:after="20" w:before="20"/>
              <w:jc w:val="left"/>
            </w:pPr>
            <w:r>
              <w:rPr>
                <w:sz w:val="17"/>
              </w:rPr>
              <w:t xml:space="preserve">22.14</w:t>
            </w:r>
          </w:p>
        </w:tc>
        <w:tc>
          <w:tcPr/>
          <w:p>
            <w:pPr>
              <w:pStyle w:val="Compact"/>
              <w:keepNext/>
              <w:spacing w:after="20" w:before="20"/>
              <w:jc w:val="left"/>
            </w:pPr>
            <w:r>
              <w:rPr>
                <w:sz w:val="17"/>
              </w:rPr>
              <w:t xml:space="preserve">41.64</w:t>
            </w:r>
          </w:p>
        </w:tc>
        <w:tc>
          <w:tcPr/>
          <w:p>
            <w:pPr>
              <w:pStyle w:val="Compact"/>
              <w:keepNext/>
              <w:spacing w:after="20" w:before="20"/>
              <w:jc w:val="left"/>
            </w:pPr>
            <w:r>
              <w:rPr>
                <w:sz w:val="17"/>
              </w:rPr>
              <w:t xml:space="preserve">+5.4 %</w:t>
            </w:r>
          </w:p>
        </w:tc>
      </w:tr>
      <w:tr>
        <w:trPr>
          <w:cantSplit/>
        </w:trPr>
        <w:tc>
          <w:tcPr/>
          <w:p>
            <w:pPr>
              <w:pStyle w:val="Compact"/>
              <w:spacing w:after="20" w:before="20"/>
              <w:jc w:val="left"/>
            </w:pPr>
            <w:r>
              <w:rPr>
                <w:sz w:val="17"/>
              </w:rPr>
              <w:t xml:space="preserve">Rotating field-only transient</w:t>
            </w:r>
          </w:p>
        </w:tc>
        <w:tc>
          <w:tcPr/>
          <w:p>
            <w:pPr>
              <w:pStyle w:val="Compact"/>
              <w:spacing w:after="20" w:before="20"/>
              <w:jc w:val="left"/>
            </w:pPr>
            <w:r>
              <w:rPr>
                <w:sz w:val="17"/>
              </w:rPr>
              <w:t xml:space="preserve">19.47</w:t>
            </w:r>
          </w:p>
        </w:tc>
        <w:tc>
          <w:tcPr/>
          <w:p>
            <w:pPr>
              <w:pStyle w:val="Compact"/>
              <w:spacing w:after="20" w:before="20"/>
              <w:jc w:val="left"/>
            </w:pPr>
            <w:r>
              <w:rPr>
                <w:sz w:val="17"/>
              </w:rPr>
              <w:t xml:space="preserve">22.10</w:t>
            </w:r>
          </w:p>
        </w:tc>
        <w:tc>
          <w:tcPr/>
          <w:p>
            <w:pPr>
              <w:pStyle w:val="Compact"/>
              <w:spacing w:after="20" w:before="20"/>
              <w:jc w:val="left"/>
            </w:pPr>
            <w:r>
              <w:rPr>
                <w:sz w:val="17"/>
              </w:rPr>
              <w:t xml:space="preserve">41.56</w:t>
            </w:r>
          </w:p>
        </w:tc>
        <w:tc>
          <w:tcPr/>
          <w:p>
            <w:pPr>
              <w:pStyle w:val="Compact"/>
              <w:spacing w:after="20" w:before="20"/>
              <w:jc w:val="left"/>
            </w:pPr>
            <w:r>
              <w:rPr>
                <w:sz w:val="17"/>
              </w:rPr>
              <w:t xml:space="preserve">+5.2 % (field-map basis)</w:t>
            </w:r>
          </w:p>
        </w:tc>
      </w:tr>
    </w:tbl>
    <w:p>
      <w:pPr>
        <w:spacing w:before="140"/>
      </w:pP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cantSplit/>
        </w:trPr>
        <w:tc>
          <w:tcPr>
            <w:shd w:fill="DCE6F2" w:val="clear"/>
          </w:tcPr>
          <w:p>
            <w:pPr>
              <w:pStyle w:val="Compact"/>
              <w:keepNext/>
              <w:spacing w:after="20" w:before="20"/>
              <w:jc w:val="left"/>
            </w:pPr>
            <w:r>
              <w:rPr>
                <w:b/>
                <w:sz w:val="17"/>
              </w:rPr>
              <w:t xml:space="preserve">S2 board (1 = next to R1’s steel, 5 = next to R2’s magnets)</w:t>
            </w:r>
          </w:p>
        </w:tc>
        <w:tc>
          <w:tcPr>
            <w:shd w:fill="DCE6F2" w:val="clear"/>
          </w:tcPr>
          <w:p>
            <w:pPr>
              <w:pStyle w:val="Compact"/>
              <w:keepNext/>
              <w:spacing w:after="20" w:before="20"/>
              <w:jc w:val="left"/>
            </w:pPr>
            <w:r>
              <w:rPr>
                <w:b/>
                <w:sz w:val="17"/>
              </w:rPr>
              <w:t xml:space="preserve">1</w:t>
            </w:r>
          </w:p>
        </w:tc>
        <w:tc>
          <w:tcPr>
            <w:shd w:fill="DCE6F2" w:val="clear"/>
          </w:tcPr>
          <w:p>
            <w:pPr>
              <w:pStyle w:val="Compact"/>
              <w:keepNext/>
              <w:spacing w:after="20" w:before="20"/>
              <w:jc w:val="left"/>
            </w:pPr>
            <w:r>
              <w:rPr>
                <w:b/>
                <w:sz w:val="17"/>
              </w:rPr>
              <w:t xml:space="preserve">2</w:t>
            </w:r>
          </w:p>
        </w:tc>
        <w:tc>
          <w:tcPr>
            <w:shd w:fill="DCE6F2" w:val="clear"/>
          </w:tcPr>
          <w:p>
            <w:pPr>
              <w:pStyle w:val="Compact"/>
              <w:keepNext/>
              <w:spacing w:after="20" w:before="20"/>
              <w:jc w:val="left"/>
            </w:pPr>
            <w:r>
              <w:rPr>
                <w:b/>
                <w:sz w:val="17"/>
              </w:rPr>
              <w:t xml:space="preserve">3</w:t>
            </w:r>
          </w:p>
        </w:tc>
        <w:tc>
          <w:tcPr>
            <w:shd w:fill="DCE6F2" w:val="clear"/>
          </w:tcPr>
          <w:p>
            <w:pPr>
              <w:pStyle w:val="Compact"/>
              <w:keepNext/>
              <w:spacing w:after="20" w:before="20"/>
              <w:jc w:val="left"/>
            </w:pPr>
            <w:r>
              <w:rPr>
                <w:b/>
                <w:sz w:val="17"/>
              </w:rPr>
              <w:t xml:space="preserve">4</w:t>
            </w:r>
          </w:p>
        </w:tc>
        <w:tc>
          <w:tcPr>
            <w:shd w:fill="DCE6F2" w:val="clear"/>
          </w:tcPr>
          <w:p>
            <w:pPr>
              <w:pStyle w:val="Compact"/>
              <w:keepNext/>
              <w:spacing w:after="20" w:before="20"/>
              <w:jc w:val="left"/>
            </w:pPr>
            <w:r>
              <w:rPr>
                <w:b/>
                <w:sz w:val="17"/>
              </w:rPr>
              <w:t xml:space="preserve">5</w:t>
            </w:r>
          </w:p>
        </w:tc>
      </w:tr>
      <w:tr>
        <w:trPr>
          <w:cantSplit/>
        </w:trPr>
        <w:tc>
          <w:tcPr/>
          <w:p>
            <w:pPr>
              <w:pStyle w:val="Compact"/>
              <w:spacing w:after="20" w:before="20"/>
              <w:jc w:val="left"/>
            </w:pPr>
            <w:r>
              <w:rPr>
                <w:sz w:val="17"/>
              </w:rPr>
              <w:t xml:space="preserve">Detailed K (mN·m/A)</w:t>
            </w:r>
          </w:p>
        </w:tc>
        <w:tc>
          <w:tcPr/>
          <w:p>
            <w:pPr>
              <w:pStyle w:val="Compact"/>
              <w:spacing w:after="20" w:before="20"/>
              <w:jc w:val="left"/>
            </w:pPr>
            <w:r>
              <w:rPr>
                <w:sz w:val="17"/>
              </w:rPr>
              <w:t xml:space="preserve">2.597</w:t>
            </w:r>
          </w:p>
        </w:tc>
        <w:tc>
          <w:tcPr/>
          <w:p>
            <w:pPr>
              <w:pStyle w:val="Compact"/>
              <w:spacing w:after="20" w:before="20"/>
              <w:jc w:val="left"/>
            </w:pPr>
            <w:r>
              <w:rPr>
                <w:sz w:val="17"/>
              </w:rPr>
              <w:t xml:space="preserve">3.057</w:t>
            </w:r>
          </w:p>
        </w:tc>
        <w:tc>
          <w:tcPr/>
          <w:p>
            <w:pPr>
              <w:pStyle w:val="Compact"/>
              <w:spacing w:after="20" w:before="20"/>
              <w:jc w:val="left"/>
            </w:pPr>
            <w:r>
              <w:rPr>
                <w:sz w:val="17"/>
              </w:rPr>
              <w:t xml:space="preserve">3.812</w:t>
            </w:r>
          </w:p>
        </w:tc>
        <w:tc>
          <w:tcPr/>
          <w:p>
            <w:pPr>
              <w:pStyle w:val="Compact"/>
              <w:spacing w:after="20" w:before="20"/>
              <w:jc w:val="left"/>
            </w:pPr>
            <w:r>
              <w:rPr>
                <w:sz w:val="17"/>
              </w:rPr>
              <w:t xml:space="preserve">4.938</w:t>
            </w:r>
          </w:p>
        </w:tc>
        <w:tc>
          <w:tcPr/>
          <w:p>
            <w:pPr>
              <w:pStyle w:val="Compact"/>
              <w:spacing w:after="20" w:before="20"/>
              <w:jc w:val="left"/>
            </w:pPr>
            <w:r>
              <w:rPr>
                <w:sz w:val="17"/>
              </w:rPr>
              <w:t xml:space="preserve">6.559</w:t>
            </w:r>
          </w:p>
        </w:tc>
      </w:tr>
    </w:tbl>
    <w:p>
      <w:pPr>
        <w:numPr>
          <w:ilvl w:val="0"/>
          <w:numId w:val="1002"/>
        </w:numPr>
        <w:pStyle w:val="Compact"/>
        <w:spacing w:before="140"/>
      </w:pPr>
      <w:r>
        <w:rPr>
          <w:bCs/>
          <w:b/>
        </w:rPr>
        <w:t xml:space="preserve">Stator 1</w:t>
      </w:r>
      <w:r>
        <w:t xml:space="preserve"> </w:t>
      </w:r>
      <w:r>
        <w:t xml:space="preserve">behaves exactly as in Rev0: the equivalent-coil model gives the same S1 value with and without S2 and R2 present (within 0.03 %).</w:t>
      </w:r>
    </w:p>
    <w:p>
      <w:pPr>
        <w:numPr>
          <w:ilvl w:val="0"/>
          <w:numId w:val="1002"/>
        </w:numPr>
        <w:pStyle w:val="Compact"/>
      </w:pPr>
      <w:r>
        <w:rPr>
          <w:bCs/>
          <w:b/>
        </w:rPr>
        <w:t xml:space="preserve">Stator 2</w:t>
      </w:r>
      <w:r>
        <w:t xml:space="preserve"> </w:t>
      </w:r>
      <w:r>
        <w:t xml:space="preserve">gives about 12 % more torque than S1. Its boards far from R2’s magnets sit next to R1’s steel backplate, which pulls the field through the stack: S2 board 1 gives 2.60 mN·m/A against 1.83 for S1 board 5 at the same distance from its magnets.</w:t>
      </w:r>
    </w:p>
    <w:p>
      <w:pPr>
        <w:numPr>
          <w:ilvl w:val="0"/>
          <w:numId w:val="1002"/>
        </w:numPr>
        <w:pStyle w:val="Compact"/>
      </w:pPr>
      <w:r>
        <w:rPr>
          <w:bCs/>
          <w:b/>
        </w:rPr>
        <w:t xml:space="preserve">Ratio to Rev0:</w:t>
      </w:r>
      <w:r>
        <w:t xml:space="preserve"> </w:t>
      </w:r>
      <w:r>
        <w:t xml:space="preserve">2.13 × in torque per amp, for twice the copper.</w:t>
      </w:r>
    </w:p>
    <w:p>
      <w:pPr>
        <w:numPr>
          <w:ilvl w:val="0"/>
          <w:numId w:val="1002"/>
        </w:numPr>
        <w:pStyle w:val="Compact"/>
      </w:pPr>
      <w:r>
        <w:t xml:space="preserve">The rotating and field-map results are scaled by 39.50 / 41.564 = 0.950 below.</w:t>
      </w:r>
    </w:p>
    <w:bookmarkEnd w:id="21"/>
    <w:bookmarkStart w:id="28" w:name="back-emf-torque-ripple-and-cogging"/>
    <w:p>
      <w:pPr>
        <w:pStyle w:val="Heading1"/>
      </w:pPr>
      <w:r>
        <w:t xml:space="preserve">Back-EMF, torque ripple and cogging</w:t>
      </w:r>
    </w:p>
    <w:p>
      <w:pPr>
        <w:pStyle w:val="FirstParagraph"/>
      </w:pPr>
      <w:r>
        <w:t xml:space="preserve">With the stators in series, the phase back-EMF at 1000 rpm is 2.925 V rms and the line back-EMF is 5.066 V rms. The line waveform is nearly sinusoidal (0.6 % THD).</w:t>
      </w:r>
    </w:p>
    <w:p>
      <w:pPr>
        <w:pStyle w:val="CaptionedFigure"/>
      </w:pPr>
      <w:r>
        <w:drawing>
          <wp:inline>
            <wp:extent cx="5334000" cy="2094708"/>
            <wp:effectExtent b="0" l="0" r="0" t="0"/>
            <wp:docPr descr="Rev1-S phase and line back-EMF at 1000 rpm, series connection" title="" id="23" name="Picture"/>
            <a:graphic>
              <a:graphicData uri="http://schemas.openxmlformats.org/drawingml/2006/picture">
                <pic:pic>
                  <pic:nvPicPr>
                    <pic:cNvPr descr="../out_rev1s/fig1_backemf_rev1s.png" id="24" name="Picture"/>
                    <pic:cNvPicPr>
                      <a:picLocks noChangeArrowheads="1" noChangeAspect="1"/>
                    </pic:cNvPicPr>
                  </pic:nvPicPr>
                  <pic:blipFill>
                    <a:blip r:embed="rId22"/>
                    <a:stretch>
                      <a:fillRect/>
                    </a:stretch>
                  </pic:blipFill>
                  <pic:spPr bwMode="auto">
                    <a:xfrm>
                      <a:off x="0" y="0"/>
                      <a:ext cx="5334000" cy="2094708"/>
                    </a:xfrm>
                    <a:prstGeom prst="rect">
                      <a:avLst/>
                    </a:prstGeom>
                    <a:noFill/>
                    <a:ln w="9525">
                      <a:noFill/>
                      <a:headEnd/>
                      <a:tailEnd/>
                    </a:ln>
                  </pic:spPr>
                </pic:pic>
              </a:graphicData>
            </a:graphic>
          </wp:inline>
        </w:drawing>
      </w:r>
    </w:p>
    <w:p>
      <w:pPr>
        <w:pStyle w:val="ImageCaption"/>
      </w:pPr>
      <w:r>
        <w:t xml:space="preserve">Rev1-S phase and line back-EMF at 1000 rpm, series connection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Phase</w:t>
            </w:r>
          </w:p>
        </w:tc>
        <w:tc>
          <w:tcPr>
            <w:shd w:fill="DCE6F2" w:val="clear"/>
          </w:tcPr>
          <w:p>
            <w:pPr>
              <w:pStyle w:val="Compact"/>
              <w:keepNext/>
              <w:spacing w:after="20" w:before="20"/>
              <w:jc w:val="left"/>
            </w:pPr>
            <w:r>
              <w:rPr>
                <w:b/>
                <w:sz w:val="17"/>
              </w:rPr>
              <w:t xml:space="preserve">Line</w:t>
            </w:r>
          </w:p>
        </w:tc>
      </w:tr>
      <w:tr>
        <w:trPr>
          <w:cantSplit/>
        </w:trPr>
        <w:tc>
          <w:tcPr/>
          <w:p>
            <w:pPr>
              <w:pStyle w:val="Compact"/>
              <w:keepNext/>
              <w:spacing w:after="20" w:before="20"/>
              <w:jc w:val="left"/>
            </w:pPr>
            <w:r>
              <w:rPr>
                <w:sz w:val="17"/>
              </w:rPr>
              <w:t xml:space="preserve">Fundamental at 1000 rpm (series)</w:t>
            </w:r>
          </w:p>
        </w:tc>
        <w:tc>
          <w:tcPr/>
          <w:p>
            <w:pPr>
              <w:pStyle w:val="Compact"/>
              <w:keepNext/>
              <w:spacing w:after="20" w:before="20"/>
              <w:jc w:val="left"/>
            </w:pPr>
            <w:r>
              <w:rPr>
                <w:sz w:val="17"/>
              </w:rPr>
              <w:t xml:space="preserve">2.925 V rms (4.137 V pk)</w:t>
            </w:r>
          </w:p>
        </w:tc>
        <w:tc>
          <w:tcPr/>
          <w:p>
            <w:pPr>
              <w:pStyle w:val="Compact"/>
              <w:keepNext/>
              <w:spacing w:after="20" w:before="20"/>
              <w:jc w:val="left"/>
            </w:pPr>
            <w:r>
              <w:rPr>
                <w:sz w:val="17"/>
              </w:rPr>
              <w:t xml:space="preserve">5.066 V rms</w:t>
            </w:r>
          </w:p>
        </w:tc>
      </w:tr>
      <w:tr>
        <w:trPr>
          <w:cantSplit/>
        </w:trPr>
        <w:tc>
          <w:tcPr/>
          <w:p>
            <w:pPr>
              <w:pStyle w:val="Compact"/>
              <w:keepNext/>
              <w:spacing w:after="20" w:before="20"/>
              <w:jc w:val="left"/>
            </w:pPr>
            <w:r>
              <w:rPr>
                <w:sz w:val="17"/>
              </w:rPr>
              <w:t xml:space="preserve">THD</w:t>
            </w:r>
          </w:p>
        </w:tc>
        <w:tc>
          <w:tcPr/>
          <w:p>
            <w:pPr>
              <w:pStyle w:val="Compact"/>
              <w:keepNext/>
              <w:spacing w:after="20" w:before="20"/>
              <w:jc w:val="left"/>
            </w:pPr>
            <w:r>
              <w:rPr>
                <w:sz w:val="17"/>
              </w:rPr>
              <w:t xml:space="preserve">5.2 % (H3 5.2, H5 0.6, H7 0.05 %)</w:t>
            </w:r>
          </w:p>
        </w:tc>
        <w:tc>
          <w:tcPr/>
          <w:p>
            <w:pPr>
              <w:pStyle w:val="Compact"/>
              <w:keepNext/>
              <w:spacing w:after="20" w:before="20"/>
              <w:jc w:val="left"/>
            </w:pPr>
            <w:r>
              <w:rPr>
                <w:sz w:val="17"/>
              </w:rPr>
              <w:t xml:space="preserve">0.6 %</w:t>
            </w:r>
          </w:p>
        </w:tc>
      </w:tr>
      <w:tr>
        <w:trPr>
          <w:cantSplit/>
        </w:trPr>
        <w:tc>
          <w:tcPr/>
          <w:p>
            <w:pPr>
              <w:pStyle w:val="Compact"/>
              <w:keepNext/>
              <w:spacing w:after="20" w:before="20"/>
              <w:jc w:val="left"/>
            </w:pPr>
            <w:r>
              <w:rPr>
                <w:sz w:val="17"/>
              </w:rPr>
              <w:t xml:space="preserve">Per stator at 1000 rpm, phase</w:t>
            </w:r>
          </w:p>
        </w:tc>
        <w:tc>
          <w:tcPr/>
          <w:p>
            <w:pPr>
              <w:pStyle w:val="Compact"/>
              <w:keepNext/>
              <w:spacing w:after="20" w:before="20"/>
              <w:jc w:val="left"/>
            </w:pPr>
            <w:r>
              <w:rPr>
                <w:sz w:val="17"/>
              </w:rPr>
              <w:t xml:space="preserve">S1 1.372 V rms; S2 1.552 V rms (in phase)</w:t>
            </w:r>
          </w:p>
        </w:tc>
        <w:tc>
          <w:tcPr/>
          <w:p>
            <w:pPr>
              <w:pStyle w:val="Compact"/>
              <w:keepNext/>
              <w:spacing w:after="20" w:before="20"/>
              <w:jc w:val="left"/>
            </w:pPr>
            <w:r>
              <w:rPr>
                <w:sz w:val="17"/>
              </w:rPr>
              <w:t xml:space="preserve">—</w:t>
            </w:r>
          </w:p>
        </w:tc>
      </w:tr>
      <w:tr>
        <w:trPr>
          <w:cantSplit/>
        </w:trPr>
        <w:tc>
          <w:tcPr/>
          <w:p>
            <w:pPr>
              <w:pStyle w:val="Compact"/>
              <w:spacing w:after="20" w:before="20"/>
              <w:jc w:val="left"/>
            </w:pPr>
            <w:r>
              <w:rPr>
                <w:sz w:val="17"/>
              </w:rPr>
              <w:t xml:space="preserve">Phase balance</w:t>
            </w:r>
          </w:p>
        </w:tc>
        <w:tc>
          <w:tcPr/>
          <w:p>
            <w:pPr>
              <w:pStyle w:val="Compact"/>
              <w:spacing w:after="20" w:before="20"/>
              <w:jc w:val="left"/>
            </w:pPr>
            <w:r>
              <w:rPr>
                <w:sz w:val="17"/>
              </w:rPr>
              <w:t xml:space="preserve">K spread 0.02 %; displacement 120.0°</w:t>
            </w:r>
          </w:p>
        </w:tc>
        <w:tc>
          <w:tcPr/>
          <w:p>
            <w:pPr>
              <w:pStyle w:val="Compact"/>
              <w:spacing w:after="20" w:before="20"/>
              <w:jc w:val="left"/>
            </w:pPr>
            <w:r>
              <w:rPr>
                <w:sz w:val="17"/>
              </w:rPr>
              <w:t xml:space="preserve">—</w:t>
            </w:r>
          </w:p>
        </w:tc>
      </w:tr>
    </w:tbl>
    <w:p>
      <w:pPr>
        <w:numPr>
          <w:ilvl w:val="0"/>
          <w:numId w:val="1003"/>
        </w:numPr>
        <w:pStyle w:val="Compact"/>
        <w:spacing w:before="140"/>
      </w:pPr>
      <w:r>
        <w:t xml:space="preserve">The rotating model agrees with the static field map within 1.59 % of K1 at all 240 board-phase-angle points, and within 0.42 % and 0.27° on board 1. S1 and S2 are in phase to within 0.02°.</w:t>
      </w:r>
    </w:p>
    <w:p>
      <w:pPr>
        <w:numPr>
          <w:ilvl w:val="0"/>
          <w:numId w:val="1003"/>
        </w:numPr>
        <w:pStyle w:val="Compact"/>
      </w:pPr>
      <w:r>
        <w:t xml:space="preserve">With sinusoidal currents at 1 A pk, mean torque is 59.25 mN·m with 1.16 % pk-pk ripple. The back-EMF harmonics predict 2·(H5 − H7) = 1.15 %, consistent. The loaded waveform is reconstructed from the field, not solved under load.</w:t>
      </w:r>
    </w:p>
    <w:p>
      <w:pPr>
        <w:numPr>
          <w:ilvl w:val="0"/>
          <w:numId w:val="1003"/>
        </w:numPr>
        <w:pStyle w:val="Compact"/>
      </w:pPr>
      <w:r>
        <w:t xml:space="preserve">The no-load rotor torque (both rotors) varies 0.78 mN·m pk-pk without periodicity: cogging is below the solver noise floor, as for Rev0.</w:t>
      </w:r>
    </w:p>
    <w:p>
      <w:pPr>
        <w:pStyle w:val="CaptionedFigure"/>
      </w:pPr>
      <w:r>
        <w:drawing>
          <wp:inline>
            <wp:extent cx="5334000" cy="1885757"/>
            <wp:effectExtent b="0" l="0" r="0" t="0"/>
            <wp:docPr descr="Rev1-S torque at 1 A pk and no-load rotor torque" title="" id="26" name="Picture"/>
            <a:graphic>
              <a:graphicData uri="http://schemas.openxmlformats.org/drawingml/2006/picture">
                <pic:pic>
                  <pic:nvPicPr>
                    <pic:cNvPr descr="../out_rev1s/fig2_torque_cogging_rev1s.png" id="27" name="Picture"/>
                    <pic:cNvPicPr>
                      <a:picLocks noChangeArrowheads="1" noChangeAspect="1"/>
                    </pic:cNvPicPr>
                  </pic:nvPicPr>
                  <pic:blipFill>
                    <a:blip r:embed="rId25"/>
                    <a:stretch>
                      <a:fillRect/>
                    </a:stretch>
                  </pic:blipFill>
                  <pic:spPr bwMode="auto">
                    <a:xfrm>
                      <a:off x="0" y="0"/>
                      <a:ext cx="5334000" cy="1885757"/>
                    </a:xfrm>
                    <a:prstGeom prst="rect">
                      <a:avLst/>
                    </a:prstGeom>
                    <a:noFill/>
                    <a:ln w="9525">
                      <a:noFill/>
                      <a:headEnd/>
                      <a:tailEnd/>
                    </a:ln>
                  </pic:spPr>
                </pic:pic>
              </a:graphicData>
            </a:graphic>
          </wp:inline>
        </w:drawing>
      </w:r>
    </w:p>
    <w:p>
      <w:pPr>
        <w:pStyle w:val="ImageCaption"/>
      </w:pPr>
      <w:r>
        <w:t xml:space="preserve">Rev1-S torque at 1 A pk and no-load rotor torque</w:t>
      </w:r>
    </w:p>
    <w:bookmarkEnd w:id="28"/>
    <w:bookmarkStart w:id="32" w:name="field-distribution"/>
    <w:p>
      <w:pPr>
        <w:pStyle w:val="Heading1"/>
      </w:pPr>
      <w:r>
        <w:t xml:space="preserve">Field distribution</w:t>
      </w:r>
    </w:p>
    <w:p>
      <w:pPr>
        <w:pStyle w:val="FirstParagraph"/>
      </w:pPr>
      <w:r>
        <w:t xml:space="preserve">Both magnet-facing stator faces see the same field as Rev0 (0.44 T peak). S2’s face toward R1’s bare steel sees only 0.11 T, and neither backplate saturates (0.83 and 0.93 T peak).</w:t>
      </w:r>
    </w:p>
    <w:p>
      <w:pPr>
        <w:pStyle w:val="CaptionedFigure"/>
      </w:pPr>
      <w:r>
        <w:drawing>
          <wp:inline>
            <wp:extent cx="5334000" cy="4764971"/>
            <wp:effectExtent b="0" l="0" r="0" t="0"/>
            <wp:docPr descr="Rev1-S air-gap field and backplate field" title="" id="30" name="Picture"/>
            <a:graphic>
              <a:graphicData uri="http://schemas.openxmlformats.org/drawingml/2006/picture">
                <pic:pic>
                  <pic:nvPicPr>
                    <pic:cNvPr descr="../out_rev1s/fig3_field_maps_rev1s.png" id="31" name="Picture"/>
                    <pic:cNvPicPr>
                      <a:picLocks noChangeArrowheads="1" noChangeAspect="1"/>
                    </pic:cNvPicPr>
                  </pic:nvPicPr>
                  <pic:blipFill>
                    <a:blip r:embed="rId29"/>
                    <a:stretch>
                      <a:fillRect/>
                    </a:stretch>
                  </pic:blipFill>
                  <pic:spPr bwMode="auto">
                    <a:xfrm>
                      <a:off x="0" y="0"/>
                      <a:ext cx="5334000" cy="4764971"/>
                    </a:xfrm>
                    <a:prstGeom prst="rect">
                      <a:avLst/>
                    </a:prstGeom>
                    <a:noFill/>
                    <a:ln w="9525">
                      <a:noFill/>
                      <a:headEnd/>
                      <a:tailEnd/>
                    </a:ln>
                  </pic:spPr>
                </pic:pic>
              </a:graphicData>
            </a:graphic>
          </wp:inline>
        </w:drawing>
      </w:r>
    </w:p>
    <w:p>
      <w:pPr>
        <w:pStyle w:val="ImageCaption"/>
      </w:pPr>
      <w:r>
        <w:t xml:space="preserve">Rev1-S air-gap field and backplate field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Location</w:t>
            </w:r>
          </w:p>
        </w:tc>
        <w:tc>
          <w:tcPr>
            <w:shd w:fill="DCE6F2" w:val="clear"/>
          </w:tcPr>
          <w:p>
            <w:pPr>
              <w:pStyle w:val="Compact"/>
              <w:keepNext/>
              <w:spacing w:after="20" w:before="20"/>
              <w:jc w:val="left"/>
            </w:pPr>
            <w:r>
              <w:rPr>
                <w:b/>
                <w:sz w:val="17"/>
              </w:rPr>
              <w:t xml:space="preserve">Peak</w:t>
            </w:r>
          </w:p>
        </w:tc>
        <w:tc>
          <w:tcPr>
            <w:shd w:fill="DCE6F2" w:val="clear"/>
          </w:tcPr>
          <w:p>
            <w:pPr>
              <w:pStyle w:val="Compact"/>
              <w:keepNext/>
              <w:spacing w:after="20" w:before="20"/>
              <w:jc w:val="left"/>
            </w:pPr>
            <w:r>
              <w:rPr>
                <w:b/>
                <w:sz w:val="17"/>
              </w:rPr>
              <w:t xml:space="preserve">Mean field magnitude</w:t>
            </w:r>
          </w:p>
        </w:tc>
      </w:tr>
      <w:tr>
        <w:trPr>
          <w:cantSplit/>
        </w:trPr>
        <w:tc>
          <w:tcPr/>
          <w:p>
            <w:pPr>
              <w:pStyle w:val="Compact"/>
              <w:keepNext/>
              <w:spacing w:after="20" w:before="20"/>
              <w:jc w:val="left"/>
            </w:pPr>
            <w:r>
              <w:rPr>
                <w:sz w:val="17"/>
              </w:rPr>
              <w:t xml:space="preserve">0.25 mm off S1, facing R1’s magnets</w:t>
            </w:r>
          </w:p>
        </w:tc>
        <w:tc>
          <w:tcPr/>
          <w:p>
            <w:pPr>
              <w:pStyle w:val="Compact"/>
              <w:keepNext/>
              <w:spacing w:after="20" w:before="20"/>
              <w:jc w:val="left"/>
            </w:pPr>
            <w:r>
              <w:rPr>
                <w:sz w:val="17"/>
              </w:rPr>
              <w:t xml:space="preserve">0.445 T</w:t>
            </w:r>
          </w:p>
        </w:tc>
        <w:tc>
          <w:tcPr/>
          <w:p>
            <w:pPr>
              <w:pStyle w:val="Compact"/>
              <w:keepNext/>
              <w:spacing w:after="20" w:before="20"/>
              <w:jc w:val="left"/>
            </w:pPr>
            <w:r>
              <w:rPr>
                <w:sz w:val="17"/>
              </w:rPr>
              <w:t xml:space="preserve">0.226 T</w:t>
            </w:r>
          </w:p>
        </w:tc>
      </w:tr>
      <w:tr>
        <w:trPr>
          <w:cantSplit/>
        </w:trPr>
        <w:tc>
          <w:tcPr/>
          <w:p>
            <w:pPr>
              <w:pStyle w:val="Compact"/>
              <w:keepNext/>
              <w:spacing w:after="20" w:before="20"/>
              <w:jc w:val="left"/>
            </w:pPr>
            <w:r>
              <w:rPr>
                <w:sz w:val="17"/>
              </w:rPr>
              <w:t xml:space="preserve">0.25 mm off S2, facing R2’s magnets</w:t>
            </w:r>
          </w:p>
        </w:tc>
        <w:tc>
          <w:tcPr/>
          <w:p>
            <w:pPr>
              <w:pStyle w:val="Compact"/>
              <w:keepNext/>
              <w:spacing w:after="20" w:before="20"/>
              <w:jc w:val="left"/>
            </w:pPr>
            <w:r>
              <w:rPr>
                <w:sz w:val="17"/>
              </w:rPr>
              <w:t xml:space="preserve">0.444 T</w:t>
            </w:r>
          </w:p>
        </w:tc>
        <w:tc>
          <w:tcPr/>
          <w:p>
            <w:pPr>
              <w:pStyle w:val="Compact"/>
              <w:keepNext/>
              <w:spacing w:after="20" w:before="20"/>
              <w:jc w:val="left"/>
            </w:pPr>
            <w:r>
              <w:rPr>
                <w:sz w:val="17"/>
              </w:rPr>
              <w:t xml:space="preserve">0.226 T</w:t>
            </w:r>
          </w:p>
        </w:tc>
      </w:tr>
      <w:tr>
        <w:trPr>
          <w:cantSplit/>
        </w:trPr>
        <w:tc>
          <w:tcPr/>
          <w:p>
            <w:pPr>
              <w:pStyle w:val="Compact"/>
              <w:keepNext/>
              <w:spacing w:after="20" w:before="20"/>
              <w:jc w:val="left"/>
            </w:pPr>
            <w:r>
              <w:rPr>
                <w:sz w:val="17"/>
              </w:rPr>
              <w:t xml:space="preserve">0.25 mm off S2, facing R1’s steel</w:t>
            </w:r>
          </w:p>
        </w:tc>
        <w:tc>
          <w:tcPr/>
          <w:p>
            <w:pPr>
              <w:pStyle w:val="Compact"/>
              <w:keepNext/>
              <w:spacing w:after="20" w:before="20"/>
              <w:jc w:val="left"/>
            </w:pPr>
            <w:r>
              <w:rPr>
                <w:sz w:val="17"/>
              </w:rPr>
              <w:t xml:space="preserve">0.108 T</w:t>
            </w:r>
          </w:p>
        </w:tc>
        <w:tc>
          <w:tcPr/>
          <w:p>
            <w:pPr>
              <w:pStyle w:val="Compact"/>
              <w:keepNext/>
              <w:spacing w:after="20" w:before="20"/>
              <w:jc w:val="left"/>
            </w:pPr>
            <w:r>
              <w:rPr>
                <w:sz w:val="17"/>
              </w:rPr>
              <w:t xml:space="preserve">0.041 T</w:t>
            </w:r>
          </w:p>
        </w:tc>
      </w:tr>
      <w:tr>
        <w:trPr>
          <w:cantSplit/>
        </w:trPr>
        <w:tc>
          <w:tcPr/>
          <w:p>
            <w:pPr>
              <w:pStyle w:val="Compact"/>
              <w:keepNext/>
              <w:spacing w:after="20" w:before="20"/>
              <w:jc w:val="left"/>
            </w:pPr>
            <w:r>
              <w:rPr>
                <w:sz w:val="17"/>
              </w:rPr>
              <w:t xml:space="preserve">R1 backplate</w:t>
            </w:r>
          </w:p>
        </w:tc>
        <w:tc>
          <w:tcPr/>
          <w:p>
            <w:pPr>
              <w:pStyle w:val="Compact"/>
              <w:keepNext/>
              <w:spacing w:after="20" w:before="20"/>
              <w:jc w:val="left"/>
            </w:pPr>
            <w:r>
              <w:rPr>
                <w:sz w:val="17"/>
              </w:rPr>
              <w:t xml:space="preserve">0.835 T (99th percentile 0.795)</w:t>
            </w:r>
          </w:p>
        </w:tc>
        <w:tc>
          <w:tcPr/>
          <w:p>
            <w:pPr>
              <w:pStyle w:val="Compact"/>
              <w:keepNext/>
              <w:spacing w:after="20" w:before="20"/>
              <w:jc w:val="left"/>
            </w:pPr>
            <w:r>
              <w:rPr>
                <w:sz w:val="17"/>
              </w:rPr>
              <w:t xml:space="preserve">0.287 T</w:t>
            </w:r>
          </w:p>
        </w:tc>
      </w:tr>
      <w:tr>
        <w:trPr>
          <w:cantSplit/>
        </w:trPr>
        <w:tc>
          <w:tcPr/>
          <w:p>
            <w:pPr>
              <w:pStyle w:val="Compact"/>
              <w:spacing w:after="20" w:before="20"/>
              <w:jc w:val="left"/>
            </w:pPr>
            <w:r>
              <w:rPr>
                <w:sz w:val="17"/>
              </w:rPr>
              <w:t xml:space="preserve">R2 backplate</w:t>
            </w:r>
          </w:p>
        </w:tc>
        <w:tc>
          <w:tcPr/>
          <w:p>
            <w:pPr>
              <w:pStyle w:val="Compact"/>
              <w:spacing w:after="20" w:before="20"/>
              <w:jc w:val="left"/>
            </w:pPr>
            <w:r>
              <w:rPr>
                <w:sz w:val="17"/>
              </w:rPr>
              <w:t xml:space="preserve">0.931 T (99th percentile 0.872)</w:t>
            </w:r>
          </w:p>
        </w:tc>
        <w:tc>
          <w:tcPr/>
          <w:p>
            <w:pPr>
              <w:pStyle w:val="Compact"/>
              <w:spacing w:after="20" w:before="20"/>
              <w:jc w:val="left"/>
            </w:pPr>
            <w:r>
              <w:rPr>
                <w:sz w:val="17"/>
              </w:rPr>
              <w:t xml:space="preserve">0.336 T</w:t>
            </w:r>
          </w:p>
        </w:tc>
      </w:tr>
    </w:tbl>
    <w:p>
      <w:pPr>
        <w:pStyle w:val="BodyText"/>
        <w:spacing w:before="140"/>
      </w:pPr>
      <w:r>
        <w:t xml:space="preserve">Current density is the same as Rev0 (identical boards): 9.2–9.4 A/mm² per amp in the tracks, 57 A/mm² per amp at local necks.</w:t>
      </w:r>
    </w:p>
    <w:bookmarkEnd w:id="32"/>
    <w:bookmarkStart w:id="36" w:name="losses-and-efficiency"/>
    <w:p>
      <w:pPr>
        <w:pStyle w:val="Heading1"/>
      </w:pPr>
      <w:r>
        <w:t xml:space="preserve">Losses and efficiency</w:t>
      </w:r>
    </w:p>
    <w:p>
      <w:pPr>
        <w:pStyle w:val="FirstParagraph"/>
      </w:pPr>
      <w:r>
        <w:t xml:space="preserve">Copper loss again dominates. Track eddy loss is 44 mW at 1000 rpm (S1 20.3, S2 23.9 mW), twice Rev0’s. Copper loss per stator is the same as Rev0 at the same current.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Quantity</w:t>
            </w:r>
          </w:p>
        </w:tc>
        <w:tc>
          <w:tcPr>
            <w:shd w:fill="DCE6F2" w:val="clear"/>
          </w:tcPr>
          <w:p>
            <w:pPr>
              <w:pStyle w:val="Compact"/>
              <w:keepNext/>
              <w:spacing w:after="20" w:before="20"/>
              <w:jc w:val="left"/>
            </w:pPr>
            <w:r>
              <w:rPr>
                <w:b/>
                <w:sz w:val="17"/>
              </w:rPr>
              <w:t xml:space="preserve">Value</w:t>
            </w:r>
          </w:p>
        </w:tc>
        <w:tc>
          <w:tcPr>
            <w:shd w:fill="DCE6F2" w:val="clear"/>
          </w:tcPr>
          <w:p>
            <w:pPr>
              <w:pStyle w:val="Compact"/>
              <w:keepNext/>
              <w:spacing w:after="20" w:before="20"/>
              <w:jc w:val="left"/>
            </w:pPr>
            <w:r>
              <w:rPr>
                <w:b/>
                <w:sz w:val="17"/>
              </w:rPr>
              <w:t xml:space="preserve">Notes</w:t>
            </w:r>
          </w:p>
        </w:tc>
      </w:tr>
      <w:tr>
        <w:trPr>
          <w:cantSplit/>
        </w:trPr>
        <w:tc>
          <w:tcPr/>
          <w:p>
            <w:pPr>
              <w:pStyle w:val="Compact"/>
              <w:keepNext/>
              <w:spacing w:after="20" w:before="20"/>
              <w:jc w:val="left"/>
            </w:pPr>
            <w:r>
              <w:rPr>
                <w:sz w:val="17"/>
              </w:rPr>
              <w:t xml:space="preserve">Phase resistance, series</w:t>
            </w:r>
          </w:p>
        </w:tc>
        <w:tc>
          <w:tcPr/>
          <w:p>
            <w:pPr>
              <w:pStyle w:val="Compact"/>
              <w:keepNext/>
              <w:spacing w:after="20" w:before="20"/>
              <w:jc w:val="left"/>
            </w:pPr>
            <w:r>
              <w:rPr>
                <w:sz w:val="17"/>
              </w:rPr>
              <w:t xml:space="preserve">3.70–3.92 Ω at 25 °C; 4.20–4.44 Ω at 60 °C</w:t>
            </w:r>
          </w:p>
        </w:tc>
        <w:tc>
          <w:tcPr/>
          <w:p>
            <w:pPr>
              <w:pStyle w:val="Compact"/>
              <w:keepNext/>
              <w:spacing w:after="20" w:before="20"/>
              <w:jc w:val="left"/>
            </w:pPr>
            <w:r>
              <w:rPr>
                <w:sz w:val="17"/>
              </w:rPr>
              <w:t xml:space="preserve">Both stators measured 1.87–1.90 Ω per phase</w:t>
            </w:r>
          </w:p>
        </w:tc>
      </w:tr>
      <w:tr>
        <w:trPr>
          <w:cantSplit/>
        </w:trPr>
        <w:tc>
          <w:tcPr/>
          <w:p>
            <w:pPr>
              <w:pStyle w:val="Compact"/>
              <w:keepNext/>
              <w:spacing w:after="20" w:before="20"/>
              <w:jc w:val="left"/>
            </w:pPr>
            <w:r>
              <w:rPr>
                <w:sz w:val="17"/>
              </w:rPr>
              <w:t xml:space="preserve">Copper loss at 1 A pk, 60 °C</w:t>
            </w:r>
          </w:p>
        </w:tc>
        <w:tc>
          <w:tcPr/>
          <w:p>
            <w:pPr>
              <w:pStyle w:val="Compact"/>
              <w:keepNext/>
              <w:spacing w:after="20" w:before="20"/>
              <w:jc w:val="left"/>
            </w:pPr>
            <w:r>
              <w:rPr>
                <w:sz w:val="17"/>
              </w:rPr>
              <w:t xml:space="preserve">6.5 W (both stators)</w:t>
            </w:r>
          </w:p>
        </w:tc>
        <w:tc>
          <w:tcPr/>
          <w:p>
            <w:pPr>
              <w:pStyle w:val="Compact"/>
              <w:keepNext/>
              <w:spacing w:after="20" w:before="20"/>
              <w:jc w:val="left"/>
            </w:pPr>
            <w:r>
              <w:rPr>
                <w:sz w:val="17"/>
              </w:rPr>
              <w:t xml:space="preserve">1.5 · I² · R</w:t>
            </w:r>
          </w:p>
        </w:tc>
      </w:tr>
      <w:tr>
        <w:trPr>
          <w:cantSplit/>
        </w:trPr>
        <w:tc>
          <w:tcPr/>
          <w:p>
            <w:pPr>
              <w:pStyle w:val="Compact"/>
              <w:keepNext/>
              <w:spacing w:after="20" w:before="20"/>
              <w:jc w:val="left"/>
            </w:pPr>
            <w:r>
              <w:rPr>
                <w:sz w:val="17"/>
              </w:rPr>
              <w:t xml:space="preserve">Track eddy loss at 1000 rpm</w:t>
            </w:r>
          </w:p>
        </w:tc>
        <w:tc>
          <w:tcPr/>
          <w:p>
            <w:pPr>
              <w:pStyle w:val="Compact"/>
              <w:keepNext/>
              <w:spacing w:after="20" w:before="20"/>
              <w:jc w:val="left"/>
            </w:pPr>
            <w:r>
              <w:rPr>
                <w:sz w:val="17"/>
              </w:rPr>
              <w:t xml:space="preserve">44.2 mW</w:t>
            </w:r>
          </w:p>
        </w:tc>
        <w:tc>
          <w:tcPr/>
          <w:p>
            <w:pPr>
              <w:pStyle w:val="Compact"/>
              <w:keepNext/>
              <w:spacing w:after="20" w:before="20"/>
              <w:jc w:val="left"/>
            </w:pPr>
            <w:r>
              <w:rPr>
                <w:sz w:val="17"/>
              </w:rPr>
              <w:t xml:space="preserve">∝ speed²</w:t>
            </w:r>
          </w:p>
        </w:tc>
      </w:tr>
      <w:tr>
        <w:trPr>
          <w:cantSplit/>
        </w:trPr>
        <w:tc>
          <w:tcPr/>
          <w:p>
            <w:pPr>
              <w:pStyle w:val="Compact"/>
              <w:spacing w:after="20" w:before="20"/>
              <w:jc w:val="left"/>
            </w:pPr>
            <w:r>
              <w:rPr>
                <w:sz w:val="17"/>
              </w:rPr>
              <w:t xml:space="preserve">Phase inductance, series</w:t>
            </w:r>
          </w:p>
        </w:tc>
        <w:tc>
          <w:tcPr/>
          <w:p>
            <w:pPr>
              <w:pStyle w:val="Compact"/>
              <w:spacing w:after="20" w:before="20"/>
              <w:jc w:val="left"/>
            </w:pPr>
            <w:r>
              <w:rPr>
                <w:sz w:val="17"/>
              </w:rPr>
              <w:t xml:space="preserve">about 50 µH (25 µH per stator; measure it)</w:t>
            </w:r>
          </w:p>
        </w:tc>
        <w:tc>
          <w:tcPr/>
          <w:p>
            <w:pPr>
              <w:pStyle w:val="Compact"/>
              <w:spacing w:after="20" w:before="20"/>
              <w:jc w:val="left"/>
            </w:pPr>
            <w:r>
              <w:rPr>
                <w:sz w:val="17"/>
              </w:rPr>
              <w:t xml:space="preserve">Parallel: about 12.5 µH</w:t>
            </w:r>
          </w:p>
        </w:tc>
      </w:tr>
    </w:tbl>
    <w:p>
      <w:pPr>
        <w:pStyle w:val="CaptionedFigure"/>
        <w:spacing w:before="140"/>
      </w:pPr>
      <w:r>
        <w:drawing>
          <wp:inline>
            <wp:extent cx="5334000" cy="3576722"/>
            <wp:effectExtent b="0" l="0" r="0" t="0"/>
            <wp:docPr descr="Rev1-S electromagnetic efficiency, series, 60 °C" title="" id="34" name="Picture"/>
            <a:graphic>
              <a:graphicData uri="http://schemas.openxmlformats.org/drawingml/2006/picture">
                <pic:pic>
                  <pic:nvPicPr>
                    <pic:cNvPr descr="../pc1/fig5_efficiency_rev1s.png" id="35" name="Picture"/>
                    <pic:cNvPicPr>
                      <a:picLocks noChangeArrowheads="1" noChangeAspect="1"/>
                    </pic:cNvPicPr>
                  </pic:nvPicPr>
                  <pic:blipFill>
                    <a:blip r:embed="rId33"/>
                    <a:stretch>
                      <a:fillRect/>
                    </a:stretch>
                  </pic:blipFill>
                  <pic:spPr bwMode="auto">
                    <a:xfrm>
                      <a:off x="0" y="0"/>
                      <a:ext cx="5334000" cy="3576722"/>
                    </a:xfrm>
                    <a:prstGeom prst="rect">
                      <a:avLst/>
                    </a:prstGeom>
                    <a:noFill/>
                    <a:ln w="9525">
                      <a:noFill/>
                      <a:headEnd/>
                      <a:tailEnd/>
                    </a:ln>
                  </pic:spPr>
                </pic:pic>
              </a:graphicData>
            </a:graphic>
          </wp:inline>
        </w:drawing>
      </w:r>
    </w:p>
    <w:p>
      <w:pPr>
        <w:pStyle w:val="ImageCaption"/>
      </w:pPr>
      <w:r>
        <w:t xml:space="preserve">Rev1-S electromagnetic efficiency, series, 60 °C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fill="DCE6F2" w:val="clear"/>
          </w:tcPr>
          <w:p>
            <w:pPr>
              <w:pStyle w:val="Compact"/>
              <w:keepNext/>
              <w:spacing w:after="20" w:before="20"/>
              <w:jc w:val="left"/>
            </w:pPr>
            <w:r>
              <w:rPr>
                <w:b/>
                <w:sz w:val="17"/>
              </w:rPr>
              <w:t xml:space="preserve">Speed</w:t>
            </w:r>
          </w:p>
        </w:tc>
        <w:tc>
          <w:tcPr>
            <w:shd w:fill="DCE6F2" w:val="clear"/>
          </w:tcPr>
          <w:p>
            <w:pPr>
              <w:pStyle w:val="Compact"/>
              <w:keepNext/>
              <w:spacing w:after="20" w:before="20"/>
              <w:jc w:val="left"/>
            </w:pPr>
            <w:r>
              <w:rPr>
                <w:b/>
                <w:sz w:val="17"/>
              </w:rPr>
              <w:t xml:space="preserve">0.5 A pk (29.6 mN·m)</w:t>
            </w:r>
          </w:p>
        </w:tc>
        <w:tc>
          <w:tcPr>
            <w:shd w:fill="DCE6F2" w:val="clear"/>
          </w:tcPr>
          <w:p>
            <w:pPr>
              <w:pStyle w:val="Compact"/>
              <w:keepNext/>
              <w:spacing w:after="20" w:before="20"/>
              <w:jc w:val="left"/>
            </w:pPr>
            <w:r>
              <w:rPr>
                <w:b/>
                <w:sz w:val="17"/>
              </w:rPr>
              <w:t xml:space="preserve">1.0 A pk (59.2 mN·m)</w:t>
            </w:r>
          </w:p>
        </w:tc>
        <w:tc>
          <w:tcPr>
            <w:shd w:fill="DCE6F2" w:val="clear"/>
          </w:tcPr>
          <w:p>
            <w:pPr>
              <w:pStyle w:val="Compact"/>
              <w:keepNext/>
              <w:spacing w:after="20" w:before="20"/>
              <w:jc w:val="left"/>
            </w:pPr>
            <w:r>
              <w:rPr>
                <w:b/>
                <w:sz w:val="17"/>
              </w:rPr>
              <w:t xml:space="preserve">1.5 A pk (88.9 mN·m)</w:t>
            </w:r>
          </w:p>
        </w:tc>
      </w:tr>
      <w:tr>
        <w:trPr>
          <w:cantSplit/>
        </w:trPr>
        <w:tc>
          <w:tcPr/>
          <w:p>
            <w:pPr>
              <w:pStyle w:val="Compact"/>
              <w:keepNext/>
              <w:spacing w:after="20" w:before="20"/>
              <w:jc w:val="left"/>
            </w:pPr>
            <w:r>
              <w:rPr>
                <w:sz w:val="17"/>
              </w:rPr>
              <w:t xml:space="preserve">500 rpm</w:t>
            </w:r>
          </w:p>
        </w:tc>
        <w:tc>
          <w:tcPr/>
          <w:p>
            <w:pPr>
              <w:pStyle w:val="Compact"/>
              <w:keepNext/>
              <w:spacing w:after="20" w:before="20"/>
              <w:jc w:val="left"/>
            </w:pPr>
            <w:r>
              <w:rPr>
                <w:sz w:val="17"/>
              </w:rPr>
              <w:t xml:space="preserve">48.7 %</w:t>
            </w:r>
          </w:p>
        </w:tc>
        <w:tc>
          <w:tcPr/>
          <w:p>
            <w:pPr>
              <w:pStyle w:val="Compact"/>
              <w:keepNext/>
              <w:spacing w:after="20" w:before="20"/>
              <w:jc w:val="left"/>
            </w:pPr>
            <w:r>
              <w:rPr>
                <w:sz w:val="17"/>
              </w:rPr>
              <w:t xml:space="preserve">32.3 %</w:t>
            </w:r>
          </w:p>
        </w:tc>
        <w:tc>
          <w:tcPr/>
          <w:p>
            <w:pPr>
              <w:pStyle w:val="Compact"/>
              <w:keepNext/>
              <w:spacing w:after="20" w:before="20"/>
              <w:jc w:val="left"/>
            </w:pPr>
            <w:r>
              <w:rPr>
                <w:sz w:val="17"/>
              </w:rPr>
              <w:t xml:space="preserve">24.2 %</w:t>
            </w:r>
          </w:p>
        </w:tc>
      </w:tr>
      <w:tr>
        <w:trPr>
          <w:cantSplit/>
        </w:trPr>
        <w:tc>
          <w:tcPr/>
          <w:p>
            <w:pPr>
              <w:pStyle w:val="Compact"/>
              <w:keepNext/>
              <w:spacing w:after="20" w:before="20"/>
              <w:jc w:val="left"/>
            </w:pPr>
            <w:r>
              <w:rPr>
                <w:sz w:val="17"/>
              </w:rPr>
              <w:t xml:space="preserve">1000 rpm</w:t>
            </w:r>
          </w:p>
        </w:tc>
        <w:tc>
          <w:tcPr/>
          <w:p>
            <w:pPr>
              <w:pStyle w:val="Compact"/>
              <w:keepNext/>
              <w:spacing w:after="20" w:before="20"/>
              <w:jc w:val="left"/>
            </w:pPr>
            <w:r>
              <w:rPr>
                <w:sz w:val="17"/>
              </w:rPr>
              <w:t xml:space="preserve">65.1 %</w:t>
            </w:r>
          </w:p>
        </w:tc>
        <w:tc>
          <w:tcPr/>
          <w:p>
            <w:pPr>
              <w:pStyle w:val="Compact"/>
              <w:keepNext/>
              <w:spacing w:after="20" w:before="20"/>
              <w:jc w:val="left"/>
            </w:pPr>
            <w:r>
              <w:rPr>
                <w:sz w:val="17"/>
              </w:rPr>
              <w:t xml:space="preserve">48.7 %</w:t>
            </w:r>
          </w:p>
        </w:tc>
        <w:tc>
          <w:tcPr/>
          <w:p>
            <w:pPr>
              <w:pStyle w:val="Compact"/>
              <w:keepNext/>
              <w:spacing w:after="20" w:before="20"/>
              <w:jc w:val="left"/>
            </w:pPr>
            <w:r>
              <w:rPr>
                <w:sz w:val="17"/>
              </w:rPr>
              <w:t xml:space="preserve">38.9 %</w:t>
            </w:r>
          </w:p>
        </w:tc>
      </w:tr>
      <w:tr>
        <w:trPr>
          <w:cantSplit/>
        </w:trPr>
        <w:tc>
          <w:tcPr/>
          <w:p>
            <w:pPr>
              <w:pStyle w:val="Compact"/>
              <w:spacing w:after="20" w:before="20"/>
              <w:jc w:val="left"/>
            </w:pPr>
            <w:r>
              <w:rPr>
                <w:sz w:val="17"/>
              </w:rPr>
              <w:t xml:space="preserve">2000 rpm</w:t>
            </w:r>
          </w:p>
        </w:tc>
        <w:tc>
          <w:tcPr/>
          <w:p>
            <w:pPr>
              <w:pStyle w:val="Compact"/>
              <w:spacing w:after="20" w:before="20"/>
              <w:jc w:val="left"/>
            </w:pPr>
            <w:r>
              <w:rPr>
                <w:sz w:val="17"/>
              </w:rPr>
              <w:t xml:space="preserve">77.5 %</w:t>
            </w:r>
          </w:p>
        </w:tc>
        <w:tc>
          <w:tcPr/>
          <w:p>
            <w:pPr>
              <w:pStyle w:val="Compact"/>
              <w:spacing w:after="20" w:before="20"/>
              <w:jc w:val="left"/>
            </w:pPr>
            <w:r>
              <w:rPr>
                <w:sz w:val="17"/>
              </w:rPr>
              <w:t xml:space="preserve">65.1 %</w:t>
            </w:r>
          </w:p>
        </w:tc>
        <w:tc>
          <w:tcPr/>
          <w:p>
            <w:pPr>
              <w:pStyle w:val="Compact"/>
              <w:spacing w:after="20" w:before="20"/>
              <w:jc w:val="left"/>
            </w:pPr>
            <w:r>
              <w:rPr>
                <w:sz w:val="17"/>
              </w:rPr>
              <w:t xml:space="preserve">55.8 %</w:t>
            </w:r>
          </w:p>
        </w:tc>
      </w:tr>
    </w:tbl>
    <w:p>
      <w:pPr>
        <w:pStyle w:val="BodyText"/>
        <w:spacing w:before="140"/>
      </w:pPr>
      <w:r>
        <w:t xml:space="preserve">At equal torque Rev1-S needs about half Rev0’s current per stator, so at 28 mN·m it loses about half the copper power of Rev0. Electromagnetic efficiency only: bearing and windage loss are not included.</w:t>
      </w:r>
    </w:p>
    <w:bookmarkEnd w:id="36"/>
    <w:bookmarkStart w:id="37" w:name="connection-thermal-and-limitations"/>
    <w:p>
      <w:pPr>
        <w:pStyle w:val="Heading1"/>
      </w:pPr>
      <w:r>
        <w:t xml:space="preserve">Connection, thermal and limitations</w:t>
      </w:r>
    </w:p>
    <w:p>
      <w:pPr>
        <w:pStyle w:val="FirstParagraph"/>
      </w:pPr>
      <w:r>
        <w:rPr>
          <w:bCs/>
          <w:b/>
        </w:rPr>
        <w:t xml:space="preserve">Connection.</w:t>
      </w:r>
      <w:r>
        <w:t xml:space="preserve"> </w:t>
      </w:r>
      <w:r>
        <w:t xml:space="preserve">The two stators can be joined per phase in series or in parallel; the choice must be stated for every test.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fill="DCE6F2" w:val="clear"/>
          </w:tcPr>
          <w:p>
            <w:pPr>
              <w:pStyle w:val="Compact"/>
              <w:keepNext/>
              <w:spacing w:after="20" w:before="20"/>
              <w:jc w:val="left"/>
            </w:pPr>
            <w:r>
              <w:rPr>
                <w:b/>
                <w:sz w:val="17"/>
              </w:rPr>
              <w:t xml:space="preserve">Per phase, star</w:t>
            </w:r>
          </w:p>
        </w:tc>
        <w:tc>
          <w:tcPr>
            <w:shd w:fill="DCE6F2" w:val="clear"/>
          </w:tcPr>
          <w:p>
            <w:pPr>
              <w:pStyle w:val="Compact"/>
              <w:keepNext/>
              <w:spacing w:after="20" w:before="20"/>
              <w:jc w:val="left"/>
            </w:pPr>
            <w:r>
              <w:rPr>
                <w:b/>
                <w:sz w:val="17"/>
              </w:rPr>
              <w:t xml:space="preserve">Series</w:t>
            </w:r>
          </w:p>
        </w:tc>
        <w:tc>
          <w:tcPr>
            <w:shd w:fill="DCE6F2" w:val="clear"/>
          </w:tcPr>
          <w:p>
            <w:pPr>
              <w:pStyle w:val="Compact"/>
              <w:keepNext/>
              <w:spacing w:after="20" w:before="20"/>
              <w:jc w:val="left"/>
            </w:pPr>
            <w:r>
              <w:rPr>
                <w:b/>
                <w:sz w:val="17"/>
              </w:rPr>
              <w:t xml:space="preserve">Parallel</w:t>
            </w:r>
          </w:p>
        </w:tc>
      </w:tr>
      <w:tr>
        <w:trPr>
          <w:cantSplit/>
        </w:trPr>
        <w:tc>
          <w:tcPr/>
          <w:p>
            <w:pPr>
              <w:pStyle w:val="Compact"/>
              <w:keepNext/>
              <w:spacing w:after="20" w:before="20"/>
              <w:jc w:val="left"/>
            </w:pPr>
            <w:r>
              <w:rPr>
                <w:sz w:val="17"/>
              </w:rPr>
              <w:t xml:space="preserve">Terminal torque constant (T = 1.5·K·I)</w:t>
            </w:r>
          </w:p>
        </w:tc>
        <w:tc>
          <w:tcPr/>
          <w:p>
            <w:pPr>
              <w:pStyle w:val="Compact"/>
              <w:keepNext/>
              <w:spacing w:after="20" w:before="20"/>
              <w:jc w:val="left"/>
            </w:pPr>
            <w:r>
              <w:rPr>
                <w:sz w:val="17"/>
              </w:rPr>
              <w:t xml:space="preserve">39.50 mN·m/A</w:t>
            </w:r>
          </w:p>
        </w:tc>
        <w:tc>
          <w:tcPr/>
          <w:p>
            <w:pPr>
              <w:pStyle w:val="Compact"/>
              <w:keepNext/>
              <w:spacing w:after="20" w:before="20"/>
              <w:jc w:val="left"/>
            </w:pPr>
            <w:r>
              <w:rPr>
                <w:sz w:val="17"/>
              </w:rPr>
              <w:t xml:space="preserve">19.75 mN·m/A</w:t>
            </w:r>
          </w:p>
        </w:tc>
      </w:tr>
      <w:tr>
        <w:trPr>
          <w:cantSplit/>
        </w:trPr>
        <w:tc>
          <w:tcPr/>
          <w:p>
            <w:pPr>
              <w:pStyle w:val="Compact"/>
              <w:keepNext/>
              <w:spacing w:after="20" w:before="20"/>
              <w:jc w:val="left"/>
            </w:pPr>
            <w:r>
              <w:rPr>
                <w:sz w:val="17"/>
              </w:rPr>
              <w:t xml:space="preserve">Phase back-EMF at 1000 rpm</w:t>
            </w:r>
          </w:p>
        </w:tc>
        <w:tc>
          <w:tcPr/>
          <w:p>
            <w:pPr>
              <w:pStyle w:val="Compact"/>
              <w:keepNext/>
              <w:spacing w:after="20" w:before="20"/>
              <w:jc w:val="left"/>
            </w:pPr>
            <w:r>
              <w:rPr>
                <w:sz w:val="17"/>
              </w:rPr>
              <w:t xml:space="preserve">2.925 V rms</w:t>
            </w:r>
          </w:p>
        </w:tc>
        <w:tc>
          <w:tcPr/>
          <w:p>
            <w:pPr>
              <w:pStyle w:val="Compact"/>
              <w:keepNext/>
              <w:spacing w:after="20" w:before="20"/>
              <w:jc w:val="left"/>
            </w:pPr>
            <w:r>
              <w:rPr>
                <w:sz w:val="17"/>
              </w:rPr>
              <w:t xml:space="preserve">1.462 V rms</w:t>
            </w:r>
          </w:p>
        </w:tc>
      </w:tr>
      <w:tr>
        <w:trPr>
          <w:cantSplit/>
        </w:trPr>
        <w:tc>
          <w:tcPr/>
          <w:p>
            <w:pPr>
              <w:pStyle w:val="Compact"/>
              <w:keepNext/>
              <w:spacing w:after="20" w:before="20"/>
              <w:jc w:val="left"/>
            </w:pPr>
            <w:r>
              <w:rPr>
                <w:sz w:val="17"/>
              </w:rPr>
              <w:t xml:space="preserve">Resistance at 60 °C</w:t>
            </w:r>
          </w:p>
        </w:tc>
        <w:tc>
          <w:tcPr/>
          <w:p>
            <w:pPr>
              <w:pStyle w:val="Compact"/>
              <w:keepNext/>
              <w:spacing w:after="20" w:before="20"/>
              <w:jc w:val="left"/>
            </w:pPr>
            <w:r>
              <w:rPr>
                <w:sz w:val="17"/>
              </w:rPr>
              <w:t xml:space="preserve">4.20–4.44 Ω</w:t>
            </w:r>
          </w:p>
        </w:tc>
        <w:tc>
          <w:tcPr/>
          <w:p>
            <w:pPr>
              <w:pStyle w:val="Compact"/>
              <w:keepNext/>
              <w:spacing w:after="20" w:before="20"/>
              <w:jc w:val="left"/>
            </w:pPr>
            <w:r>
              <w:rPr>
                <w:sz w:val="17"/>
              </w:rPr>
              <w:t xml:space="preserve">1.05–1.11 Ω</w:t>
            </w:r>
          </w:p>
        </w:tc>
      </w:tr>
      <w:tr>
        <w:trPr>
          <w:cantSplit/>
        </w:trPr>
        <w:tc>
          <w:tcPr/>
          <w:p>
            <w:pPr>
              <w:pStyle w:val="Compact"/>
              <w:spacing w:after="20" w:before="20"/>
              <w:jc w:val="left"/>
            </w:pPr>
            <w:r>
              <w:rPr>
                <w:sz w:val="17"/>
              </w:rPr>
              <w:t xml:space="preserve">Inductance</w:t>
            </w:r>
          </w:p>
        </w:tc>
        <w:tc>
          <w:tcPr/>
          <w:p>
            <w:pPr>
              <w:pStyle w:val="Compact"/>
              <w:spacing w:after="20" w:before="20"/>
              <w:jc w:val="left"/>
            </w:pPr>
            <w:r>
              <w:rPr>
                <w:sz w:val="17"/>
              </w:rPr>
              <w:t xml:space="preserve">about 50 µH</w:t>
            </w:r>
          </w:p>
        </w:tc>
        <w:tc>
          <w:tcPr/>
          <w:p>
            <w:pPr>
              <w:pStyle w:val="Compact"/>
              <w:spacing w:after="20" w:before="20"/>
              <w:jc w:val="left"/>
            </w:pPr>
            <w:r>
              <w:rPr>
                <w:sz w:val="17"/>
              </w:rPr>
              <w:t xml:space="preserve">about 12.5 µH</w:t>
            </w:r>
          </w:p>
        </w:tc>
      </w:tr>
    </w:tbl>
    <w:p>
      <w:pPr>
        <w:pStyle w:val="BodyText"/>
        <w:spacing w:before="140"/>
      </w:pPr>
      <w:r>
        <w:t xml:space="preserve">In parallel, the 0.18 V rms back-EMF difference between S1 and S2 drives about 40 mA rms of circulating current at 1000 rpm, about 25 mW. That figure assumes the stators are angularly aligned; each 1° of mechanical misalignment adds roughly 50 mA. Under load the same difference makes S1 carry more current than S2 (0.84 against 0.70 A pk at 1.54 A pk terminal current), so in parallel the terminal current must be limited by S1, and each stator’s current must be measured separately.</w:t>
      </w:r>
    </w:p>
    <w:p>
      <w:pPr>
        <w:pStyle w:val="BodyText"/>
      </w:pPr>
      <w:r>
        <w:rPr>
          <w:bCs/>
          <w:b/>
        </w:rPr>
        <w:t xml:space="preserve">Thermal.</w:t>
      </w:r>
      <w:r>
        <w:t xml:space="preserve"> </w:t>
      </w:r>
      <w:r>
        <w:t xml:space="preserve">An earlier Icepak model of Rev1-S ran S1 2–15 K hotter than S2, with an assumed acrylic hood and fans. No model of the as-built assembly exists. Use the 0.84 A pk per stator candidate test point as a ceiling for supervised testing and expect the closely stacked Rev1-S to run warmer than Rev0.</w:t>
      </w:r>
    </w:p>
    <w:p>
      <w:pPr>
        <w:pStyle w:val="BodyText"/>
      </w:pPr>
      <w:r>
        <w:t xml:space="preserve">Limitations, in addition to those listed for Rev0 (backplate 80 / 25 mm against 86 / 19 mm, unmeasured air gaps; the 5.1 mm measured stack matches the model):</w:t>
      </w:r>
    </w:p>
    <w:p>
      <w:pPr>
        <w:numPr>
          <w:ilvl w:val="0"/>
          <w:numId w:val="1004"/>
        </w:numPr>
        <w:pStyle w:val="Compact"/>
      </w:pPr>
      <w:r>
        <w:rPr>
          <w:bCs/>
          <w:b/>
        </w:rPr>
        <w:t xml:space="preserve">Full-motor check:</w:t>
      </w:r>
      <w:r>
        <w:t xml:space="preserve"> </w:t>
      </w:r>
      <w:r>
        <w:t xml:space="preserve">the Rev1-S full-motor solve was not completed. The torque constant rests on the board-by-board sum, confirmed within 0.5 % by the Rev0-calibrated equivalent-coil model.</w:t>
      </w:r>
    </w:p>
    <w:p>
      <w:pPr>
        <w:numPr>
          <w:ilvl w:val="0"/>
          <w:numId w:val="1004"/>
        </w:numPr>
        <w:pStyle w:val="Compact"/>
      </w:pPr>
      <w:r>
        <w:rPr>
          <w:bCs/>
          <w:b/>
        </w:rPr>
        <w:t xml:space="preserve">S2 to R1 clearance:</w:t>
      </w:r>
      <w:r>
        <w:t xml:space="preserve"> </w:t>
      </w:r>
      <w:r>
        <w:t xml:space="preserve">the 1 mm gap between S2 and R1’s bare backplate is assumed. It sets S2’s far-board torque.</w:t>
      </w:r>
    </w:p>
    <w:p>
      <w:pPr>
        <w:numPr>
          <w:ilvl w:val="0"/>
          <w:numId w:val="1004"/>
        </w:numPr>
        <w:pStyle w:val="Compact"/>
      </w:pPr>
      <w:r>
        <w:rPr>
          <w:bCs/>
          <w:b/>
        </w:rPr>
        <w:t xml:space="preserve">Resistance:</w:t>
      </w:r>
      <w:r>
        <w:t xml:space="preserve"> </w:t>
      </w:r>
      <w:r>
        <w:t xml:space="preserve">both stators measured 1.87–1.90 Ω per phase.</w:t>
      </w:r>
    </w:p>
    <w:p>
      <w:pPr>
        <w:numPr>
          <w:ilvl w:val="0"/>
          <w:numId w:val="1004"/>
        </w:numPr>
        <w:pStyle w:val="Compact"/>
      </w:pPr>
      <w:r>
        <w:rPr>
          <w:bCs/>
          <w:b/>
        </w:rPr>
        <w:t xml:space="preserve">Cogging and ripple:</w:t>
      </w:r>
      <w:r>
        <w:t xml:space="preserve"> </w:t>
      </w:r>
      <w:r>
        <w:t xml:space="preserve">as for Rev0, cogging is below the solver noise and the ripple is reconstructed, not solved under load.</w:t>
      </w:r>
    </w:p>
    <w:p>
      <w:pPr>
        <w:pStyle w:val="FirstParagraph"/>
      </w:pPr>
      <w:r>
        <w:rPr>
          <w:bCs/>
          <w:b/>
        </w:rPr>
        <w:t xml:space="preserve">Expected simulation-to-hardware gap and recommendation.</w:t>
      </w:r>
      <w:r>
        <w:t xml:space="preserve"> </w:t>
      </w:r>
      <w:r>
        <w:t xml:space="preserve">As for Rev0, measured values are expected to differ by more than the agreement between the simulation methods, because the hardware geometry differs from the model. The fix is the same: measure the assembled motor, rebuild the equivalent-coil model to those dimensions using the Rev0 calibration, and compare like with like.</w:t>
      </w:r>
    </w:p>
    <w:bookmarkEnd w:id="37"/>
    <w:sectPr>
      <w:footerReference w:type="default" r:id="rId9"/>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00" w:before="0" w:line="259" w:lineRule="auto"/>
      <w:jc w:val="both"/>
    </w:pPr>
    <w:qFormat/>
    <w:rPr>
      <w:rFonts w:ascii="Calibri" w:hAnsi="Calibri" w:eastAsia="Calibri"/>
      <w:sz w:val="21"/>
    </w:rPr>
  </w:style>
  <w:style w:customStyle="1" w:styleId="FirstParagraph" w:type="paragraph">
    <w:name w:val="First Paragraph"/>
    <w:basedOn w:val="BodyText"/>
    <w:next w:val="BodyText"/>
    <w:qFormat/>
    <w:pPr>
      <w:spacing w:after="100" w:before="0" w:line="259" w:lineRule="auto"/>
      <w:jc w:val="both"/>
    </w:pPr>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3864"/>
      <w:sz w:val="36"/>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1F3864"/>
      <w:sz w:val="24"/>
      <w:szCs w:val="30"/>
    </w:rPr>
  </w:style>
  <w:style w:customStyle="1" w:styleId="Author" w:type="paragraph">
    <w:name w:val="Author"/>
    <w:next w:val="BodyText"/>
    <w:qFormat/>
    <w:pPr>
      <w:keepNext/>
      <w:keepLines/>
      <w:jc w:val="center"/>
    </w:pPr>
    <w:rPr>
      <w:rFonts w:ascii="Calibri" w:hAnsi="Calibri" w:eastAsia="Calibri"/>
      <w:sz w:val="21"/>
    </w:rPr>
  </w:style>
  <w:style w:styleId="Date" w:type="paragraph">
    <w:name w:val="Date"/>
    <w:next w:val="BodyText"/>
    <w:qFormat/>
    <w:pPr>
      <w:keepNext/>
      <w:keepLines/>
      <w:jc w:val="center"/>
    </w:pPr>
    <w:rPr>
      <w:rFonts w:ascii="Calibri" w:hAnsi="Calibri" w:eastAsia="Calibr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Calibri" w:hAnsi="Calibri" w:eastAsia="Calibri"/>
      <w:b/>
      <w:bCs/>
      <w:color w:val="1F3864"/>
      <w:sz w:val="28"/>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Calibri" w:hAnsi="Calibri" w:eastAsia="Calibri"/>
      <w:b/>
      <w:bCs/>
      <w:color w:val="2E5597"/>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eastAsia="Calibri"/>
      <w:i/>
      <w:sz w:val="18"/>
    </w:rPr>
  </w:style>
  <w:style w:customStyle="1" w:styleId="ImageCaption" w:type="paragraph">
    <w:name w:val="Image Caption"/>
    <w:basedOn w:val="Caption"/>
    <w:rPr>
      <w:rFonts w:ascii="Calibri" w:hAnsi="Calibri" w:eastAsia="Calibri"/>
      <w: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Rev1-S Maxwell Technical Report</dc:title>
  <dc:creator/>
  <cp:keywords/>
  <dcterms:created xsi:type="dcterms:W3CDTF">2026-10-19T08:19:32Z</dcterms:created>
  <dcterms:modified xsi:type="dcterms:W3CDTF">2026-10-19T08:19:32Z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AK-07 PCB coreless axial-flux motor — Olwethu Khanzi — 19 October 2026, rev. 2 (measured resistance of both stators, inductance, measured stack)</vt:lpwstr>
  </property>
</Properties>
</file>