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br w:type="page"/>
      </w:r>
    </w:p>
    <w:p>
      <w:pPr>
        <w:spacing w:after="200" w:before="1440"/>
        <w:jc w:val="center"/>
      </w:pPr>
      <w:r>
        <w:rPr>
          <w:rFonts w:ascii="Courier New" w:cs="Courier New" w:eastAsia="Courier New" w:hAnsi="Courier New"/>
          <w:color w:val="8900E1"/>
          <w:sz w:val="18"/>
          <w:szCs w:val="18"/>
        </w:rPr>
        <w:t xml:space="preserve">// LEGAL DOCUMENT — SERVICES AGREEMENT</w:t>
      </w:r>
    </w:p>
    <w:p>
      <w:pPr>
        <w:spacing w:after="0" w:before="0"/>
        <w:jc w:val="center"/>
      </w:pPr>
      <w:r>
        <w:rPr>
          <w:rFonts w:ascii="Arial" w:cs="Arial" w:eastAsia="Arial" w:hAnsi="Arial"/>
          <w:b/>
          <w:bCs/>
          <w:color w:val="A3E635"/>
          <w:sz w:val="72"/>
          <w:szCs w:val="72"/>
        </w:rPr>
        <w:t xml:space="preserve">KHAOTIC LABS LLC</w:t>
      </w:r>
    </w:p>
    <w:p>
      <w:pPr>
        <w:spacing w:after="0" w:before="160"/>
        <w:jc w:val="center"/>
      </w:pPr>
      <w:r>
        <w:rPr>
          <w:rFonts w:ascii="Arial" w:cs="Arial" w:eastAsia="Arial" w:hAnsi="Arial"/>
          <w:b/>
          <w:bCs/>
          <w:color w:val="F0F0F8"/>
          <w:sz w:val="32"/>
          <w:szCs w:val="32"/>
        </w:rPr>
        <w:t xml:space="preserve">CLIENT SERVICES AGREEMENT</w:t>
      </w:r>
    </w:p>
    <w:p>
      <w:pPr>
        <w:spacing w:after="2000" w:before="240"/>
        <w:jc w:val="center"/>
      </w:pPr>
      <w:r>
        <w:rPr>
          <w:rFonts w:ascii="Arial" w:cs="Arial" w:eastAsia="Arial" w:hAnsi="Arial"/>
          <w:i/>
          <w:iCs/>
          <w:color w:val="5A5A6E"/>
          <w:sz w:val="20"/>
          <w:szCs w:val="20"/>
        </w:rPr>
        <w:t xml:space="preserve">This Agreement is entered into as of the Effective Date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A2A35" w:sz="1"/>
              <w:left w:val="single" w:color="2A2A35" w:sz="1"/>
              <w:bottom w:val="single" w:color="2A2A35" w:sz="1"/>
              <w:right w:val="single" w:color="2A2A35" w:sz="1"/>
            </w:tcBorders>
            <w:shd w:fill="111116" w:val="clear"/>
            <w:tcMar>
              <w:top w:type="dxa" w:w="100"/>
              <w:left w:type="dxa" w:w="160"/>
              <w:bottom w:type="dxa" w:w="100"/>
              <w:right w:type="dxa" w:w="160"/>
            </w:tcMar>
          </w:tcPr>
          <w:p>
            <w:r>
              <w:rPr>
                <w:rFonts w:ascii="Arial" w:cs="Arial" w:eastAsia="Arial" w:hAnsi="Arial"/>
                <w:b/>
                <w:bCs/>
                <w:color w:val="8900E1"/>
                <w:sz w:val="20"/>
                <w:szCs w:val="20"/>
              </w:rPr>
              <w:t xml:space="preserve">Provider</w:t>
            </w:r>
          </w:p>
        </w:tc>
        <w:tc>
          <w:tcPr>
            <w:tcW w:type="dxa" w:w="6240"/>
            <w:tcBorders>
              <w:top w:val="single" w:color="2A2A35" w:sz="1"/>
              <w:left w:val="single" w:color="2A2A35" w:sz="1"/>
              <w:bottom w:val="single" w:color="2A2A35" w:sz="1"/>
              <w:right w:val="single" w:color="2A2A35" w:sz="1"/>
            </w:tcBorders>
            <w:shd w:fill="0F0F14" w:val="clear"/>
            <w:tcMar>
              <w:top w:type="dxa" w:w="100"/>
              <w:left w:type="dxa" w:w="160"/>
              <w:bottom w:type="dxa" w:w="100"/>
              <w:right w:type="dxa" w:w="160"/>
            </w:tcMar>
          </w:tcPr>
          <w:p>
            <w:r>
              <w:rPr>
                <w:rFonts w:ascii="Arial" w:cs="Arial" w:eastAsia="Arial" w:hAnsi="Arial"/>
                <w:color w:val="2A2A35"/>
                <w:sz w:val="20"/>
                <w:szCs w:val="20"/>
              </w:rPr>
              <w:t xml:space="preserve">____________________________________</w:t>
            </w:r>
          </w:p>
        </w:tc>
      </w:tr>
    </w:tbl>
    <w:p>
      <w:pPr>
        <w:spacing w:after="16"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A2A35" w:sz="1"/>
              <w:left w:val="single" w:color="2A2A35" w:sz="1"/>
              <w:bottom w:val="single" w:color="2A2A35" w:sz="1"/>
              <w:right w:val="single" w:color="2A2A35" w:sz="1"/>
            </w:tcBorders>
            <w:shd w:fill="111116" w:val="clear"/>
            <w:tcMar>
              <w:top w:type="dxa" w:w="100"/>
              <w:left w:type="dxa" w:w="160"/>
              <w:bottom w:type="dxa" w:w="100"/>
              <w:right w:type="dxa" w:w="160"/>
            </w:tcMar>
          </w:tcPr>
          <w:p>
            <w:r>
              <w:rPr>
                <w:rFonts w:ascii="Arial" w:cs="Arial" w:eastAsia="Arial" w:hAnsi="Arial"/>
                <w:b/>
                <w:bCs/>
                <w:color w:val="8900E1"/>
                <w:sz w:val="20"/>
                <w:szCs w:val="20"/>
              </w:rPr>
              <w:t xml:space="preserve">Client (Individual or Entity)</w:t>
            </w:r>
          </w:p>
        </w:tc>
        <w:tc>
          <w:tcPr>
            <w:tcW w:type="dxa" w:w="6240"/>
            <w:tcBorders>
              <w:top w:val="single" w:color="2A2A35" w:sz="1"/>
              <w:left w:val="single" w:color="2A2A35" w:sz="1"/>
              <w:bottom w:val="single" w:color="2A2A35" w:sz="1"/>
              <w:right w:val="single" w:color="2A2A35" w:sz="1"/>
            </w:tcBorders>
            <w:shd w:fill="0F0F14" w:val="clear"/>
            <w:tcMar>
              <w:top w:type="dxa" w:w="100"/>
              <w:left w:type="dxa" w:w="160"/>
              <w:bottom w:type="dxa" w:w="100"/>
              <w:right w:type="dxa" w:w="160"/>
            </w:tcMar>
          </w:tcPr>
          <w:p>
            <w:r>
              <w:rPr>
                <w:rFonts w:ascii="Arial" w:cs="Arial" w:eastAsia="Arial" w:hAnsi="Arial"/>
                <w:color w:val="2A2A35"/>
                <w:sz w:val="20"/>
                <w:szCs w:val="20"/>
              </w:rPr>
              <w:t xml:space="preserve">____________________________________</w:t>
            </w:r>
          </w:p>
        </w:tc>
      </w:tr>
    </w:tbl>
    <w:p>
      <w:pPr>
        <w:spacing w:after="16"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A2A35" w:sz="1"/>
              <w:left w:val="single" w:color="2A2A35" w:sz="1"/>
              <w:bottom w:val="single" w:color="2A2A35" w:sz="1"/>
              <w:right w:val="single" w:color="2A2A35" w:sz="1"/>
            </w:tcBorders>
            <w:shd w:fill="111116" w:val="clear"/>
            <w:tcMar>
              <w:top w:type="dxa" w:w="100"/>
              <w:left w:type="dxa" w:w="160"/>
              <w:bottom w:type="dxa" w:w="100"/>
              <w:right w:type="dxa" w:w="160"/>
            </w:tcMar>
          </w:tcPr>
          <w:p>
            <w:r>
              <w:rPr>
                <w:rFonts w:ascii="Arial" w:cs="Arial" w:eastAsia="Arial" w:hAnsi="Arial"/>
                <w:b/>
                <w:bCs/>
                <w:color w:val="8900E1"/>
                <w:sz w:val="20"/>
                <w:szCs w:val="20"/>
              </w:rPr>
              <w:t xml:space="preserve">Effective Date</w:t>
            </w:r>
          </w:p>
        </w:tc>
        <w:tc>
          <w:tcPr>
            <w:tcW w:type="dxa" w:w="6240"/>
            <w:tcBorders>
              <w:top w:val="single" w:color="2A2A35" w:sz="1"/>
              <w:left w:val="single" w:color="2A2A35" w:sz="1"/>
              <w:bottom w:val="single" w:color="2A2A35" w:sz="1"/>
              <w:right w:val="single" w:color="2A2A35" w:sz="1"/>
            </w:tcBorders>
            <w:shd w:fill="0F0F14" w:val="clear"/>
            <w:tcMar>
              <w:top w:type="dxa" w:w="100"/>
              <w:left w:type="dxa" w:w="160"/>
              <w:bottom w:type="dxa" w:w="100"/>
              <w:right w:type="dxa" w:w="160"/>
            </w:tcMar>
          </w:tcPr>
          <w:p>
            <w:r>
              <w:rPr>
                <w:rFonts w:ascii="Arial" w:cs="Arial" w:eastAsia="Arial" w:hAnsi="Arial"/>
                <w:color w:val="2A2A35"/>
                <w:sz w:val="20"/>
                <w:szCs w:val="20"/>
              </w:rPr>
              <w:t xml:space="preserve">____________________________________</w:t>
            </w:r>
          </w:p>
        </w:tc>
      </w:tr>
    </w:tbl>
    <w:p>
      <w:pPr>
        <w:spacing w:after="16"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A2A35" w:sz="1"/>
              <w:left w:val="single" w:color="2A2A35" w:sz="1"/>
              <w:bottom w:val="single" w:color="2A2A35" w:sz="1"/>
              <w:right w:val="single" w:color="2A2A35" w:sz="1"/>
            </w:tcBorders>
            <w:shd w:fill="111116" w:val="clear"/>
            <w:tcMar>
              <w:top w:type="dxa" w:w="100"/>
              <w:left w:type="dxa" w:w="160"/>
              <w:bottom w:type="dxa" w:w="100"/>
              <w:right w:type="dxa" w:w="160"/>
            </w:tcMar>
          </w:tcPr>
          <w:p>
            <w:r>
              <w:rPr>
                <w:rFonts w:ascii="Arial" w:cs="Arial" w:eastAsia="Arial" w:hAnsi="Arial"/>
                <w:b/>
                <w:bCs/>
                <w:color w:val="8900E1"/>
                <w:sz w:val="20"/>
                <w:szCs w:val="20"/>
              </w:rPr>
              <w:t xml:space="preserve">Project / Engagement Name</w:t>
            </w:r>
          </w:p>
        </w:tc>
        <w:tc>
          <w:tcPr>
            <w:tcW w:type="dxa" w:w="6240"/>
            <w:tcBorders>
              <w:top w:val="single" w:color="2A2A35" w:sz="1"/>
              <w:left w:val="single" w:color="2A2A35" w:sz="1"/>
              <w:bottom w:val="single" w:color="2A2A35" w:sz="1"/>
              <w:right w:val="single" w:color="2A2A35" w:sz="1"/>
            </w:tcBorders>
            <w:shd w:fill="0F0F14" w:val="clear"/>
            <w:tcMar>
              <w:top w:type="dxa" w:w="100"/>
              <w:left w:type="dxa" w:w="160"/>
              <w:bottom w:type="dxa" w:w="100"/>
              <w:right w:type="dxa" w:w="160"/>
            </w:tcMar>
          </w:tcPr>
          <w:p>
            <w:r>
              <w:rPr>
                <w:rFonts w:ascii="Arial" w:cs="Arial" w:eastAsia="Arial" w:hAnsi="Arial"/>
                <w:color w:val="2A2A35"/>
                <w:sz w:val="20"/>
                <w:szCs w:val="20"/>
              </w:rPr>
              <w:t xml:space="preserve">____________________________________</w:t>
            </w:r>
          </w:p>
        </w:tc>
      </w:tr>
    </w:tbl>
    <w:p>
      <w:pPr>
        <w:spacing w:after="16"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A2A35" w:sz="1"/>
              <w:left w:val="single" w:color="2A2A35" w:sz="1"/>
              <w:bottom w:val="single" w:color="2A2A35" w:sz="1"/>
              <w:right w:val="single" w:color="2A2A35" w:sz="1"/>
            </w:tcBorders>
            <w:shd w:fill="111116" w:val="clear"/>
            <w:tcMar>
              <w:top w:type="dxa" w:w="100"/>
              <w:left w:type="dxa" w:w="160"/>
              <w:bottom w:type="dxa" w:w="100"/>
              <w:right w:type="dxa" w:w="160"/>
            </w:tcMar>
          </w:tcPr>
          <w:p>
            <w:r>
              <w:rPr>
                <w:rFonts w:ascii="Arial" w:cs="Arial" w:eastAsia="Arial" w:hAnsi="Arial"/>
                <w:b/>
                <w:bCs/>
                <w:color w:val="8900E1"/>
                <w:sz w:val="20"/>
                <w:szCs w:val="20"/>
              </w:rPr>
              <w:t xml:space="preserve">Agreement Type (check one)</w:t>
            </w:r>
          </w:p>
        </w:tc>
        <w:tc>
          <w:tcPr>
            <w:tcW w:type="dxa" w:w="6240"/>
            <w:tcBorders>
              <w:top w:val="single" w:color="2A2A35" w:sz="1"/>
              <w:left w:val="single" w:color="2A2A35" w:sz="1"/>
              <w:bottom w:val="single" w:color="2A2A35" w:sz="1"/>
              <w:right w:val="single" w:color="2A2A35" w:sz="1"/>
            </w:tcBorders>
            <w:shd w:fill="0F0F14" w:val="clear"/>
            <w:tcMar>
              <w:top w:type="dxa" w:w="100"/>
              <w:left w:type="dxa" w:w="160"/>
              <w:bottom w:type="dxa" w:w="100"/>
              <w:right w:type="dxa" w:w="160"/>
            </w:tcMar>
          </w:tcPr>
          <w:p>
            <w:r>
              <w:rPr>
                <w:rFonts w:ascii="Arial" w:cs="Arial" w:eastAsia="Arial" w:hAnsi="Arial"/>
                <w:color w:val="2A2A35"/>
                <w:sz w:val="20"/>
                <w:szCs w:val="20"/>
              </w:rPr>
              <w:t xml:space="preserve">____________________________________</w:t>
            </w:r>
          </w:p>
        </w:tc>
      </w:tr>
    </w:tbl>
    <w:p>
      <w:pPr>
        <w:spacing w:after="240" w:before="80"/>
      </w:pPr>
      <w:r>
        <w:rPr>
          <w:rFonts w:ascii="Arial" w:cs="Arial" w:eastAsia="Arial" w:hAnsi="Arial"/>
          <w:color w:val="8888A0"/>
          <w:sz w:val="20"/>
          <w:szCs w:val="20"/>
        </w:rPr>
        <w:t xml:space="preserve">  ☐ AI Micro-Consulting   ☐ Custom AI MVP / PoC Build   ☐ Fractional CTO Retainer</w:t>
      </w:r>
    </w:p>
    <w:p>
      <w:pPr>
        <w:spacing w:after="0" w:before="0"/>
      </w:pPr>
      <w:r>
        <w:br w:type="page"/>
      </w:r>
    </w:p>
    <w:p>
      <w:pPr>
        <w:spacing w:after="160" w:before="480"/>
      </w:pPr>
      <w:r>
        <w:rPr>
          <w:rFonts w:ascii="Arial" w:cs="Arial" w:eastAsia="Arial" w:hAnsi="Arial"/>
          <w:b/>
          <w:bCs/>
          <w:color w:val="A3E635"/>
          <w:sz w:val="40"/>
          <w:szCs w:val="40"/>
        </w:rPr>
        <w:t xml:space="preserve">PREAMBLE</w:t>
      </w:r>
    </w:p>
    <w:p>
      <w:pPr>
        <w:pBdr>
          <w:bottom w:val="single" w:color="8900E1" w:sz="4" w:space="1"/>
        </w:pBdr>
        <w:spacing w:after="280" w:before="280"/>
      </w:pPr>
    </w:p>
    <w:p>
      <w:pPr>
        <w:spacing w:after="100" w:before="60"/>
      </w:pPr>
      <w:r>
        <w:rPr>
          <w:rFonts w:ascii="Arial" w:cs="Arial" w:eastAsia="Arial" w:hAnsi="Arial"/>
          <w:b w:val="false"/>
          <w:bCs w:val="false"/>
          <w:i w:val="false"/>
          <w:iCs w:val="false"/>
          <w:color w:val="8888A0"/>
          <w:sz w:val="22"/>
          <w:szCs w:val="22"/>
        </w:rPr>
        <w:t xml:space="preserve">This Client Services Agreement ("Agreement") is entered into between Khaotic Labs LLC, a Michigan Limited Liability Company ("Provider"), and the individual or entity identified on the cover page ("Client"). Provider and Client are each a "Party" and collectively the "Parties."</w:t>
      </w:r>
    </w:p>
    <w:p>
      <w:pPr>
        <w:spacing w:after="100" w:before="60"/>
      </w:pPr>
      <w:r>
        <w:rPr>
          <w:rFonts w:ascii="Arial" w:cs="Arial" w:eastAsia="Arial" w:hAnsi="Arial"/>
          <w:b w:val="false"/>
          <w:bCs w:val="false"/>
          <w:i w:val="false"/>
          <w:iCs w:val="false"/>
          <w:color w:val="8888A0"/>
          <w:sz w:val="22"/>
          <w:szCs w:val="22"/>
        </w:rPr>
        <w:t xml:space="preserve">This Agreement governs all services, deliverables, intellectual property, and data exchanged between the Parties. No work will commence until this Agreement is signed by both Parties and any applicable Statement of Work ("SOW") is attached.</w:t>
      </w:r>
    </w:p>
    <w:p>
      <w:pPr>
        <w:pBdr>
          <w:bottom w:val="single" w:color="8900E1" w:sz="4" w:space="1"/>
        </w:pBdr>
        <w:spacing w:after="280" w:before="280"/>
      </w:pPr>
    </w:p>
    <w:p>
      <w:pPr>
        <w:spacing w:after="160" w:before="480"/>
      </w:pPr>
      <w:r>
        <w:rPr>
          <w:rFonts w:ascii="Arial" w:cs="Arial" w:eastAsia="Arial" w:hAnsi="Arial"/>
          <w:b/>
          <w:bCs/>
          <w:color w:val="A3E635"/>
          <w:sz w:val="40"/>
          <w:szCs w:val="40"/>
        </w:rPr>
        <w:t xml:space="preserve">SECTION 1 // SCOPE OF SERVICES</w:t>
      </w:r>
    </w:p>
    <w:p>
      <w:pPr>
        <w:spacing w:after="160" w:before="360"/>
      </w:pPr>
      <w:r>
        <w:rPr>
          <w:rFonts w:ascii="Arial" w:cs="Arial" w:eastAsia="Arial" w:hAnsi="Arial"/>
          <w:b/>
          <w:bCs/>
          <w:color w:val="F0F0F8"/>
          <w:sz w:val="30"/>
          <w:szCs w:val="30"/>
        </w:rPr>
        <w:t xml:space="preserve">1.1  Services</w:t>
      </w:r>
    </w:p>
    <w:p>
      <w:pPr>
        <w:spacing w:after="100" w:before="60"/>
      </w:pPr>
      <w:r>
        <w:rPr>
          <w:rFonts w:ascii="Arial" w:cs="Arial" w:eastAsia="Arial" w:hAnsi="Arial"/>
          <w:b w:val="false"/>
          <w:bCs w:val="false"/>
          <w:i w:val="false"/>
          <w:iCs w:val="false"/>
          <w:color w:val="8888A0"/>
          <w:sz w:val="22"/>
          <w:szCs w:val="22"/>
        </w:rPr>
        <w:t xml:space="preserve">Provider agrees to perform the services described in the Statement of Work ("SOW") attached hereto as Exhibit A, which is incorporated herein by reference. The SOW describes the deliverables, timeline, acceptance criteria, and any technical specifications.</w:t>
      </w:r>
    </w:p>
    <w:p>
      <w:pPr>
        <w:spacing w:after="160" w:before="360"/>
      </w:pPr>
      <w:r>
        <w:rPr>
          <w:rFonts w:ascii="Arial" w:cs="Arial" w:eastAsia="Arial" w:hAnsi="Arial"/>
          <w:b/>
          <w:bCs/>
          <w:color w:val="F0F0F8"/>
          <w:sz w:val="30"/>
          <w:szCs w:val="30"/>
        </w:rPr>
        <w:t xml:space="preserve">1.2  Change Orders</w:t>
      </w:r>
    </w:p>
    <w:p>
      <w:pPr>
        <w:spacing w:after="100" w:before="60"/>
      </w:pPr>
      <w:r>
        <w:rPr>
          <w:rFonts w:ascii="Arial" w:cs="Arial" w:eastAsia="Arial" w:hAnsi="Arial"/>
          <w:b w:val="false"/>
          <w:bCs w:val="false"/>
          <w:i w:val="false"/>
          <w:iCs w:val="false"/>
          <w:color w:val="8888A0"/>
          <w:sz w:val="22"/>
          <w:szCs w:val="22"/>
        </w:rPr>
        <w:t xml:space="preserve">Any work not explicitly described in the applicable SOW constitutes out-of-scope work. Client requests for additional work must be submitted in writing. Provider will issue a Change Order specifying the additional scope, fees, and revised timeline. No out-of-scope work will begin without a signed Change Order.</w:t>
      </w:r>
    </w:p>
    <w:p>
      <w:pPr>
        <w:spacing w:after="160" w:before="360"/>
      </w:pPr>
      <w:r>
        <w:rPr>
          <w:rFonts w:ascii="Arial" w:cs="Arial" w:eastAsia="Arial" w:hAnsi="Arial"/>
          <w:b/>
          <w:bCs/>
          <w:color w:val="F0F0F8"/>
          <w:sz w:val="30"/>
          <w:szCs w:val="30"/>
        </w:rPr>
        <w:t xml:space="preserve">1.3  Client Responsibilities</w:t>
      </w:r>
    </w:p>
    <w:p>
      <w:pPr>
        <w:spacing w:after="100" w:before="60"/>
      </w:pPr>
      <w:r>
        <w:rPr>
          <w:rFonts w:ascii="Arial" w:cs="Arial" w:eastAsia="Arial" w:hAnsi="Arial"/>
          <w:b w:val="false"/>
          <w:bCs w:val="false"/>
          <w:i w:val="false"/>
          <w:iCs w:val="false"/>
          <w:color w:val="8888A0"/>
          <w:sz w:val="22"/>
          <w:szCs w:val="22"/>
        </w:rPr>
        <w:t xml:space="preserve">Client agrees to:</w:t>
      </w:r>
    </w:p>
    <w:p>
      <w:pPr>
        <w:pStyle w:val="ListParagraph"/>
        <w:numPr>
          <w:ilvl w:val="0"/>
          <w:numId w:val="2"/>
        </w:numPr>
        <w:spacing w:after="60" w:before="60"/>
      </w:pPr>
      <w:r>
        <w:rPr>
          <w:rFonts w:ascii="Arial" w:cs="Arial" w:eastAsia="Arial" w:hAnsi="Arial"/>
          <w:color w:val="8888A0"/>
          <w:sz w:val="22"/>
          <w:szCs w:val="22"/>
        </w:rPr>
        <w:t xml:space="preserve">Provide all required content, data, credentials, and access within agreed timelines.</w:t>
      </w:r>
    </w:p>
    <w:p>
      <w:pPr>
        <w:pStyle w:val="ListParagraph"/>
        <w:numPr>
          <w:ilvl w:val="0"/>
          <w:numId w:val="2"/>
        </w:numPr>
        <w:spacing w:after="60" w:before="60"/>
      </w:pPr>
      <w:r>
        <w:rPr>
          <w:rFonts w:ascii="Arial" w:cs="Arial" w:eastAsia="Arial" w:hAnsi="Arial"/>
          <w:color w:val="8888A0"/>
          <w:sz w:val="22"/>
          <w:szCs w:val="22"/>
        </w:rPr>
        <w:t xml:space="preserve">Designate a single point of contact for project decisions.</w:t>
      </w:r>
    </w:p>
    <w:p>
      <w:pPr>
        <w:pStyle w:val="ListParagraph"/>
        <w:numPr>
          <w:ilvl w:val="0"/>
          <w:numId w:val="2"/>
        </w:numPr>
        <w:spacing w:after="60" w:before="60"/>
      </w:pPr>
      <w:r>
        <w:rPr>
          <w:rFonts w:ascii="Arial" w:cs="Arial" w:eastAsia="Arial" w:hAnsi="Arial"/>
          <w:color w:val="8888A0"/>
          <w:sz w:val="22"/>
          <w:szCs w:val="22"/>
        </w:rPr>
        <w:t xml:space="preserve">Provide timely feedback (within 3 business days of each deliverable submission).</w:t>
      </w:r>
    </w:p>
    <w:p>
      <w:pPr>
        <w:pStyle w:val="ListParagraph"/>
        <w:numPr>
          <w:ilvl w:val="0"/>
          <w:numId w:val="2"/>
        </w:numPr>
        <w:spacing w:after="60" w:before="60"/>
      </w:pPr>
      <w:r>
        <w:rPr>
          <w:rFonts w:ascii="Arial" w:cs="Arial" w:eastAsia="Arial" w:hAnsi="Arial"/>
          <w:color w:val="8888A0"/>
          <w:sz w:val="22"/>
          <w:szCs w:val="22"/>
        </w:rPr>
        <w:t xml:space="preserve">Failure to provide required inputs within agreed timelines may result in project delays, for which Provider bears no liability.</w:t>
      </w:r>
    </w:p>
    <w:p>
      <w:pPr>
        <w:pBdr>
          <w:bottom w:val="single" w:color="8900E1" w:sz="4" w:space="1"/>
        </w:pBdr>
        <w:spacing w:after="280" w:before="280"/>
      </w:pPr>
    </w:p>
    <w:p>
      <w:pPr>
        <w:spacing w:after="160" w:before="480"/>
      </w:pPr>
      <w:r>
        <w:rPr>
          <w:rFonts w:ascii="Arial" w:cs="Arial" w:eastAsia="Arial" w:hAnsi="Arial"/>
          <w:b/>
          <w:bCs/>
          <w:color w:val="A3E635"/>
          <w:sz w:val="40"/>
          <w:szCs w:val="40"/>
        </w:rPr>
        <w:t xml:space="preserve">SECTION 2 // COMPENSATION &amp; PAYMENT</w:t>
      </w:r>
    </w:p>
    <w:p>
      <w:pPr>
        <w:spacing w:after="160" w:before="360"/>
      </w:pPr>
      <w:r>
        <w:rPr>
          <w:rFonts w:ascii="Arial" w:cs="Arial" w:eastAsia="Arial" w:hAnsi="Arial"/>
          <w:b/>
          <w:bCs/>
          <w:color w:val="F0F0F8"/>
          <w:sz w:val="30"/>
          <w:szCs w:val="30"/>
        </w:rPr>
        <w:t xml:space="preserve">2.1  Fees</w:t>
      </w:r>
    </w:p>
    <w:p>
      <w:pPr>
        <w:spacing w:after="100" w:before="60"/>
      </w:pPr>
      <w:r>
        <w:rPr>
          <w:rFonts w:ascii="Arial" w:cs="Arial" w:eastAsia="Arial" w:hAnsi="Arial"/>
          <w:b w:val="false"/>
          <w:bCs w:val="false"/>
          <w:i w:val="false"/>
          <w:iCs w:val="false"/>
          <w:color w:val="8888A0"/>
          <w:sz w:val="22"/>
          <w:szCs w:val="22"/>
        </w:rPr>
        <w:t xml:space="preserve">Compensation is structured as agreed in the applicable SOW. The Parties acknowledge that Provider uses AI-assisted tools to deliver services with high velocity, and that fixed-fee pricing reflects the value of deliverables — not time spent.</w:t>
      </w:r>
    </w:p>
    <w:p>
      <w:pPr>
        <w:spacing w:after="160" w:before="360"/>
      </w:pPr>
      <w:r>
        <w:rPr>
          <w:rFonts w:ascii="Arial" w:cs="Arial" w:eastAsia="Arial" w:hAnsi="Arial"/>
          <w:b/>
          <w:bCs/>
          <w:color w:val="F0F0F8"/>
          <w:sz w:val="30"/>
          <w:szCs w:val="30"/>
        </w:rPr>
        <w:t xml:space="preserve">2.2  Payment Schedule</w:t>
      </w:r>
    </w:p>
    <w:p>
      <w:pPr>
        <w:spacing w:after="100" w:before="60"/>
      </w:pPr>
      <w:r>
        <w:rPr>
          <w:rFonts w:ascii="Arial" w:cs="Arial" w:eastAsia="Arial" w:hAnsi="Arial"/>
          <w:b w:val="false"/>
          <w:bCs w:val="false"/>
          <w:i w:val="false"/>
          <w:iCs w:val="false"/>
          <w:color w:val="8888A0"/>
          <w:sz w:val="22"/>
          <w:szCs w:val="22"/>
        </w:rPr>
        <w:t xml:space="preserve">Unless otherwise specified in the SOW:</w:t>
      </w:r>
    </w:p>
    <w:p>
      <w:pPr>
        <w:pStyle w:val="ListParagraph"/>
        <w:numPr>
          <w:ilvl w:val="0"/>
          <w:numId w:val="2"/>
        </w:numPr>
        <w:spacing w:after="60" w:before="60"/>
      </w:pPr>
      <w:r>
        <w:rPr>
          <w:rFonts w:ascii="Arial" w:cs="Arial" w:eastAsia="Arial" w:hAnsi="Arial"/>
          <w:color w:val="8888A0"/>
          <w:sz w:val="22"/>
          <w:szCs w:val="22"/>
        </w:rPr>
        <w:t xml:space="preserve">AI Micro-Consulting: 100% due before work commences.</w:t>
      </w:r>
    </w:p>
    <w:p>
      <w:pPr>
        <w:pStyle w:val="ListParagraph"/>
        <w:numPr>
          <w:ilvl w:val="0"/>
          <w:numId w:val="2"/>
        </w:numPr>
        <w:spacing w:after="60" w:before="60"/>
      </w:pPr>
      <w:r>
        <w:rPr>
          <w:rFonts w:ascii="Arial" w:cs="Arial" w:eastAsia="Arial" w:hAnsi="Arial"/>
          <w:color w:val="8888A0"/>
          <w:sz w:val="22"/>
          <w:szCs w:val="22"/>
        </w:rPr>
        <w:t xml:space="preserve">Custom AI MVP / PoC Build: 50% due at contract signing; 50% due upon final delivery and acceptance.</w:t>
      </w:r>
    </w:p>
    <w:p>
      <w:pPr>
        <w:pStyle w:val="ListParagraph"/>
        <w:numPr>
          <w:ilvl w:val="0"/>
          <w:numId w:val="2"/>
        </w:numPr>
        <w:spacing w:after="60" w:before="60"/>
      </w:pPr>
      <w:r>
        <w:rPr>
          <w:rFonts w:ascii="Arial" w:cs="Arial" w:eastAsia="Arial" w:hAnsi="Arial"/>
          <w:color w:val="8888A0"/>
          <w:sz w:val="22"/>
          <w:szCs w:val="22"/>
        </w:rPr>
        <w:t xml:space="preserve">Fractional CTO Retainer: Monthly retainer due on the 1st of each billing month, invoiced via Wave.</w:t>
      </w:r>
    </w:p>
    <w:p>
      <w:pPr>
        <w:spacing w:after="160" w:before="360"/>
      </w:pPr>
      <w:r>
        <w:rPr>
          <w:rFonts w:ascii="Arial" w:cs="Arial" w:eastAsia="Arial" w:hAnsi="Arial"/>
          <w:b/>
          <w:bCs/>
          <w:color w:val="F0F0F8"/>
          <w:sz w:val="30"/>
          <w:szCs w:val="30"/>
        </w:rPr>
        <w:t xml:space="preserve">2.3  Late Payment</w:t>
      </w:r>
    </w:p>
    <w:p>
      <w:pPr>
        <w:spacing w:after="100" w:before="60"/>
      </w:pPr>
      <w:r>
        <w:rPr>
          <w:rFonts w:ascii="Arial" w:cs="Arial" w:eastAsia="Arial" w:hAnsi="Arial"/>
          <w:b w:val="false"/>
          <w:bCs w:val="false"/>
          <w:i w:val="false"/>
          <w:iCs w:val="false"/>
          <w:color w:val="8888A0"/>
          <w:sz w:val="22"/>
          <w:szCs w:val="22"/>
        </w:rPr>
        <w:t xml:space="preserve">Invoices unpaid after 15 days of the due date accrue interest at 1.5% per month. Provider reserves the right to suspend services for accounts more than 30 days past due without liability for resulting delays.</w:t>
      </w:r>
    </w:p>
    <w:p>
      <w:pPr>
        <w:spacing w:after="160" w:before="360"/>
      </w:pPr>
      <w:r>
        <w:rPr>
          <w:rFonts w:ascii="Arial" w:cs="Arial" w:eastAsia="Arial" w:hAnsi="Arial"/>
          <w:b/>
          <w:bCs/>
          <w:color w:val="F0F0F8"/>
          <w:sz w:val="30"/>
          <w:szCs w:val="30"/>
        </w:rPr>
        <w:t xml:space="preserve">2.4  Expenses</w:t>
      </w:r>
    </w:p>
    <w:p>
      <w:pPr>
        <w:spacing w:after="100" w:before="60"/>
      </w:pPr>
      <w:r>
        <w:rPr>
          <w:rFonts w:ascii="Arial" w:cs="Arial" w:eastAsia="Arial" w:hAnsi="Arial"/>
          <w:b w:val="false"/>
          <w:bCs w:val="false"/>
          <w:i w:val="false"/>
          <w:iCs w:val="false"/>
          <w:color w:val="8888A0"/>
          <w:sz w:val="22"/>
          <w:szCs w:val="22"/>
        </w:rPr>
        <w:t xml:space="preserve">Client is responsible for any third-party costs pre-approved in writing (e.g., API subscription fees, domain registration, paid cloud infrastructure). Provider will not incur third-party costs on Client's behalf without written approval.</w:t>
      </w:r>
    </w:p>
    <w:p>
      <w:pPr>
        <w:pBdr>
          <w:bottom w:val="single" w:color="8900E1" w:sz="4" w:space="1"/>
        </w:pBdr>
        <w:spacing w:after="280" w:before="280"/>
      </w:pPr>
    </w:p>
    <w:p>
      <w:pPr>
        <w:spacing w:after="160" w:before="480"/>
      </w:pPr>
      <w:r>
        <w:rPr>
          <w:rFonts w:ascii="Arial" w:cs="Arial" w:eastAsia="Arial" w:hAnsi="Arial"/>
          <w:b/>
          <w:bCs/>
          <w:color w:val="A3E635"/>
          <w:sz w:val="40"/>
          <w:szCs w:val="40"/>
        </w:rPr>
        <w:t xml:space="preserve">SECTION 3 // INTELLECTUAL PROPERTY</w:t>
      </w:r>
    </w:p>
    <w:p>
      <w:pPr>
        <w:spacing w:after="160" w:before="360"/>
      </w:pPr>
      <w:r>
        <w:rPr>
          <w:rFonts w:ascii="Arial" w:cs="Arial" w:eastAsia="Arial" w:hAnsi="Arial"/>
          <w:b/>
          <w:bCs/>
          <w:color w:val="F0F0F8"/>
          <w:sz w:val="30"/>
          <w:szCs w:val="30"/>
        </w:rPr>
        <w:t xml:space="preserve">3.1  Work Product Ownership</w:t>
      </w:r>
    </w:p>
    <w:p>
      <w:pPr>
        <w:spacing w:after="100" w:before="60"/>
      </w:pPr>
      <w:r>
        <w:rPr>
          <w:rFonts w:ascii="Arial" w:cs="Arial" w:eastAsia="Arial" w:hAnsi="Arial"/>
          <w:b w:val="false"/>
          <w:bCs w:val="false"/>
          <w:i w:val="false"/>
          <w:iCs w:val="false"/>
          <w:color w:val="8888A0"/>
          <w:sz w:val="22"/>
          <w:szCs w:val="22"/>
        </w:rPr>
        <w:t xml:space="preserve">Upon receipt of full payment, Provider assigns to Client all right, title, and interest in the final deliverables specified in the applicable SOW, including all intellectual property rights therein, to the extent permitted by law.</w:t>
      </w:r>
    </w:p>
    <w:p>
      <w:pPr>
        <w:spacing w:after="160" w:before="360"/>
      </w:pPr>
      <w:r>
        <w:rPr>
          <w:rFonts w:ascii="Arial" w:cs="Arial" w:eastAsia="Arial" w:hAnsi="Arial"/>
          <w:b/>
          <w:bCs/>
          <w:color w:val="F0F0F8"/>
          <w:sz w:val="30"/>
          <w:szCs w:val="30"/>
        </w:rPr>
        <w:t xml:space="preserve">3.2  Provider Retained Rights</w:t>
      </w:r>
    </w:p>
    <w:p>
      <w:pPr>
        <w:spacing w:after="100" w:before="60"/>
      </w:pPr>
      <w:r>
        <w:rPr>
          <w:rFonts w:ascii="Arial" w:cs="Arial" w:eastAsia="Arial" w:hAnsi="Arial"/>
          <w:b w:val="false"/>
          <w:bCs w:val="false"/>
          <w:i w:val="false"/>
          <w:iCs w:val="false"/>
          <w:color w:val="8888A0"/>
          <w:sz w:val="22"/>
          <w:szCs w:val="22"/>
        </w:rPr>
        <w:t xml:space="preserve">Provider retains ownership of: (a) all pre-existing intellectual property, tools, frameworks, and methodologies ("Background IP"), including all code in the shared pkg/ and .khaotic/ libraries; (b) any AI-assisted outputs that are not specifically identified as a deliverable in the SOW. Provider grants Client a non-exclusive, perpetual license to use Background IP incorporated into deliverables solely for Client's internal business purposes.</w:t>
      </w:r>
    </w:p>
    <w:p>
      <w:pPr>
        <w:spacing w:after="160" w:before="360"/>
      </w:pPr>
      <w:r>
        <w:rPr>
          <w:rFonts w:ascii="Arial" w:cs="Arial" w:eastAsia="Arial" w:hAnsi="Arial"/>
          <w:b/>
          <w:bCs/>
          <w:color w:val="F0F0F8"/>
          <w:sz w:val="30"/>
          <w:szCs w:val="30"/>
        </w:rPr>
        <w:t xml:space="preserve">3.3  Third-Party Components</w:t>
      </w:r>
    </w:p>
    <w:p>
      <w:pPr>
        <w:spacing w:after="100" w:before="60"/>
      </w:pPr>
      <w:r>
        <w:rPr>
          <w:rFonts w:ascii="Arial" w:cs="Arial" w:eastAsia="Arial" w:hAnsi="Arial"/>
          <w:b w:val="false"/>
          <w:bCs w:val="false"/>
          <w:i w:val="false"/>
          <w:iCs w:val="false"/>
          <w:color w:val="8888A0"/>
          <w:sz w:val="22"/>
          <w:szCs w:val="22"/>
        </w:rPr>
        <w:t xml:space="preserve">Deliverables may incorporate open-source libraries, APIs, or third-party services subject to their own license terms. Provider will identify all material third-party components in the SOW. Client is responsible for compliance with applicable open-source licenses.</w:t>
      </w:r>
    </w:p>
    <w:p>
      <w:pPr>
        <w:pBdr>
          <w:bottom w:val="single" w:color="8900E1" w:sz="4" w:space="1"/>
        </w:pBdr>
        <w:spacing w:after="280" w:before="280"/>
      </w:pPr>
    </w:p>
    <w:p>
      <w:pPr>
        <w:spacing w:after="160" w:before="480"/>
      </w:pPr>
      <w:r>
        <w:rPr>
          <w:rFonts w:ascii="Arial" w:cs="Arial" w:eastAsia="Arial" w:hAnsi="Arial"/>
          <w:b/>
          <w:bCs/>
          <w:color w:val="A3E635"/>
          <w:sz w:val="40"/>
          <w:szCs w:val="40"/>
        </w:rPr>
        <w:t xml:space="preserve">SECTION 4 // DATA, PRIVACY &amp; AI USAGE</w:t>
      </w:r>
    </w:p>
    <w:p>
      <w:pPr>
        <w:spacing w:after="160" w:before="360"/>
      </w:pPr>
      <w:r>
        <w:rPr>
          <w:rFonts w:ascii="Arial" w:cs="Arial" w:eastAsia="Arial" w:hAnsi="Arial"/>
          <w:b/>
          <w:bCs/>
          <w:color w:val="F0F0F8"/>
          <w:sz w:val="30"/>
          <w:szCs w:val="30"/>
        </w:rPr>
        <w:t xml:space="preserve">4.1  Client Data Ownership</w:t>
      </w:r>
    </w:p>
    <w:p>
      <w:pPr>
        <w:spacing w:after="100" w:before="60"/>
      </w:pPr>
      <w:r>
        <w:rPr>
          <w:rFonts w:ascii="Arial" w:cs="Arial" w:eastAsia="Arial" w:hAnsi="Arial"/>
          <w:b w:val="false"/>
          <w:bCs w:val="false"/>
          <w:i w:val="false"/>
          <w:iCs w:val="false"/>
          <w:color w:val="8888A0"/>
          <w:sz w:val="22"/>
          <w:szCs w:val="22"/>
        </w:rPr>
        <w:t xml:space="preserve">Client retains 100% ownership of all proprietary data, content, and materials provided to Provider ("Client Data"). Provider does not claim any rights in Client Data.</w:t>
      </w:r>
    </w:p>
    <w:p>
      <w:pPr>
        <w:spacing w:after="160" w:before="360"/>
      </w:pPr>
      <w:r>
        <w:rPr>
          <w:rFonts w:ascii="Arial" w:cs="Arial" w:eastAsia="Arial" w:hAnsi="Arial"/>
          <w:b/>
          <w:bCs/>
          <w:color w:val="F0F0F8"/>
          <w:sz w:val="30"/>
          <w:szCs w:val="30"/>
        </w:rPr>
        <w:t xml:space="preserve">4.2  Data Isolation</w:t>
      </w:r>
    </w:p>
    <w:p>
      <w:pPr>
        <w:spacing w:after="100" w:before="60"/>
      </w:pPr>
      <w:r>
        <w:rPr>
          <w:rFonts w:ascii="Arial" w:cs="Arial" w:eastAsia="Arial" w:hAnsi="Arial"/>
          <w:b w:val="false"/>
          <w:bCs w:val="false"/>
          <w:i w:val="false"/>
          <w:iCs w:val="false"/>
          <w:color w:val="8888A0"/>
          <w:sz w:val="22"/>
          <w:szCs w:val="22"/>
        </w:rPr>
        <w:t xml:space="preserve">Client Data is processed in isolated environments. Where databases are deployed, each Client receives a dedicated, isolated database instance (Turso or equivalent). No Client Data is commingled with data from other clients.</w:t>
      </w:r>
    </w:p>
    <w:p>
      <w:pPr>
        <w:spacing w:after="160" w:before="360"/>
      </w:pPr>
      <w:r>
        <w:rPr>
          <w:rFonts w:ascii="Arial" w:cs="Arial" w:eastAsia="Arial" w:hAnsi="Arial"/>
          <w:b/>
          <w:bCs/>
          <w:color w:val="F0F0F8"/>
          <w:sz w:val="30"/>
          <w:szCs w:val="30"/>
        </w:rPr>
        <w:t xml:space="preserve">4.3  AI Model Training Exclusion (CRITICAL)</w:t>
      </w:r>
    </w:p>
    <w:p>
      <w:pPr>
        <w:spacing w:after="100" w:before="60"/>
      </w:pPr>
      <w:r>
        <w:rPr>
          <w:rFonts w:ascii="Arial" w:cs="Arial" w:eastAsia="Arial" w:hAnsi="Arial"/>
          <w:b/>
          <w:bCs/>
          <w:i w:val="false"/>
          <w:iCs w:val="false"/>
          <w:color w:val="8888A0"/>
          <w:sz w:val="22"/>
          <w:szCs w:val="22"/>
        </w:rPr>
        <w:t xml:space="preserve">"Provider represents and warrants that Client Data will not be used to train, fine-tune, or otherwise improve any publicly available AI or machine learning model. Provider uses only secure, commercial API endpoints (including Anthropic Claude Pro API and Google Gemini API developer tiers) where data is encrypted in transit and at rest, isolated per-session, and explicitly excluded from public model training by the respective providers' terms of service."</w:t>
      </w:r>
    </w:p>
    <w:p>
      <w:pPr>
        <w:spacing w:after="160" w:before="360"/>
      </w:pPr>
      <w:r>
        <w:rPr>
          <w:rFonts w:ascii="Arial" w:cs="Arial" w:eastAsia="Arial" w:hAnsi="Arial"/>
          <w:b/>
          <w:bCs/>
          <w:color w:val="F0F0F8"/>
          <w:sz w:val="30"/>
          <w:szCs w:val="30"/>
        </w:rPr>
        <w:t xml:space="preserve">4.4  Data Security</w:t>
      </w:r>
    </w:p>
    <w:p>
      <w:pPr>
        <w:spacing w:after="100" w:before="60"/>
      </w:pPr>
      <w:r>
        <w:rPr>
          <w:rFonts w:ascii="Arial" w:cs="Arial" w:eastAsia="Arial" w:hAnsi="Arial"/>
          <w:b w:val="false"/>
          <w:bCs w:val="false"/>
          <w:i w:val="false"/>
          <w:iCs w:val="false"/>
          <w:color w:val="8888A0"/>
          <w:sz w:val="22"/>
          <w:szCs w:val="22"/>
        </w:rPr>
        <w:t xml:space="preserve">Provider will implement reasonable technical safeguards appropriate to the sensitivity of Client Data. Provider will notify Client within 72 hours of discovering any confirmed data breach affecting Client Data.</w:t>
      </w:r>
    </w:p>
    <w:p>
      <w:pPr>
        <w:spacing w:after="160" w:before="360"/>
      </w:pPr>
      <w:r>
        <w:rPr>
          <w:rFonts w:ascii="Arial" w:cs="Arial" w:eastAsia="Arial" w:hAnsi="Arial"/>
          <w:b/>
          <w:bCs/>
          <w:color w:val="F0F0F8"/>
          <w:sz w:val="30"/>
          <w:szCs w:val="30"/>
        </w:rPr>
        <w:t xml:space="preserve">4.5  Data Retention &amp; Deletion</w:t>
      </w:r>
    </w:p>
    <w:p>
      <w:pPr>
        <w:spacing w:after="100" w:before="60"/>
      </w:pPr>
      <w:r>
        <w:rPr>
          <w:rFonts w:ascii="Arial" w:cs="Arial" w:eastAsia="Arial" w:hAnsi="Arial"/>
          <w:b w:val="false"/>
          <w:bCs w:val="false"/>
          <w:i w:val="false"/>
          <w:iCs w:val="false"/>
          <w:color w:val="8888A0"/>
          <w:sz w:val="22"/>
          <w:szCs w:val="22"/>
        </w:rPr>
        <w:t xml:space="preserve">Upon project completion or Agreement termination, Provider will, at Client's written request, return or securely delete Client Data within 30 days.</w:t>
      </w:r>
    </w:p>
    <w:p>
      <w:pPr>
        <w:pBdr>
          <w:bottom w:val="single" w:color="8900E1" w:sz="4" w:space="1"/>
        </w:pBdr>
        <w:spacing w:after="280" w:before="280"/>
      </w:pPr>
    </w:p>
    <w:p>
      <w:pPr>
        <w:spacing w:after="160" w:before="480"/>
      </w:pPr>
      <w:r>
        <w:rPr>
          <w:rFonts w:ascii="Arial" w:cs="Arial" w:eastAsia="Arial" w:hAnsi="Arial"/>
          <w:b/>
          <w:bCs/>
          <w:color w:val="A3E635"/>
          <w:sz w:val="40"/>
          <w:szCs w:val="40"/>
        </w:rPr>
        <w:t xml:space="preserve">SECTION 5 // AI DISCLAIMERS &amp; WARRANTIES</w:t>
      </w:r>
    </w:p>
    <w:p>
      <w:pPr>
        <w:spacing w:after="160" w:before="360"/>
      </w:pPr>
      <w:r>
        <w:rPr>
          <w:rFonts w:ascii="Arial" w:cs="Arial" w:eastAsia="Arial" w:hAnsi="Arial"/>
          <w:b/>
          <w:bCs/>
          <w:color w:val="F0F0F8"/>
          <w:sz w:val="30"/>
          <w:szCs w:val="30"/>
        </w:rPr>
        <w:t xml:space="preserve">5.1  AI-Generated Content — As-Is Disclaimer</w:t>
      </w:r>
    </w:p>
    <w:p>
      <w:pPr>
        <w:spacing w:after="100" w:before="60"/>
      </w:pPr>
      <w:r>
        <w:rPr>
          <w:rFonts w:ascii="Arial" w:cs="Arial" w:eastAsia="Arial" w:hAnsi="Arial"/>
          <w:b w:val="false"/>
          <w:bCs w:val="false"/>
          <w:i w:val="false"/>
          <w:iCs w:val="false"/>
          <w:color w:val="8888A0"/>
          <w:sz w:val="22"/>
          <w:szCs w:val="22"/>
        </w:rPr>
        <w:t xml:space="preserve">"Any components, code, content, analyses, or other deliverables generated in whole or in part using artificial intelligence tools are provided AS-IS. Provider makes no warranties, express or implied, regarding: (a) the absolute factual accuracy of AI-generated content; (b) the absolute originality or non-infringement of AI-generated outputs; or (c) the fitness of AI-generated content for any specific purpose not explicitly tested and validated in the SOW."</w:t>
      </w:r>
    </w:p>
    <w:p>
      <w:pPr>
        <w:spacing w:after="160" w:before="360"/>
      </w:pPr>
      <w:r>
        <w:rPr>
          <w:rFonts w:ascii="Arial" w:cs="Arial" w:eastAsia="Arial" w:hAnsi="Arial"/>
          <w:b/>
          <w:bCs/>
          <w:color w:val="F0F0F8"/>
          <w:sz w:val="30"/>
          <w:szCs w:val="30"/>
        </w:rPr>
        <w:t xml:space="preserve">5.2  Hallucination Limitation</w:t>
      </w:r>
    </w:p>
    <w:p>
      <w:pPr>
        <w:spacing w:after="100" w:before="60"/>
      </w:pPr>
      <w:r>
        <w:rPr>
          <w:rFonts w:ascii="Arial" w:cs="Arial" w:eastAsia="Arial" w:hAnsi="Arial"/>
          <w:b w:val="false"/>
          <w:bCs w:val="false"/>
          <w:i w:val="false"/>
          <w:iCs w:val="false"/>
          <w:color w:val="8888A0"/>
          <w:sz w:val="22"/>
          <w:szCs w:val="22"/>
        </w:rPr>
        <w:t xml:space="preserve">Client acknowledges that large language models can produce inaccurate, incomplete, or contextually incorrect outputs ("hallucinations"). Provider will apply reasonable quality controls, but Client is responsible for validating AI-generated deliverables against Client's specific business requirements before production deployment.</w:t>
      </w:r>
    </w:p>
    <w:p>
      <w:pPr>
        <w:spacing w:after="160" w:before="360"/>
      </w:pPr>
      <w:r>
        <w:rPr>
          <w:rFonts w:ascii="Arial" w:cs="Arial" w:eastAsia="Arial" w:hAnsi="Arial"/>
          <w:b/>
          <w:bCs/>
          <w:color w:val="F0F0F8"/>
          <w:sz w:val="30"/>
          <w:szCs w:val="30"/>
        </w:rPr>
        <w:t xml:space="preserve">5.3  Provider's General Warranties</w:t>
      </w:r>
    </w:p>
    <w:p>
      <w:pPr>
        <w:spacing w:after="100" w:before="60"/>
      </w:pPr>
      <w:r>
        <w:rPr>
          <w:rFonts w:ascii="Arial" w:cs="Arial" w:eastAsia="Arial" w:hAnsi="Arial"/>
          <w:b w:val="false"/>
          <w:bCs w:val="false"/>
          <w:i w:val="false"/>
          <w:iCs w:val="false"/>
          <w:color w:val="8888A0"/>
          <w:sz w:val="22"/>
          <w:szCs w:val="22"/>
        </w:rPr>
        <w:t xml:space="preserve">Provider warrants that: (a) it has the right to enter into this Agreement; (b) services will be performed in a professional and workmanlike manner consistent with industry standards; (c) deliverables will substantially conform to the specifications in the applicable SOW.</w:t>
      </w:r>
    </w:p>
    <w:p>
      <w:pPr>
        <w:pBdr>
          <w:bottom w:val="single" w:color="8900E1" w:sz="4" w:space="1"/>
        </w:pBdr>
        <w:spacing w:after="280" w:before="280"/>
      </w:pPr>
    </w:p>
    <w:p>
      <w:pPr>
        <w:spacing w:after="160" w:before="480"/>
      </w:pPr>
      <w:r>
        <w:rPr>
          <w:rFonts w:ascii="Arial" w:cs="Arial" w:eastAsia="Arial" w:hAnsi="Arial"/>
          <w:b/>
          <w:bCs/>
          <w:color w:val="A3E635"/>
          <w:sz w:val="40"/>
          <w:szCs w:val="40"/>
        </w:rPr>
        <w:t xml:space="preserve">SECTION 6 // LIMITATION OF LIABILITY &amp; INDEMNIFICATION</w:t>
      </w:r>
    </w:p>
    <w:p>
      <w:pPr>
        <w:spacing w:after="160" w:before="360"/>
      </w:pPr>
      <w:r>
        <w:rPr>
          <w:rFonts w:ascii="Arial" w:cs="Arial" w:eastAsia="Arial" w:hAnsi="Arial"/>
          <w:b/>
          <w:bCs/>
          <w:color w:val="F0F0F8"/>
          <w:sz w:val="30"/>
          <w:szCs w:val="30"/>
        </w:rPr>
        <w:t xml:space="preserve">6.1  Limitation of Liability</w:t>
      </w:r>
    </w:p>
    <w:p>
      <w:pPr>
        <w:spacing w:after="100" w:before="60"/>
      </w:pPr>
      <w:r>
        <w:rPr>
          <w:rFonts w:ascii="Arial" w:cs="Arial" w:eastAsia="Arial" w:hAnsi="Arial"/>
          <w:b/>
          <w:bCs/>
          <w:i w:val="false"/>
          <w:iCs w:val="false"/>
          <w:color w:val="8888A0"/>
          <w:sz w:val="22"/>
          <w:szCs w:val="22"/>
        </w:rPr>
        <w:t xml:space="preserve">"IN NO EVENT WILL PROVIDER'S AGGREGATE LIABILITY TO CLIENT EXCEED THE TOTAL FEES PAID BY CLIENT TO PROVIDER UNDER THE APPLICABLE SOW DURING THE 3 MONTHS PRECEDING THE CLAIM. IN NO EVENT WILL PROVIDER BE LIABLE FOR ANY INDIRECT, INCIDENTAL, SPECIAL, CONSEQUENTIAL, OR PUNITIVE DAMAGES, REGARDLESS OF CAUSE OR THEORY OF LIABILITY, EVEN IF PROVIDER HAS BEEN ADVISED OF THE POSSIBILITY OF SUCH DAMAGES."</w:t>
      </w:r>
    </w:p>
    <w:p>
      <w:pPr>
        <w:spacing w:after="160" w:before="360"/>
      </w:pPr>
      <w:r>
        <w:rPr>
          <w:rFonts w:ascii="Arial" w:cs="Arial" w:eastAsia="Arial" w:hAnsi="Arial"/>
          <w:b/>
          <w:bCs/>
          <w:color w:val="F0F0F8"/>
          <w:sz w:val="30"/>
          <w:szCs w:val="30"/>
        </w:rPr>
        <w:t xml:space="preserve">6.2  Mutual Indemnification — Third-Party IP</w:t>
      </w:r>
    </w:p>
    <w:p>
      <w:pPr>
        <w:spacing w:after="100" w:before="60"/>
      </w:pPr>
      <w:r>
        <w:rPr>
          <w:rFonts w:ascii="Arial" w:cs="Arial" w:eastAsia="Arial" w:hAnsi="Arial"/>
          <w:b w:val="false"/>
          <w:bCs w:val="false"/>
          <w:i w:val="false"/>
          <w:iCs w:val="false"/>
          <w:color w:val="8888A0"/>
          <w:sz w:val="22"/>
          <w:szCs w:val="22"/>
        </w:rPr>
        <w:t xml:space="preserve">Each Party agrees to indemnify, defend, and hold harmless the other Party from and against any third-party claims arising from: (a) the indemnifying Party's breach of this Agreement; (b) the indemnifying Party's infringement of any third-party intellectual property right; or (c) Client's provision of data or materials that violate applicable privacy regulations (including GDPR, CCPA, or HIPAA where applicable).</w:t>
      </w:r>
    </w:p>
    <w:p>
      <w:pPr>
        <w:spacing w:after="160" w:before="360"/>
      </w:pPr>
      <w:r>
        <w:rPr>
          <w:rFonts w:ascii="Arial" w:cs="Arial" w:eastAsia="Arial" w:hAnsi="Arial"/>
          <w:b/>
          <w:bCs/>
          <w:color w:val="F0F0F8"/>
          <w:sz w:val="30"/>
          <w:szCs w:val="30"/>
        </w:rPr>
        <w:t xml:space="preserve">6.3  Force Majeure</w:t>
      </w:r>
    </w:p>
    <w:p>
      <w:pPr>
        <w:spacing w:after="100" w:before="60"/>
      </w:pPr>
      <w:r>
        <w:rPr>
          <w:rFonts w:ascii="Arial" w:cs="Arial" w:eastAsia="Arial" w:hAnsi="Arial"/>
          <w:b w:val="false"/>
          <w:bCs w:val="false"/>
          <w:i w:val="false"/>
          <w:iCs w:val="false"/>
          <w:color w:val="8888A0"/>
          <w:sz w:val="22"/>
          <w:szCs w:val="22"/>
        </w:rPr>
        <w:t xml:space="preserve">Neither Party will be liable for delays caused by circumstances beyond that Party's reasonable control, including natural disasters, government actions, utility failures, or internet infrastructure outages, provided the affected Party provides prompt written notice.</w:t>
      </w:r>
    </w:p>
    <w:p>
      <w:pPr>
        <w:pBdr>
          <w:bottom w:val="single" w:color="8900E1" w:sz="4" w:space="1"/>
        </w:pBdr>
        <w:spacing w:after="280" w:before="280"/>
      </w:pPr>
    </w:p>
    <w:p>
      <w:pPr>
        <w:spacing w:after="160" w:before="480"/>
      </w:pPr>
      <w:r>
        <w:rPr>
          <w:rFonts w:ascii="Arial" w:cs="Arial" w:eastAsia="Arial" w:hAnsi="Arial"/>
          <w:b/>
          <w:bCs/>
          <w:color w:val="A3E635"/>
          <w:sz w:val="40"/>
          <w:szCs w:val="40"/>
        </w:rPr>
        <w:t xml:space="preserve">SECTION 7 // CONFIDENTIALITY</w:t>
      </w:r>
    </w:p>
    <w:p>
      <w:pPr>
        <w:spacing w:after="160" w:before="360"/>
      </w:pPr>
      <w:r>
        <w:rPr>
          <w:rFonts w:ascii="Arial" w:cs="Arial" w:eastAsia="Arial" w:hAnsi="Arial"/>
          <w:b/>
          <w:bCs/>
          <w:color w:val="F0F0F8"/>
          <w:sz w:val="30"/>
          <w:szCs w:val="30"/>
        </w:rPr>
        <w:t xml:space="preserve">7.1  Definition</w:t>
      </w:r>
    </w:p>
    <w:p>
      <w:pPr>
        <w:spacing w:after="100" w:before="60"/>
      </w:pPr>
      <w:r>
        <w:rPr>
          <w:rFonts w:ascii="Arial" w:cs="Arial" w:eastAsia="Arial" w:hAnsi="Arial"/>
          <w:b w:val="false"/>
          <w:bCs w:val="false"/>
          <w:i w:val="false"/>
          <w:iCs w:val="false"/>
          <w:color w:val="8888A0"/>
          <w:sz w:val="22"/>
          <w:szCs w:val="22"/>
        </w:rPr>
        <w:t xml:space="preserve">"Confidential Information" means any non-public business, technical, or financial information disclosed by one Party to the other in connection with this Agreement, including but not limited to source code, algorithms, architecture decisions, client lists, pricing, and business strategies.</w:t>
      </w:r>
    </w:p>
    <w:p>
      <w:pPr>
        <w:spacing w:after="160" w:before="360"/>
      </w:pPr>
      <w:r>
        <w:rPr>
          <w:rFonts w:ascii="Arial" w:cs="Arial" w:eastAsia="Arial" w:hAnsi="Arial"/>
          <w:b/>
          <w:bCs/>
          <w:color w:val="F0F0F8"/>
          <w:sz w:val="30"/>
          <w:szCs w:val="30"/>
        </w:rPr>
        <w:t xml:space="preserve">7.2  Obligations</w:t>
      </w:r>
    </w:p>
    <w:p>
      <w:pPr>
        <w:spacing w:after="100" w:before="60"/>
      </w:pPr>
      <w:r>
        <w:rPr>
          <w:rFonts w:ascii="Arial" w:cs="Arial" w:eastAsia="Arial" w:hAnsi="Arial"/>
          <w:b w:val="false"/>
          <w:bCs w:val="false"/>
          <w:i w:val="false"/>
          <w:iCs w:val="false"/>
          <w:color w:val="8888A0"/>
          <w:sz w:val="22"/>
          <w:szCs w:val="22"/>
        </w:rPr>
        <w:t xml:space="preserve">Each Party agrees to: (a) hold the other's Confidential Information in strict confidence; (b) use it only to perform obligations under this Agreement; (c) not disclose it to any third party without prior written consent.</w:t>
      </w:r>
    </w:p>
    <w:p>
      <w:pPr>
        <w:spacing w:after="160" w:before="360"/>
      </w:pPr>
      <w:r>
        <w:rPr>
          <w:rFonts w:ascii="Arial" w:cs="Arial" w:eastAsia="Arial" w:hAnsi="Arial"/>
          <w:b/>
          <w:bCs/>
          <w:color w:val="F0F0F8"/>
          <w:sz w:val="30"/>
          <w:szCs w:val="30"/>
        </w:rPr>
        <w:t xml:space="preserve">7.3  Exclusions</w:t>
      </w:r>
    </w:p>
    <w:p>
      <w:pPr>
        <w:spacing w:after="100" w:before="60"/>
      </w:pPr>
      <w:r>
        <w:rPr>
          <w:rFonts w:ascii="Arial" w:cs="Arial" w:eastAsia="Arial" w:hAnsi="Arial"/>
          <w:b w:val="false"/>
          <w:bCs w:val="false"/>
          <w:i w:val="false"/>
          <w:iCs w:val="false"/>
          <w:color w:val="8888A0"/>
          <w:sz w:val="22"/>
          <w:szCs w:val="22"/>
        </w:rPr>
        <w:t xml:space="preserve">Confidentiality obligations do not apply to information that: (a) is or becomes publicly available without breach of this Agreement; (b) was rightfully known before disclosure; (c) is independently developed; or (d) must be disclosed by law or court order (with prompt notice to the disclosing Party).</w:t>
      </w:r>
    </w:p>
    <w:p>
      <w:pPr>
        <w:spacing w:after="160" w:before="360"/>
      </w:pPr>
      <w:r>
        <w:rPr>
          <w:rFonts w:ascii="Arial" w:cs="Arial" w:eastAsia="Arial" w:hAnsi="Arial"/>
          <w:b/>
          <w:bCs/>
          <w:color w:val="F0F0F8"/>
          <w:sz w:val="30"/>
          <w:szCs w:val="30"/>
        </w:rPr>
        <w:t xml:space="preserve">7.4  Survival</w:t>
      </w:r>
    </w:p>
    <w:p>
      <w:pPr>
        <w:spacing w:after="100" w:before="60"/>
      </w:pPr>
      <w:r>
        <w:rPr>
          <w:rFonts w:ascii="Arial" w:cs="Arial" w:eastAsia="Arial" w:hAnsi="Arial"/>
          <w:b w:val="false"/>
          <w:bCs w:val="false"/>
          <w:i w:val="false"/>
          <w:iCs w:val="false"/>
          <w:color w:val="8888A0"/>
          <w:sz w:val="22"/>
          <w:szCs w:val="22"/>
        </w:rPr>
        <w:t xml:space="preserve">Confidentiality obligations survive termination of this Agreement for a period of 3 years.</w:t>
      </w:r>
    </w:p>
    <w:p>
      <w:pPr>
        <w:pBdr>
          <w:bottom w:val="single" w:color="8900E1" w:sz="4" w:space="1"/>
        </w:pBdr>
        <w:spacing w:after="280" w:before="280"/>
      </w:pPr>
    </w:p>
    <w:p>
      <w:pPr>
        <w:spacing w:after="160" w:before="480"/>
      </w:pPr>
      <w:r>
        <w:rPr>
          <w:rFonts w:ascii="Arial" w:cs="Arial" w:eastAsia="Arial" w:hAnsi="Arial"/>
          <w:b/>
          <w:bCs/>
          <w:color w:val="A3E635"/>
          <w:sz w:val="40"/>
          <w:szCs w:val="40"/>
        </w:rPr>
        <w:t xml:space="preserve">SECTION 8 // TERM, TERMINATION &amp; DISPUTES</w:t>
      </w:r>
    </w:p>
    <w:p>
      <w:pPr>
        <w:spacing w:after="160" w:before="360"/>
      </w:pPr>
      <w:r>
        <w:rPr>
          <w:rFonts w:ascii="Arial" w:cs="Arial" w:eastAsia="Arial" w:hAnsi="Arial"/>
          <w:b/>
          <w:bCs/>
          <w:color w:val="F0F0F8"/>
          <w:sz w:val="30"/>
          <w:szCs w:val="30"/>
        </w:rPr>
        <w:t xml:space="preserve">8.1  Term</w:t>
      </w:r>
    </w:p>
    <w:p>
      <w:pPr>
        <w:spacing w:after="100" w:before="60"/>
      </w:pPr>
      <w:r>
        <w:rPr>
          <w:rFonts w:ascii="Arial" w:cs="Arial" w:eastAsia="Arial" w:hAnsi="Arial"/>
          <w:b w:val="false"/>
          <w:bCs w:val="false"/>
          <w:i w:val="false"/>
          <w:iCs w:val="false"/>
          <w:color w:val="8888A0"/>
          <w:sz w:val="22"/>
          <w:szCs w:val="22"/>
        </w:rPr>
        <w:t xml:space="preserve">This Agreement commences on the Effective Date and continues until the completion of all active SOWs, or until terminated as provided herein. Retainer engagements renew monthly unless either Party provides 30 days' written notice of non-renewal.</w:t>
      </w:r>
    </w:p>
    <w:p>
      <w:pPr>
        <w:spacing w:after="160" w:before="360"/>
      </w:pPr>
      <w:r>
        <w:rPr>
          <w:rFonts w:ascii="Arial" w:cs="Arial" w:eastAsia="Arial" w:hAnsi="Arial"/>
          <w:b/>
          <w:bCs/>
          <w:color w:val="F0F0F8"/>
          <w:sz w:val="30"/>
          <w:szCs w:val="30"/>
        </w:rPr>
        <w:t xml:space="preserve">8.2  Termination for Convenience</w:t>
      </w:r>
    </w:p>
    <w:p>
      <w:pPr>
        <w:spacing w:after="100" w:before="60"/>
      </w:pPr>
      <w:r>
        <w:rPr>
          <w:rFonts w:ascii="Arial" w:cs="Arial" w:eastAsia="Arial" w:hAnsi="Arial"/>
          <w:b w:val="false"/>
          <w:bCs w:val="false"/>
          <w:i w:val="false"/>
          <w:iCs w:val="false"/>
          <w:color w:val="8888A0"/>
          <w:sz w:val="22"/>
          <w:szCs w:val="22"/>
        </w:rPr>
        <w:t xml:space="preserve">Either Party may terminate this Agreement or any SOW for convenience with 14 days' written notice. Upon termination: (a) Client pays for all work completed through the termination date; (b) Provider delivers all work product completed as of the termination date; (c) any prepaid, unearned fees for uncompleted work are refunded within 30 days.</w:t>
      </w:r>
    </w:p>
    <w:p>
      <w:pPr>
        <w:spacing w:after="160" w:before="360"/>
      </w:pPr>
      <w:r>
        <w:rPr>
          <w:rFonts w:ascii="Arial" w:cs="Arial" w:eastAsia="Arial" w:hAnsi="Arial"/>
          <w:b/>
          <w:bCs/>
          <w:color w:val="F0F0F8"/>
          <w:sz w:val="30"/>
          <w:szCs w:val="30"/>
        </w:rPr>
        <w:t xml:space="preserve">8.3  Termination for Cause</w:t>
      </w:r>
    </w:p>
    <w:p>
      <w:pPr>
        <w:spacing w:after="100" w:before="60"/>
      </w:pPr>
      <w:r>
        <w:rPr>
          <w:rFonts w:ascii="Arial" w:cs="Arial" w:eastAsia="Arial" w:hAnsi="Arial"/>
          <w:b w:val="false"/>
          <w:bCs w:val="false"/>
          <w:i w:val="false"/>
          <w:iCs w:val="false"/>
          <w:color w:val="8888A0"/>
          <w:sz w:val="22"/>
          <w:szCs w:val="22"/>
        </w:rPr>
        <w:t xml:space="preserve">Either Party may terminate immediately upon written notice if the other Party materially breaches this Agreement and fails to cure such breach within 10 days of written notice.</w:t>
      </w:r>
    </w:p>
    <w:p>
      <w:pPr>
        <w:spacing w:after="160" w:before="360"/>
      </w:pPr>
      <w:r>
        <w:rPr>
          <w:rFonts w:ascii="Arial" w:cs="Arial" w:eastAsia="Arial" w:hAnsi="Arial"/>
          <w:b/>
          <w:bCs/>
          <w:color w:val="F0F0F8"/>
          <w:sz w:val="30"/>
          <w:szCs w:val="30"/>
        </w:rPr>
        <w:t xml:space="preserve">8.4  Governing Law &amp; Dispute Resolution</w:t>
      </w:r>
    </w:p>
    <w:p>
      <w:pPr>
        <w:spacing w:after="100" w:before="60"/>
      </w:pPr>
      <w:r>
        <w:rPr>
          <w:rFonts w:ascii="Arial" w:cs="Arial" w:eastAsia="Arial" w:hAnsi="Arial"/>
          <w:b w:val="false"/>
          <w:bCs w:val="false"/>
          <w:i w:val="false"/>
          <w:iCs w:val="false"/>
          <w:color w:val="8888A0"/>
          <w:sz w:val="22"/>
          <w:szCs w:val="22"/>
        </w:rPr>
        <w:t xml:space="preserve">This Agreement is governed by the laws of the State of Michigan. The Parties agree to first attempt to resolve disputes through good-faith negotiation for 30 days. If unresolved, disputes will be submitted to binding arbitration under the American Arbitration Association Commercial Rules in Oakland County, Michigan.</w:t>
      </w:r>
    </w:p>
    <w:p>
      <w:pPr>
        <w:pBdr>
          <w:bottom w:val="single" w:color="8900E1" w:sz="4" w:space="1"/>
        </w:pBdr>
        <w:spacing w:after="280" w:before="280"/>
      </w:pPr>
    </w:p>
    <w:p>
      <w:pPr>
        <w:spacing w:after="160" w:before="480"/>
      </w:pPr>
      <w:r>
        <w:rPr>
          <w:rFonts w:ascii="Arial" w:cs="Arial" w:eastAsia="Arial" w:hAnsi="Arial"/>
          <w:b/>
          <w:bCs/>
          <w:color w:val="A3E635"/>
          <w:sz w:val="40"/>
          <w:szCs w:val="40"/>
        </w:rPr>
        <w:t xml:space="preserve">SECTION 9 // GENERAL PROVISIONS</w:t>
      </w:r>
    </w:p>
    <w:p>
      <w:pPr>
        <w:pStyle w:val="ListParagraph"/>
        <w:numPr>
          <w:ilvl w:val="0"/>
          <w:numId w:val="2"/>
        </w:numPr>
        <w:spacing w:after="60" w:before="60"/>
      </w:pPr>
      <w:r>
        <w:rPr>
          <w:rFonts w:ascii="Arial" w:cs="Arial" w:eastAsia="Arial" w:hAnsi="Arial"/>
          <w:color w:val="8888A0"/>
          <w:sz w:val="22"/>
          <w:szCs w:val="22"/>
        </w:rPr>
        <w:t xml:space="preserve">Entire Agreement: This Agreement and all SOWs constitute the entire agreement between the Parties and supersede all prior negotiations or understandings.</w:t>
      </w:r>
    </w:p>
    <w:p>
      <w:pPr>
        <w:pStyle w:val="ListParagraph"/>
        <w:numPr>
          <w:ilvl w:val="0"/>
          <w:numId w:val="2"/>
        </w:numPr>
        <w:spacing w:after="60" w:before="60"/>
      </w:pPr>
      <w:r>
        <w:rPr>
          <w:rFonts w:ascii="Arial" w:cs="Arial" w:eastAsia="Arial" w:hAnsi="Arial"/>
          <w:color w:val="8888A0"/>
          <w:sz w:val="22"/>
          <w:szCs w:val="22"/>
        </w:rPr>
        <w:t xml:space="preserve">Amendments: This Agreement may only be amended in a writing signed by both Parties.</w:t>
      </w:r>
    </w:p>
    <w:p>
      <w:pPr>
        <w:pStyle w:val="ListParagraph"/>
        <w:numPr>
          <w:ilvl w:val="0"/>
          <w:numId w:val="2"/>
        </w:numPr>
        <w:spacing w:after="60" w:before="60"/>
      </w:pPr>
      <w:r>
        <w:rPr>
          <w:rFonts w:ascii="Arial" w:cs="Arial" w:eastAsia="Arial" w:hAnsi="Arial"/>
          <w:color w:val="8888A0"/>
          <w:sz w:val="22"/>
          <w:szCs w:val="22"/>
        </w:rPr>
        <w:t xml:space="preserve">Severability: If any provision is unenforceable, the remaining provisions remain in full force.</w:t>
      </w:r>
    </w:p>
    <w:p>
      <w:pPr>
        <w:pStyle w:val="ListParagraph"/>
        <w:numPr>
          <w:ilvl w:val="0"/>
          <w:numId w:val="2"/>
        </w:numPr>
        <w:spacing w:after="60" w:before="60"/>
      </w:pPr>
      <w:r>
        <w:rPr>
          <w:rFonts w:ascii="Arial" w:cs="Arial" w:eastAsia="Arial" w:hAnsi="Arial"/>
          <w:color w:val="8888A0"/>
          <w:sz w:val="22"/>
          <w:szCs w:val="22"/>
        </w:rPr>
        <w:t xml:space="preserve">No Waiver: Failure to enforce any provision does not constitute a waiver of future enforcement.</w:t>
      </w:r>
    </w:p>
    <w:p>
      <w:pPr>
        <w:pStyle w:val="ListParagraph"/>
        <w:numPr>
          <w:ilvl w:val="0"/>
          <w:numId w:val="2"/>
        </w:numPr>
        <w:spacing w:after="60" w:before="60"/>
      </w:pPr>
      <w:r>
        <w:rPr>
          <w:rFonts w:ascii="Arial" w:cs="Arial" w:eastAsia="Arial" w:hAnsi="Arial"/>
          <w:color w:val="8888A0"/>
          <w:sz w:val="22"/>
          <w:szCs w:val="22"/>
        </w:rPr>
        <w:t xml:space="preserve">Independent Contractor: Provider is an independent contractor. Nothing in this Agreement creates an employment, partnership, or joint venture relationship.</w:t>
      </w:r>
    </w:p>
    <w:p>
      <w:pPr>
        <w:pStyle w:val="ListParagraph"/>
        <w:numPr>
          <w:ilvl w:val="0"/>
          <w:numId w:val="2"/>
        </w:numPr>
        <w:spacing w:after="60" w:before="60"/>
      </w:pPr>
      <w:r>
        <w:rPr>
          <w:rFonts w:ascii="Arial" w:cs="Arial" w:eastAsia="Arial" w:hAnsi="Arial"/>
          <w:color w:val="8888A0"/>
          <w:sz w:val="22"/>
          <w:szCs w:val="22"/>
        </w:rPr>
        <w:t xml:space="preserve">Assignment: Neither Party may assign this Agreement without the other's prior written consent, except Provider may assign to a successor entity upon written notice.</w:t>
      </w:r>
    </w:p>
    <w:p>
      <w:pPr>
        <w:pStyle w:val="ListParagraph"/>
        <w:numPr>
          <w:ilvl w:val="0"/>
          <w:numId w:val="2"/>
        </w:numPr>
        <w:spacing w:after="60" w:before="60"/>
      </w:pPr>
      <w:r>
        <w:rPr>
          <w:rFonts w:ascii="Arial" w:cs="Arial" w:eastAsia="Arial" w:hAnsi="Arial"/>
          <w:color w:val="8888A0"/>
          <w:sz w:val="22"/>
          <w:szCs w:val="22"/>
        </w:rPr>
        <w:t xml:space="preserve">Notices: All notices must be in writing and delivered by email (with read receipt) or certified mail to the addresses on the cover page.</w:t>
      </w:r>
    </w:p>
    <w:p>
      <w:pPr>
        <w:pBdr>
          <w:bottom w:val="single" w:color="8900E1" w:sz="4" w:space="1"/>
        </w:pBdr>
        <w:spacing w:after="280" w:before="280"/>
      </w:pPr>
    </w:p>
    <w:p>
      <w:pPr>
        <w:spacing w:after="160" w:before="480"/>
      </w:pPr>
      <w:r>
        <w:rPr>
          <w:rFonts w:ascii="Arial" w:cs="Arial" w:eastAsia="Arial" w:hAnsi="Arial"/>
          <w:b/>
          <w:bCs/>
          <w:color w:val="A3E635"/>
          <w:sz w:val="40"/>
          <w:szCs w:val="40"/>
        </w:rPr>
        <w:t xml:space="preserve">SECTION 10 // SIGNATURE PAGE</w:t>
      </w:r>
    </w:p>
    <w:p>
      <w:pPr>
        <w:pBdr>
          <w:bottom w:val="single" w:color="8900E1" w:sz="4" w:space="1"/>
        </w:pBdr>
        <w:spacing w:after="280" w:before="280"/>
      </w:pPr>
    </w:p>
    <w:p>
      <w:pPr>
        <w:spacing w:after="100" w:before="60"/>
      </w:pPr>
      <w:r>
        <w:rPr>
          <w:rFonts w:ascii="Arial" w:cs="Arial" w:eastAsia="Arial" w:hAnsi="Arial"/>
          <w:b w:val="false"/>
          <w:bCs w:val="false"/>
          <w:i w:val="false"/>
          <w:iCs w:val="false"/>
          <w:color w:val="8888A0"/>
          <w:sz w:val="22"/>
          <w:szCs w:val="22"/>
        </w:rPr>
        <w:t xml:space="preserve">By signing below, each Party agrees to be bound by all terms of this Agreement.</w:t>
      </w: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A2A35" w:sz="1"/>
              <w:left w:val="single" w:color="2A2A35" w:sz="1"/>
              <w:bottom w:val="single" w:color="2A2A35" w:sz="1"/>
              <w:right w:val="single" w:color="2A2A35" w:sz="1"/>
            </w:tcBorders>
            <w:shd w:fill="0F0F14" w:val="clear"/>
            <w:tcMar>
              <w:top w:type="dxa" w:w="120"/>
              <w:left w:type="dxa" w:w="160"/>
              <w:bottom w:type="dxa" w:w="120"/>
              <w:right w:type="dxa" w:w="160"/>
            </w:tcMar>
          </w:tcPr>
          <w:p>
            <w:pPr>
              <w:spacing w:after="200" w:before="0"/>
            </w:pPr>
            <w:r>
              <w:rPr>
                <w:rFonts w:ascii="Arial" w:cs="Arial" w:eastAsia="Arial" w:hAnsi="Arial"/>
                <w:b/>
                <w:bCs/>
                <w:color w:val="F0F0F8"/>
                <w:sz w:val="22"/>
                <w:szCs w:val="22"/>
              </w:rPr>
              <w:t xml:space="preserve">PROVIDER: Khaotic Labs LLC</w:t>
            </w:r>
          </w:p>
          <w:p>
            <w:pPr>
              <w:spacing w:after="120" w:before="0"/>
            </w:pPr>
            <w:r>
              <w:rPr>
                <w:rFonts w:ascii="Arial" w:cs="Arial" w:eastAsia="Arial" w:hAnsi="Arial"/>
                <w:color w:val="8888A0"/>
                <w:sz w:val="20"/>
                <w:szCs w:val="20"/>
              </w:rPr>
              <w:t xml:space="preserve">Signature: ________________________________</w:t>
            </w:r>
          </w:p>
          <w:p>
            <w:pPr>
              <w:spacing w:after="120" w:before="0"/>
            </w:pPr>
            <w:r>
              <w:rPr>
                <w:rFonts w:ascii="Arial" w:cs="Arial" w:eastAsia="Arial" w:hAnsi="Arial"/>
                <w:color w:val="8888A0"/>
                <w:sz w:val="20"/>
                <w:szCs w:val="20"/>
              </w:rPr>
              <w:t xml:space="preserve">Print Name: _______________________________</w:t>
            </w:r>
          </w:p>
          <w:p>
            <w:pPr>
              <w:spacing w:after="120" w:before="0"/>
            </w:pPr>
            <w:r>
              <w:rPr>
                <w:rFonts w:ascii="Arial" w:cs="Arial" w:eastAsia="Arial" w:hAnsi="Arial"/>
                <w:color w:val="8888A0"/>
                <w:sz w:val="20"/>
                <w:szCs w:val="20"/>
              </w:rPr>
              <w:t xml:space="preserve">Title: ____________________________________</w:t>
            </w:r>
          </w:p>
          <w:p>
            <w:pPr>
              <w:spacing w:after="0" w:before="0"/>
            </w:pPr>
            <w:r>
              <w:rPr>
                <w:rFonts w:ascii="Arial" w:cs="Arial" w:eastAsia="Arial" w:hAnsi="Arial"/>
                <w:color w:val="8888A0"/>
                <w:sz w:val="20"/>
                <w:szCs w:val="20"/>
              </w:rPr>
              <w:t xml:space="preserve">Date: ____________________________________</w:t>
            </w:r>
          </w:p>
        </w:tc>
        <w:tc>
          <w:tcPr>
            <w:tcW w:type="dxa" w:w="4680"/>
            <w:tcBorders>
              <w:top w:val="single" w:color="2A2A35" w:sz="1"/>
              <w:left w:val="single" w:color="2A2A35" w:sz="1"/>
              <w:bottom w:val="single" w:color="2A2A35" w:sz="1"/>
              <w:right w:val="single" w:color="2A2A35" w:sz="1"/>
            </w:tcBorders>
            <w:shd w:fill="0F0F14" w:val="clear"/>
            <w:tcMar>
              <w:top w:type="dxa" w:w="120"/>
              <w:left w:type="dxa" w:w="160"/>
              <w:bottom w:type="dxa" w:w="120"/>
              <w:right w:type="dxa" w:w="160"/>
            </w:tcMar>
          </w:tcPr>
          <w:p>
            <w:pPr>
              <w:spacing w:after="200" w:before="0"/>
            </w:pPr>
            <w:r>
              <w:rPr>
                <w:rFonts w:ascii="Arial" w:cs="Arial" w:eastAsia="Arial" w:hAnsi="Arial"/>
                <w:b/>
                <w:bCs/>
                <w:color w:val="F0F0F8"/>
                <w:sz w:val="22"/>
                <w:szCs w:val="22"/>
              </w:rPr>
              <w:t xml:space="preserve">CLIENT:</w:t>
            </w:r>
          </w:p>
          <w:p>
            <w:pPr>
              <w:spacing w:after="120" w:before="0"/>
            </w:pPr>
            <w:r>
              <w:rPr>
                <w:rFonts w:ascii="Arial" w:cs="Arial" w:eastAsia="Arial" w:hAnsi="Arial"/>
                <w:color w:val="8888A0"/>
                <w:sz w:val="20"/>
                <w:szCs w:val="20"/>
              </w:rPr>
              <w:t xml:space="preserve">Signature: ________________________________</w:t>
            </w:r>
          </w:p>
          <w:p>
            <w:pPr>
              <w:spacing w:after="120" w:before="0"/>
            </w:pPr>
            <w:r>
              <w:rPr>
                <w:rFonts w:ascii="Arial" w:cs="Arial" w:eastAsia="Arial" w:hAnsi="Arial"/>
                <w:color w:val="8888A0"/>
                <w:sz w:val="20"/>
                <w:szCs w:val="20"/>
              </w:rPr>
              <w:t xml:space="preserve">Print Name: _______________________________</w:t>
            </w:r>
          </w:p>
          <w:p>
            <w:pPr>
              <w:spacing w:after="120" w:before="0"/>
            </w:pPr>
            <w:r>
              <w:rPr>
                <w:rFonts w:ascii="Arial" w:cs="Arial" w:eastAsia="Arial" w:hAnsi="Arial"/>
                <w:color w:val="8888A0"/>
                <w:sz w:val="20"/>
                <w:szCs w:val="20"/>
              </w:rPr>
              <w:t xml:space="preserve">Title: ____________________________________</w:t>
            </w:r>
          </w:p>
          <w:p>
            <w:pPr>
              <w:spacing w:after="0" w:before="0"/>
            </w:pPr>
            <w:r>
              <w:rPr>
                <w:rFonts w:ascii="Arial" w:cs="Arial" w:eastAsia="Arial" w:hAnsi="Arial"/>
                <w:color w:val="8888A0"/>
                <w:sz w:val="20"/>
                <w:szCs w:val="20"/>
              </w:rPr>
              <w:t xml:space="preserve">Date: ____________________________________</w:t>
            </w:r>
          </w:p>
        </w:tc>
      </w:tr>
    </w:tbl>
    <w:p>
      <w:pPr>
        <w:spacing w:after="200" w:before="480"/>
      </w:pPr>
    </w:p>
    <w:p>
      <w:pPr>
        <w:spacing w:after="160" w:before="0"/>
      </w:pPr>
      <w:r>
        <w:rPr>
          <w:rFonts w:ascii="Arial" w:cs="Arial" w:eastAsia="Arial" w:hAnsi="Arial"/>
          <w:b/>
          <w:bCs/>
          <w:color w:val="A3E635"/>
          <w:sz w:val="28"/>
          <w:szCs w:val="28"/>
        </w:rPr>
        <w:t xml:space="preserve">// EXHIBIT A — STATEMENT OF WORK</w:t>
      </w:r>
    </w:p>
    <w:p>
      <w:pPr>
        <w:spacing w:after="100" w:before="60"/>
      </w:pPr>
      <w:r>
        <w:rPr>
          <w:rFonts w:ascii="Arial" w:cs="Arial" w:eastAsia="Arial" w:hAnsi="Arial"/>
          <w:b w:val="false"/>
          <w:bCs w:val="false"/>
          <w:i w:val="false"/>
          <w:iCs w:val="false"/>
          <w:color w:val="8888A0"/>
          <w:sz w:val="22"/>
          <w:szCs w:val="22"/>
        </w:rPr>
        <w:t xml:space="preserve">Attach a completed Statement of Work (SOW) as Exhibit A. The SOW should include:</w:t>
      </w:r>
    </w:p>
    <w:p>
      <w:pPr>
        <w:pStyle w:val="ListParagraph"/>
        <w:numPr>
          <w:ilvl w:val="0"/>
          <w:numId w:val="2"/>
        </w:numPr>
        <w:spacing w:after="60" w:before="60"/>
      </w:pPr>
      <w:r>
        <w:rPr>
          <w:rFonts w:ascii="Arial" w:cs="Arial" w:eastAsia="Arial" w:hAnsi="Arial"/>
          <w:color w:val="8888A0"/>
          <w:sz w:val="22"/>
          <w:szCs w:val="22"/>
        </w:rPr>
        <w:t xml:space="preserve">Project Name and Description</w:t>
      </w:r>
    </w:p>
    <w:p>
      <w:pPr>
        <w:pStyle w:val="ListParagraph"/>
        <w:numPr>
          <w:ilvl w:val="0"/>
          <w:numId w:val="2"/>
        </w:numPr>
        <w:spacing w:after="60" w:before="60"/>
      </w:pPr>
      <w:r>
        <w:rPr>
          <w:rFonts w:ascii="Arial" w:cs="Arial" w:eastAsia="Arial" w:hAnsi="Arial"/>
          <w:color w:val="8888A0"/>
          <w:sz w:val="22"/>
          <w:szCs w:val="22"/>
        </w:rPr>
        <w:t xml:space="preserve">Deliverables with explicit acceptance criteria</w:t>
      </w:r>
    </w:p>
    <w:p>
      <w:pPr>
        <w:pStyle w:val="ListParagraph"/>
        <w:numPr>
          <w:ilvl w:val="0"/>
          <w:numId w:val="2"/>
        </w:numPr>
        <w:spacing w:after="60" w:before="60"/>
      </w:pPr>
      <w:r>
        <w:rPr>
          <w:rFonts w:ascii="Arial" w:cs="Arial" w:eastAsia="Arial" w:hAnsi="Arial"/>
          <w:color w:val="8888A0"/>
          <w:sz w:val="22"/>
          <w:szCs w:val="22"/>
        </w:rPr>
        <w:t xml:space="preserve">Timeline and Sprint Schedule</w:t>
      </w:r>
    </w:p>
    <w:p>
      <w:pPr>
        <w:pStyle w:val="ListParagraph"/>
        <w:numPr>
          <w:ilvl w:val="0"/>
          <w:numId w:val="2"/>
        </w:numPr>
        <w:spacing w:after="60" w:before="60"/>
      </w:pPr>
      <w:r>
        <w:rPr>
          <w:rFonts w:ascii="Arial" w:cs="Arial" w:eastAsia="Arial" w:hAnsi="Arial"/>
          <w:color w:val="8888A0"/>
          <w:sz w:val="22"/>
          <w:szCs w:val="22"/>
        </w:rPr>
        <w:t xml:space="preserve">Total Fee and Payment Schedule</w:t>
      </w:r>
    </w:p>
    <w:p>
      <w:pPr>
        <w:pStyle w:val="ListParagraph"/>
        <w:numPr>
          <w:ilvl w:val="0"/>
          <w:numId w:val="2"/>
        </w:numPr>
        <w:spacing w:after="60" w:before="60"/>
      </w:pPr>
      <w:r>
        <w:rPr>
          <w:rFonts w:ascii="Arial" w:cs="Arial" w:eastAsia="Arial" w:hAnsi="Arial"/>
          <w:color w:val="8888A0"/>
          <w:sz w:val="22"/>
          <w:szCs w:val="22"/>
        </w:rPr>
        <w:t xml:space="preserve">Any technology-specific requirements or constraints</w:t>
      </w:r>
    </w:p>
    <w:p>
      <w:pPr>
        <w:pStyle w:val="ListParagraph"/>
        <w:numPr>
          <w:ilvl w:val="0"/>
          <w:numId w:val="2"/>
        </w:numPr>
        <w:spacing w:after="60" w:before="60"/>
      </w:pPr>
      <w:r>
        <w:rPr>
          <w:rFonts w:ascii="Arial" w:cs="Arial" w:eastAsia="Arial" w:hAnsi="Arial"/>
          <w:color w:val="8888A0"/>
          <w:sz w:val="22"/>
          <w:szCs w:val="22"/>
        </w:rPr>
        <w:t xml:space="preserve">Definition of "complete" for each deliverable</w:t>
      </w:r>
    </w:p>
    <w:p>
      <w:pPr>
        <w:spacing w:after="100" w:before="60"/>
      </w:pPr>
      <w:r>
        <w:rPr>
          <w:rFonts w:ascii="Arial" w:cs="Arial" w:eastAsia="Arial" w:hAnsi="Arial"/>
          <w:b w:val="false"/>
          <w:bCs w:val="false"/>
          <w:i w:val="false"/>
          <w:iCs w:val="false"/>
          <w:color w:val="8888A0"/>
          <w:sz w:val="22"/>
          <w:szCs w:val="22"/>
        </w:rPr>
        <w:t xml:space="preserve">Template SOWs are available by engagement tier. Contact founder@khaoticlabs.com.</w:t>
      </w:r>
    </w:p>
    <w:p>
      <w:pPr>
        <w:spacing w:after="0" w:before="480"/>
      </w:pPr>
    </w:p>
    <w:p>
      <w:pPr>
        <w:spacing w:after="160" w:before="0"/>
        <w:jc w:val="center"/>
      </w:pPr>
      <w:r>
        <w:rPr>
          <w:rFonts w:ascii="Courier New" w:cs="Courier New" w:eastAsia="Courier New" w:hAnsi="Courier New"/>
          <w:color w:val="8900E1"/>
          <w:sz w:val="18"/>
          <w:szCs w:val="18"/>
        </w:rPr>
        <w:t xml:space="preserve">// END OF AGREEMENT</w:t>
      </w:r>
    </w:p>
    <w:p>
      <w:pPr>
        <w:spacing w:after="0" w:before="0"/>
        <w:jc w:val="center"/>
      </w:pPr>
      <w:r>
        <w:rPr>
          <w:rFonts w:ascii="Arial" w:cs="Arial" w:eastAsia="Arial" w:hAnsi="Arial"/>
          <w:color w:val="5A5A6E"/>
          <w:sz w:val="16"/>
          <w:szCs w:val="16"/>
        </w:rPr>
        <w:t xml:space="preserve">Khaotic Labs LLC  ·  Southfield, Michigan  ·  ©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900E1" w:sz="4" w:space="1"/>
      </w:pBdr>
      <w:spacing w:after="0" w:before="160"/>
      <w:jc w:val="center"/>
    </w:pPr>
    <w:r>
      <w:rPr>
        <w:rFonts w:ascii="Arial" w:cs="Arial" w:eastAsia="Arial" w:hAnsi="Arial"/>
        <w:color w:val="5A5A6E"/>
        <w:sz w:val="16"/>
        <w:szCs w:val="16"/>
      </w:rPr>
      <w:t xml:space="preserve">Khaotic Labs LLC  ·  Southfield, Michigan  ·  khaoticlabs.com</w:t>
    </w:r>
    <w:r>
      <w:rPr>
        <w:rFonts w:ascii="Arial" w:cs="Arial" w:eastAsia="Arial" w:hAnsi="Arial"/>
        <w:color w:val="5A5A6E"/>
        <w:sz w:val="16"/>
        <w:szCs w:val="16"/>
      </w:rPr>
      <w:t xml:space="preserve">   Page </w:t>
    </w:r>
    <w:r>
      <w:rPr>
        <w:rFonts w:ascii="Arial" w:cs="Arial" w:eastAsia="Arial" w:hAnsi="Arial"/>
        <w:color w:val="A3E63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900E1" w:sz="4" w:space="1"/>
      </w:pBdr>
      <w:spacing w:after="160" w:before="0"/>
    </w:pPr>
    <w:r>
      <w:rPr>
        <w:rFonts w:ascii="Arial" w:cs="Arial" w:eastAsia="Arial" w:hAnsi="Arial"/>
        <w:color w:val="5A5A6E"/>
        <w:sz w:val="16"/>
        <w:szCs w:val="16"/>
      </w:rPr>
      <w:t xml:space="preserve">KHAOTIC LABS LLC  //  CLIENT SERVICES AGREEMENT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A3E635"/>
        <w:sz w:val="22"/>
        <w:szCs w:val="22"/>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8888A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2026-05-22T18:06:44.386Z</dcterms:created>
  <dcterms:modified xsi:type="dcterms:W3CDTF">2026-05-22T18:06:44.386Z</dcterms:modified>
</cp:coreProperties>
</file>

<file path=docProps/custom.xml><?xml version="1.0" encoding="utf-8"?>
<Properties xmlns="http://schemas.openxmlformats.org/officeDocument/2006/custom-properties" xmlns:vt="http://schemas.openxmlformats.org/officeDocument/2006/docPropsVTypes"/>
</file>