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6"/>
        </w:rPr>
        <w:t>RAPPORT DE TESTS UNITAIRES</w:t>
      </w:r>
    </w:p>
    <w:p>
      <w:pPr>
        <w:jc w:val="center"/>
      </w:pPr>
      <w:r>
        <w:rPr>
          <w:i/>
          <w:sz w:val="26"/>
        </w:rPr>
        <w:t>Projet FactoryFlow — API de gestion de production et de stock</w:t>
      </w:r>
    </w:p>
    <w:p/>
    <w:tbl>
      <w:tblPr>
        <w:tblStyle w:val="LightShading-Accent1"/>
        <w:tblW w:type="auto" w:w="0"/>
        <w:jc w:val="center"/>
        <w:tblLook w:firstColumn="1" w:firstRow="1" w:lastColumn="0" w:lastRow="0" w:noHBand="0" w:noVBand="1" w:val="04A0"/>
      </w:tblPr>
      <w:tblGrid>
        <w:gridCol w:w="4968"/>
        <w:gridCol w:w="4968"/>
      </w:tblGrid>
      <w:tr>
        <w:tc>
          <w:tcPr>
            <w:tcW w:type="dxa" w:w="2880"/>
          </w:tcPr>
          <w:p>
            <w:r>
              <w:t>Projet</w:t>
            </w:r>
          </w:p>
        </w:tc>
        <w:tc>
          <w:tcPr>
            <w:tcW w:type="dxa" w:w="6912"/>
          </w:tcPr>
          <w:p>
            <w:r>
              <w:t>FactoryFlow</w:t>
            </w:r>
          </w:p>
        </w:tc>
      </w:tr>
      <w:tr>
        <w:tc>
          <w:tcPr>
            <w:tcW w:type="dxa" w:w="2880"/>
          </w:tcPr>
          <w:p>
            <w:r>
              <w:t>Type de tests</w:t>
            </w:r>
          </w:p>
        </w:tc>
        <w:tc>
          <w:tcPr>
            <w:tcW w:type="dxa" w:w="6912"/>
          </w:tcPr>
          <w:p>
            <w:r>
              <w:t>Tests unitaires des services</w:t>
            </w:r>
          </w:p>
        </w:tc>
      </w:tr>
      <w:tr>
        <w:tc>
          <w:tcPr>
            <w:tcW w:type="dxa" w:w="2880"/>
          </w:tcPr>
          <w:p>
            <w:r>
              <w:t>Framework de test</w:t>
            </w:r>
          </w:p>
        </w:tc>
        <w:tc>
          <w:tcPr>
            <w:tcW w:type="dxa" w:w="6912"/>
          </w:tcPr>
          <w:p>
            <w:r>
              <w:t>Jest</w:t>
            </w:r>
          </w:p>
        </w:tc>
      </w:tr>
      <w:tr>
        <w:tc>
          <w:tcPr>
            <w:tcW w:type="dxa" w:w="2880"/>
          </w:tcPr>
          <w:p>
            <w:r>
              <w:t>Résultat de l’exécution</w:t>
            </w:r>
          </w:p>
        </w:tc>
        <w:tc>
          <w:tcPr>
            <w:tcW w:type="dxa" w:w="6912"/>
          </w:tcPr>
          <w:p>
            <w:r>
              <w:t>18 octobre 2026 — selon le rapport JSON fourni</w:t>
            </w:r>
          </w:p>
        </w:tc>
      </w:tr>
    </w:tbl>
    <w:p>
      <w:pPr>
        <w:pStyle w:val="Heading1"/>
      </w:pPr>
      <w:r>
        <w:t>1. Introduction</w:t>
      </w:r>
    </w:p>
    <w:p>
      <w:r>
        <w:t>Ce rapport présente les résultats des tests unitaires réalisés sur les services de l’API FactoryFlow. L’objectif est de vérifier le comportement des principales règles métier, notamment la gestion des utilisateurs, des matières premières, des produits, des compositions, des mouvements de stock et des ordres de fabrication.</w:t>
      </w:r>
    </w:p>
    <w:p>
      <w:pPr>
        <w:pStyle w:val="Heading1"/>
      </w:pPr>
      <w:r>
        <w:t>2. Environnement et méthode de test</w:t>
      </w:r>
    </w:p>
    <w:p>
      <w:pPr>
        <w:pStyle w:val="ListBullet"/>
      </w:pPr>
      <w:r>
        <w:t>Framework : Jest.</w:t>
      </w:r>
    </w:p>
    <w:p>
      <w:pPr>
        <w:pStyle w:val="ListBullet"/>
      </w:pPr>
      <w:r>
        <w:t>Type de tests : tests unitaires des services.</w:t>
      </w:r>
    </w:p>
    <w:p>
      <w:pPr>
        <w:pStyle w:val="ListBullet"/>
      </w:pPr>
      <w:r>
        <w:t>Approche : vérification des résultats retournés, des erreurs attendues et des appels aux dépendances simulées lorsque nécessaire.</w:t>
      </w:r>
    </w:p>
    <w:p>
      <w:pPr>
        <w:pStyle w:val="ListBullet"/>
      </w:pPr>
      <w:r>
        <w:t>Commande d’exécution utilisée pour produire le rapport JSON : npx jest --runInBand --json --outputFile=rapport-tests.json</w:t>
      </w:r>
    </w:p>
    <w:p>
      <w:r>
        <w:t>Remarque : les tests unitaires isolent principalement la logique des services. Ils ne remplacent pas les tests d’intégration de l’API, les tests des routes HTTP ni les tests de bout en bout.</w:t>
      </w:r>
    </w:p>
    <w:p>
      <w:pPr>
        <w:pStyle w:val="Heading1"/>
      </w:pPr>
      <w:r>
        <w:t>3. Synthèse des résultats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Indicateur</w:t>
            </w:r>
          </w:p>
        </w:tc>
        <w:tc>
          <w:tcPr>
            <w:tcW w:type="dxa" w:w="3312"/>
          </w:tcPr>
          <w:p>
            <w:r>
              <w:t>Résultat</w:t>
            </w:r>
          </w:p>
        </w:tc>
        <w:tc>
          <w:tcPr>
            <w:tcW w:type="dxa" w:w="3312"/>
          </w:tcPr>
          <w:p>
            <w:r>
              <w:t>Statut</w:t>
            </w:r>
          </w:p>
        </w:tc>
      </w:tr>
      <w:tr>
        <w:tc>
          <w:tcPr>
            <w:tcW w:type="dxa" w:w="3312"/>
          </w:tcPr>
          <w:p>
            <w:r>
              <w:t>Suites de tests réussies</w:t>
            </w:r>
          </w:p>
        </w:tc>
        <w:tc>
          <w:tcPr>
            <w:tcW w:type="dxa" w:w="3312"/>
          </w:tcPr>
          <w:p>
            <w:r>
              <w:t>7 / 7</w:t>
            </w:r>
          </w:p>
        </w:tc>
        <w:tc>
          <w:tcPr>
            <w:tcW w:type="dxa" w:w="3312"/>
          </w:tcPr>
          <w:p>
            <w:r>
              <w:t>Réussi</w:t>
            </w:r>
          </w:p>
        </w:tc>
      </w:tr>
      <w:tr>
        <w:tc>
          <w:tcPr>
            <w:tcW w:type="dxa" w:w="3312"/>
          </w:tcPr>
          <w:p>
            <w:r>
              <w:t>Tests réussis</w:t>
            </w:r>
          </w:p>
        </w:tc>
        <w:tc>
          <w:tcPr>
            <w:tcW w:type="dxa" w:w="3312"/>
          </w:tcPr>
          <w:p>
            <w:r>
              <w:t>70 / 70</w:t>
            </w:r>
          </w:p>
        </w:tc>
        <w:tc>
          <w:tcPr>
            <w:tcW w:type="dxa" w:w="3312"/>
          </w:tcPr>
          <w:p>
            <w:r>
              <w:t>Réussi</w:t>
            </w:r>
          </w:p>
        </w:tc>
      </w:tr>
      <w:tr>
        <w:tc>
          <w:tcPr>
            <w:tcW w:type="dxa" w:w="3312"/>
          </w:tcPr>
          <w:p>
            <w:r>
              <w:t>Tests échoués</w:t>
            </w:r>
          </w:p>
        </w:tc>
        <w:tc>
          <w:tcPr>
            <w:tcW w:type="dxa" w:w="3312"/>
          </w:tcPr>
          <w:p>
            <w:r>
              <w:t>0</w:t>
            </w:r>
          </w:p>
        </w:tc>
        <w:tc>
          <w:tcPr>
            <w:tcW w:type="dxa" w:w="3312"/>
          </w:tcPr>
          <w:p>
            <w:r>
              <w:t>Aucun échec</w:t>
            </w:r>
          </w:p>
        </w:tc>
      </w:tr>
      <w:tr>
        <w:tc>
          <w:tcPr>
            <w:tcW w:type="dxa" w:w="3312"/>
          </w:tcPr>
          <w:p>
            <w:r>
              <w:t>Tests en attente</w:t>
            </w:r>
          </w:p>
        </w:tc>
        <w:tc>
          <w:tcPr>
            <w:tcW w:type="dxa" w:w="3312"/>
          </w:tcPr>
          <w:p>
            <w:r>
              <w:t>0</w:t>
            </w:r>
          </w:p>
        </w:tc>
        <w:tc>
          <w:tcPr>
            <w:tcW w:type="dxa" w:w="3312"/>
          </w:tcPr>
          <w:p>
            <w:r>
              <w:t>Aucun</w:t>
            </w:r>
          </w:p>
        </w:tc>
      </w:tr>
      <w:tr>
        <w:tc>
          <w:tcPr>
            <w:tcW w:type="dxa" w:w="3312"/>
          </w:tcPr>
          <w:p>
            <w:r>
              <w:t>Tests marqués TODO</w:t>
            </w:r>
          </w:p>
        </w:tc>
        <w:tc>
          <w:tcPr>
            <w:tcW w:type="dxa" w:w="3312"/>
          </w:tcPr>
          <w:p>
            <w:r>
              <w:t>0</w:t>
            </w:r>
          </w:p>
        </w:tc>
        <w:tc>
          <w:tcPr>
            <w:tcW w:type="dxa" w:w="3312"/>
          </w:tcPr>
          <w:p>
            <w:r>
              <w:t>Aucun</w:t>
            </w:r>
          </w:p>
        </w:tc>
      </w:tr>
      <w:tr>
        <w:tc>
          <w:tcPr>
            <w:tcW w:type="dxa" w:w="3312"/>
          </w:tcPr>
          <w:p>
            <w:r>
              <w:t>Exécution globale</w:t>
            </w:r>
          </w:p>
        </w:tc>
        <w:tc>
          <w:tcPr>
            <w:tcW w:type="dxa" w:w="3312"/>
          </w:tcPr>
          <w:p>
            <w:r>
              <w:t>success = true</w:t>
            </w:r>
          </w:p>
        </w:tc>
        <w:tc>
          <w:tcPr>
            <w:tcW w:type="dxa" w:w="3312"/>
          </w:tcPr>
          <w:p>
            <w:r>
              <w:t>Réussie</w:t>
            </w:r>
          </w:p>
        </w:tc>
      </w:tr>
    </w:tbl>
    <w:p>
      <w:r>
        <w:t>Taux de réussite calculé : 70 tests réussis sur 70, soit 100 % pour cette exécution.</w:t>
      </w:r>
    </w:p>
    <w:p>
      <w:pPr>
        <w:pStyle w:val="Heading1"/>
      </w:pPr>
      <w:r>
        <w:t>4. Couverture fonctionnelle observée</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Service testé</w:t>
            </w:r>
          </w:p>
        </w:tc>
        <w:tc>
          <w:tcPr>
            <w:tcW w:type="dxa" w:w="4968"/>
          </w:tcPr>
          <w:p>
            <w:r>
              <w:t>Exemples de scénarios vérifiés selon les tests fournis</w:t>
            </w:r>
          </w:p>
        </w:tc>
      </w:tr>
      <w:tr>
        <w:tc>
          <w:tcPr>
            <w:tcW w:type="dxa" w:w="4968"/>
          </w:tcPr>
          <w:p>
            <w:r>
              <w:t>InstallationService</w:t>
            </w:r>
          </w:p>
        </w:tc>
        <w:tc>
          <w:tcPr>
            <w:tcW w:type="dxa" w:w="4968"/>
          </w:tcPr>
          <w:p>
            <w:r>
              <w:t>Installation initiale et refus d’une deuxième installation.</w:t>
            </w:r>
          </w:p>
        </w:tc>
      </w:tr>
      <w:tr>
        <w:tc>
          <w:tcPr>
            <w:tcW w:type="dxa" w:w="4968"/>
          </w:tcPr>
          <w:p>
            <w:r>
              <w:t>UtilisateurService</w:t>
            </w:r>
          </w:p>
        </w:tc>
        <w:tc>
          <w:tcPr>
            <w:tcW w:type="dxa" w:w="4968"/>
          </w:tcPr>
          <w:p>
            <w:r>
              <w:t>Création d’utilisateur, hash du mot de passe, email déjà utilisé, connexion et identifiants invalides.</w:t>
            </w:r>
          </w:p>
        </w:tc>
      </w:tr>
      <w:tr>
        <w:tc>
          <w:tcPr>
            <w:tcW w:type="dxa" w:w="4968"/>
          </w:tcPr>
          <w:p>
            <w:r>
              <w:t>MatierePremiereService</w:t>
            </w:r>
          </w:p>
        </w:tc>
        <w:tc>
          <w:tcPr>
            <w:tcW w:type="dxa" w:w="4968"/>
          </w:tcPr>
          <w:p>
            <w:r>
              <w:t>Création, consultation, modification, suppression, référence en double et ressource introuvable.</w:t>
            </w:r>
          </w:p>
        </w:tc>
      </w:tr>
      <w:tr>
        <w:tc>
          <w:tcPr>
            <w:tcW w:type="dxa" w:w="4968"/>
          </w:tcPr>
          <w:p>
            <w:r>
              <w:t>ProduitService</w:t>
            </w:r>
          </w:p>
        </w:tc>
        <w:tc>
          <w:tcPr>
            <w:tcW w:type="dxa" w:w="4968"/>
          </w:tcPr>
          <w:p>
            <w:r>
              <w:t>Création, lecture, modification, suppression et contrôle d’une référence déjà utilisée.</w:t>
            </w:r>
          </w:p>
        </w:tc>
      </w:tr>
      <w:tr>
        <w:tc>
          <w:tcPr>
            <w:tcW w:type="dxa" w:w="4968"/>
          </w:tcPr>
          <w:p>
            <w:r>
              <w:t>CompositionService</w:t>
            </w:r>
          </w:p>
        </w:tc>
        <w:tc>
          <w:tcPr>
            <w:tcW w:type="dxa" w:w="4968"/>
          </w:tcPr>
          <w:p>
            <w:r>
              <w:t>Création, consultation, modification, suppression et refus si le produit n’existe pas.</w:t>
            </w:r>
          </w:p>
        </w:tc>
      </w:tr>
      <w:tr>
        <w:tc>
          <w:tcPr>
            <w:tcW w:type="dxa" w:w="4968"/>
          </w:tcPr>
          <w:p>
            <w:r>
              <w:t>MouvementStockService</w:t>
            </w:r>
          </w:p>
        </w:tc>
        <w:tc>
          <w:tcPr>
            <w:tcW w:type="dxa" w:w="4968"/>
          </w:tcPr>
          <w:p>
            <w:r>
              <w:t>Entrée de stock, validation du sens et de la quantité, matière inexistante, stock insuffisant et calcul du stock.</w:t>
            </w:r>
          </w:p>
        </w:tc>
      </w:tr>
      <w:tr>
        <w:tc>
          <w:tcPr>
            <w:tcW w:type="dxa" w:w="4968"/>
          </w:tcPr>
          <w:p>
            <w:r>
              <w:t>OrdreFabricationService</w:t>
            </w:r>
          </w:p>
        </w:tc>
        <w:tc>
          <w:tcPr>
            <w:tcW w:type="dxa" w:w="4968"/>
          </w:tcPr>
          <w:p>
            <w:r>
              <w:t>Création d’un ordre, validation de la quantité et de l’opérateur, vérification du stock, démarrage, terminaison, annulation et autorisations.</w:t>
            </w:r>
          </w:p>
        </w:tc>
      </w:tr>
    </w:tbl>
    <w:p>
      <w:pPr>
        <w:pStyle w:val="Heading1"/>
      </w:pPr>
      <w:r>
        <w:t>5. Analyse des résultats</w:t>
      </w:r>
    </w:p>
    <w:p>
      <w:r>
        <w:t>L’exécution fournie par Jest indique que les sept suites de tests ont réussi et qu’aucun des 70 tests n’a échoué. Les scénarios couvrent des cas nominaux ainsi que plusieurs cas d’erreur liés aux règles métier des services.</w:t>
      </w:r>
    </w:p>
    <w:p>
      <w:r>
        <w:t>Ces résultats démontrent que les comportements vérifiés sont conformes aux attentes définies dans les tests. Ils ne prouvent pas, à eux seuls, l’absence de tous les défauts possibles ni le bon fonctionnement de chaque composant en environnement réel.</w:t>
      </w:r>
    </w:p>
    <w:p>
      <w:pPr>
        <w:pStyle w:val="Heading1"/>
      </w:pPr>
      <w:r>
        <w:t>6. Conclusion et suites recommandées</w:t>
      </w:r>
    </w:p>
    <w:p>
      <w:r>
        <w:t>Pour l’exécution analysée, les tests unitaires des services FactoryFlow sont concluants : 70 tests réussis sur 70. Il est recommandé de conserver ce rapport avec le code et de compléter la validation par des tests d’intégration des routes HTTP, des contrôles d’authentification et d’autorisation, ainsi que des tests avec une base de données de test.</w:t>
      </w:r>
    </w:p>
    <w:p>
      <w:pPr>
        <w:pStyle w:val="Heading1"/>
      </w:pPr>
      <w:r>
        <w:t>7. Annexe — commande de reproduction</w:t>
      </w:r>
    </w:p>
    <w:p>
      <w:r>
        <w:rPr>
          <w:rFonts w:ascii="Consolas" w:hAnsi="Consolas"/>
          <w:sz w:val="18"/>
        </w:rPr>
        <w:t>npx jest --runInBand --json --outputFile=rapport-tests.json</w:t>
      </w:r>
    </w:p>
    <w:p>
      <w:r>
        <w:t>Les résultats chiffrés de ce rapport sont repris du JSON de résultats communiqué. La liste des scénarios est synthétisée à partir des noms de tests présents dans ce résultat.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FactoryFlow — Rapport de tests unitaires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