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i w:val="1"/>
          <w:iCs w:val="1"/>
          <w:sz w:val="36"/>
          <w:szCs w:val="36"/>
        </w:rPr>
      </w:pPr>
      <w:bookmarkStart w:colFirst="0" w:colLast="0" w:name="_p2xvigk0i1jq" w:id="0"/>
      <w:bookmarkEnd w:id="0"/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MarTech Analytics - Principales Responsabilidades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6j9x8c3vu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Gobierno de Medición y Calidad de Datos (Data Governance)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</w:t>
      </w:r>
      <w:r w:rsidDel="00000000" w:rsidR="00000000" w:rsidRPr="00000000">
        <w:rPr>
          <w:highlight w:val="yellow"/>
          <w:rtl w:val="0"/>
        </w:rPr>
        <w:t xml:space="preserve">antener el </w:t>
      </w:r>
      <w:r w:rsidDel="00000000" w:rsidR="00000000" w:rsidRPr="00000000">
        <w:rPr>
          <w:highlight w:val="yellow"/>
          <w:rtl w:val="0"/>
        </w:rPr>
        <w:t xml:space="preserve">framework de medición digital (Web, Server, App, Paid Media, Own Media)</w:t>
      </w:r>
      <w:r w:rsidDel="00000000" w:rsidR="00000000" w:rsidRPr="00000000">
        <w:rPr>
          <w:highlight w:val="yellow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cumplimiento de </w:t>
      </w:r>
      <w:r w:rsidDel="00000000" w:rsidR="00000000" w:rsidRPr="00000000">
        <w:rPr>
          <w:rtl w:val="0"/>
        </w:rPr>
        <w:t xml:space="preserve">estándares y taxonomías de eventos,</w:t>
      </w:r>
      <w:r w:rsidDel="00000000" w:rsidR="00000000" w:rsidRPr="00000000">
        <w:rPr>
          <w:rtl w:val="0"/>
        </w:rPr>
        <w:t xml:space="preserve"> estructuras de Data Layer, nomenclaturas y convenciones de parámetros.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gobernanza continua para mitigar </w:t>
      </w:r>
      <w:r w:rsidDel="00000000" w:rsidR="00000000" w:rsidRPr="00000000">
        <w:rPr>
          <w:rtl w:val="0"/>
        </w:rPr>
        <w:t xml:space="preserve">pérdidas de datos, inconsistencias y degradaciones en señal digital.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que todos los puntos de medición cumplan regulaciones de privacidad, consentimiento y normativas locales.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Supervisar la </w:t>
      </w:r>
      <w:r w:rsidDel="00000000" w:rsidR="00000000" w:rsidRPr="00000000">
        <w:rPr>
          <w:rtl w:val="0"/>
        </w:rPr>
        <w:t xml:space="preserve">consistencia cross-platform</w:t>
      </w:r>
      <w:r w:rsidDel="00000000" w:rsidR="00000000" w:rsidRPr="00000000">
        <w:rPr>
          <w:rtl w:val="0"/>
        </w:rPr>
        <w:t xml:space="preserve"> (Web, App, Server) para que la analítica sea íntegra y confiable.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49vvp3qn7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Arquitectura &amp; Tracking Avanzado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Liderar la implementación y evolución de arquitecturas de medición escalables aplicando: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Google Tag Manager (Web, App y Server-Side)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Mobile Measurement Partners (MMPs) como </w:t>
      </w:r>
      <w:r w:rsidDel="00000000" w:rsidR="00000000" w:rsidRPr="00000000">
        <w:rPr>
          <w:b w:val="1"/>
          <w:bCs w:val="1"/>
          <w:rtl w:val="0"/>
        </w:rPr>
        <w:t xml:space="preserve">Adjust </w:t>
      </w:r>
      <w:r w:rsidDel="00000000" w:rsidR="00000000" w:rsidRPr="00000000">
        <w:rPr>
          <w:rtl w:val="0"/>
        </w:rPr>
        <w:t xml:space="preserve">y la nueva integración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AppsFlyer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flujos y estructuras de eventos que soportan </w:t>
      </w:r>
      <w:r w:rsidDel="00000000" w:rsidR="00000000" w:rsidRPr="00000000">
        <w:rPr>
          <w:rtl w:val="0"/>
        </w:rPr>
        <w:t xml:space="preserve">multi-touch attribution</w:t>
      </w:r>
      <w:r w:rsidDel="00000000" w:rsidR="00000000" w:rsidRPr="00000000">
        <w:rPr>
          <w:rtl w:val="0"/>
        </w:rPr>
        <w:t xml:space="preserve">, eliminación de duplicidades, y consistencia de señal en dispositivos y plataformas.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y gestionar </w:t>
      </w:r>
      <w:r w:rsidDel="00000000" w:rsidR="00000000" w:rsidRPr="00000000">
        <w:rPr>
          <w:rtl w:val="0"/>
        </w:rPr>
        <w:t xml:space="preserve">eventos, conversiones y parámetros</w:t>
      </w:r>
      <w:r w:rsidDel="00000000" w:rsidR="00000000" w:rsidRPr="00000000">
        <w:rPr>
          <w:rtl w:val="0"/>
        </w:rPr>
        <w:t xml:space="preserve"> críticos que alimentan modelos de atribución, optimización de campañas y reporting ejecutivo.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05u7r4zww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Integración de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AppsFlyer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como Nuevo MMP (Mobile Measurement Partner)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Liderar </w:t>
      </w:r>
      <w:r w:rsidDel="00000000" w:rsidR="00000000" w:rsidRPr="00000000">
        <w:rPr>
          <w:b w:val="1"/>
          <w:bCs w:val="1"/>
          <w:rtl w:val="0"/>
        </w:rPr>
        <w:t xml:space="preserve">la integración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AppsFlyer</w:t>
      </w:r>
      <w:r w:rsidDel="00000000" w:rsidR="00000000" w:rsidRPr="00000000">
        <w:rPr>
          <w:rtl w:val="0"/>
        </w:rPr>
        <w:t xml:space="preserve"> para consolidar la medición de atribución, instalaciones y eventos in-app.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con equipos de producto y tecnología la incorporación del </w:t>
      </w:r>
      <w:r w:rsidDel="00000000" w:rsidR="00000000" w:rsidRPr="00000000">
        <w:rPr>
          <w:b w:val="1"/>
          <w:bCs w:val="1"/>
          <w:rtl w:val="0"/>
        </w:rPr>
        <w:t xml:space="preserve">SDK de AppsFlyer</w:t>
      </w:r>
      <w:r w:rsidDel="00000000" w:rsidR="00000000" w:rsidRPr="00000000">
        <w:rPr>
          <w:rtl w:val="0"/>
        </w:rPr>
        <w:t xml:space="preserve"> y la instrumentación de eventos in-app, garantizando: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preciso de </w:t>
      </w:r>
      <w:r w:rsidDel="00000000" w:rsidR="00000000" w:rsidRPr="00000000">
        <w:rPr>
          <w:rtl w:val="0"/>
        </w:rPr>
        <w:t xml:space="preserve">instalaciones y eventos posteriores a la instalación</w:t>
      </w:r>
      <w:r w:rsidDel="00000000" w:rsidR="00000000" w:rsidRPr="00000000">
        <w:rPr>
          <w:rtl w:val="0"/>
        </w:rPr>
        <w:t xml:space="preserve"> como búsquedas, ingresos, registros y otras acciones claves dentro de la app.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Mapeo correcto de eventos y parámetros para asegurar que éstos se atribuyan con fidelidad a fuentes de medios y campañas.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Alineación de especificaciones técnicas de eventos con desarrolladores para asegurar la instrumentación adecuada en iOS y Android.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un </w:t>
      </w:r>
      <w:r w:rsidDel="00000000" w:rsidR="00000000" w:rsidRPr="00000000">
        <w:rPr>
          <w:rtl w:val="0"/>
        </w:rPr>
        <w:t xml:space="preserve">framework de pruebas y validación de señal</w:t>
      </w:r>
      <w:r w:rsidDel="00000000" w:rsidR="00000000" w:rsidRPr="00000000">
        <w:rPr>
          <w:rtl w:val="0"/>
        </w:rPr>
        <w:t xml:space="preserve"> para garantizar que la integración entrega datos consistentes, completos y listos para optimización de campañas.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AppsFlyer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provea dashboards, Raw Data y reportes que alimentan modelos de atribución, LTV y ROI para decisiones de asignación de inversión.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j8wywvof2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Integración con Ecosistema de Plataformas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datos con: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Plataformas de Paid Media (Google, Meta, TikTok, Microsoft, LinkedIn, Amazon, DV360)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CRM y plataformas de engagement (Salesforce Marketing Cloud) - </w:t>
      </w:r>
      <w:r w:rsidDel="00000000" w:rsidR="00000000" w:rsidRPr="00000000">
        <w:rPr>
          <w:i w:val="1"/>
          <w:iCs w:val="1"/>
          <w:rtl w:val="0"/>
        </w:rPr>
        <w:t xml:space="preserve">vía Pub/Sub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complejidades de tracking cross-device, cross-domain y entre distintos entornos tecnológicos.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flujos que </w:t>
      </w:r>
      <w:r w:rsidDel="00000000" w:rsidR="00000000" w:rsidRPr="00000000">
        <w:rPr>
          <w:rtl w:val="0"/>
        </w:rPr>
        <w:t xml:space="preserve">deduplican y reconciliación datos</w:t>
      </w:r>
      <w:r w:rsidDel="00000000" w:rsidR="00000000" w:rsidRPr="00000000">
        <w:rPr>
          <w:rtl w:val="0"/>
        </w:rPr>
        <w:t xml:space="preserve"> entre trackers, SDKs y soluciones server-to-server.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p7qyy6uo5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Data Engineering &amp; Cloud Enablement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Habilitar accesibilidad y calidad de datos para equipos internos y externos, fomentando análisis avanzados y automatizaciones.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9zujsnzxf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Gestión de Riesgos Técnicos y Continuidad Operativa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riesgos técnicos, cuellos de botella y degradaciones de señal antes de que afecten decisiones de negocio.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Coordinar refactors y mantenimiento proactivo de contenedores GTM y marcos de medición sin impacto operativo.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Actuar como </w:t>
      </w:r>
      <w:r w:rsidDel="00000000" w:rsidR="00000000" w:rsidRPr="00000000">
        <w:rPr>
          <w:i w:val="1"/>
          <w:iCs w:val="1"/>
          <w:rtl w:val="0"/>
        </w:rPr>
        <w:t xml:space="preserve">last line of defense</w:t>
      </w:r>
      <w:r w:rsidDel="00000000" w:rsidR="00000000" w:rsidRPr="00000000">
        <w:rPr>
          <w:rtl w:val="0"/>
        </w:rPr>
        <w:t xml:space="preserve"> en resolución de incidentes críticos de tracking y calidad de datos.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z7knlxr0d9a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7. Liderazgo Técnico y Comunicación Ejecutiva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Traducir complejidades técnicas a lenguaje de negocio claro para stakeholders no técnicos.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Alinear agendas, prioridades y recursos entre equipos de producto, marketing, data y tecnología.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Definir roadmaps técnicos con foco en valor de negocio, escalabilidad y alineación estratégica.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Rol híbrido entre arquitecto, integrador, ejecutor y advisor estratégico con foco en métricas que mueven el negocio.</w:t>
      </w:r>
    </w:p>
    <w:sectPr>
      <w:pgSz w:h="15840" w:w="12240" w:orient="portrait"/>
      <w:pgMar w:bottom="90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