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 Bab VI — Kesimpulan dan Saran</w:t>
      </w:r>
    </w:p>
    <w:p>
      <w:pPr>
        <w:spacing w:after="120"/>
        <w:ind w:left="504"/>
      </w:pPr>
      <w:r>
        <w:rPr>
          <w:b/>
          <w:color w:val="333333"/>
        </w:rPr>
        <w:t>Berkas ini adalah draf siap salin untuk Bab VI naskah skripsi.</w:t>
      </w:r>
      <w:r>
        <w:rPr>
          <w:color w:val="333333"/>
        </w:rPr>
        <w:t xml:space="preserve"> Seluruh isinya ditarik dari hasil yang sudah ada di Bab V, tujuan penelitian di Bab I, metode di Bab III, dan rujukan yang sudah dipakai di Bab II. Tidak ada data baru, tabel, maupun gambar, sesuai ketentuan templat.</w:t>
      </w:r>
    </w:p>
    <w:p>
      <w:pPr>
        <w:pStyle w:val="Heading2"/>
      </w:pPr>
      <w:r>
        <w:t>Susunannya</w:t>
      </w:r>
    </w:p>
    <w:p>
      <w:pPr>
        <w:spacing w:after="120"/>
      </w:pPr>
      <w:r>
        <w:t xml:space="preserve">Kesimpulan disusun sebagai </w:t>
      </w:r>
      <w:r>
        <w:rPr>
          <w:b/>
        </w:rPr>
        <w:t>lima butir</w:t>
      </w:r>
      <w:r>
        <w:t>, satu butir untuk satu klaim besar, mengikuti urutan tujuan penelitian di Bab 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Butir</w:t>
            </w:r>
          </w:p>
        </w:tc>
        <w:tc>
          <w:tcPr>
            <w:tcW w:type="dxa" w:w="4320"/>
          </w:tcPr>
          <w:p>
            <w:r>
              <w:rPr>
                <w:b/>
              </w:rPr>
            </w:r>
            <w:r>
              <w:rPr>
                <w:b/>
              </w:rPr>
              <w:t>Menjawab</w:t>
            </w:r>
          </w:p>
        </w:tc>
      </w:tr>
      <w:tr>
        <w:tc>
          <w:tcPr>
            <w:tcW w:type="dxa" w:w="4320"/>
          </w:tcPr>
          <w:p>
            <w:r/>
            <w:r>
              <w:t>1</w:t>
            </w:r>
          </w:p>
        </w:tc>
        <w:tc>
          <w:tcPr>
            <w:tcW w:type="dxa" w:w="4320"/>
          </w:tcPr>
          <w:p>
            <w:r/>
            <w:r>
              <w:t>Tujuan umum, sekaligus pembuktian pilihan teknologi</w:t>
            </w:r>
          </w:p>
        </w:tc>
      </w:tr>
      <w:tr>
        <w:tc>
          <w:tcPr>
            <w:tcW w:type="dxa" w:w="4320"/>
          </w:tcPr>
          <w:p>
            <w:r/>
            <w:r>
              <w:t>2</w:t>
            </w:r>
          </w:p>
        </w:tc>
        <w:tc>
          <w:tcPr>
            <w:tcW w:type="dxa" w:w="4320"/>
          </w:tcPr>
          <w:p>
            <w:r/>
            <w:r>
              <w:t>Tujuan khusus pertama dan pokok permasalahan pertama</w:t>
            </w:r>
          </w:p>
        </w:tc>
      </w:tr>
      <w:tr>
        <w:tc>
          <w:tcPr>
            <w:tcW w:type="dxa" w:w="4320"/>
          </w:tcPr>
          <w:p>
            <w:r/>
            <w:r>
              <w:t>3</w:t>
            </w:r>
          </w:p>
        </w:tc>
        <w:tc>
          <w:tcPr>
            <w:tcW w:type="dxa" w:w="4320"/>
          </w:tcPr>
          <w:p>
            <w:r/>
            <w:r>
              <w:t>Tujuan khusus kedua dan pokok permasalahan kedua</w:t>
            </w:r>
          </w:p>
        </w:tc>
      </w:tr>
      <w:tr>
        <w:tc>
          <w:tcPr>
            <w:tcW w:type="dxa" w:w="4320"/>
          </w:tcPr>
          <w:p>
            <w:r/>
            <w:r>
              <w:t>4</w:t>
            </w:r>
          </w:p>
        </w:tc>
        <w:tc>
          <w:tcPr>
            <w:tcW w:type="dxa" w:w="4320"/>
          </w:tcPr>
          <w:p>
            <w:r/>
            <w:r>
              <w:t>Tujuan khusus ketiga, yaitu hasil keempat pengujian</w:t>
            </w:r>
          </w:p>
        </w:tc>
      </w:tr>
      <w:tr>
        <w:tc>
          <w:tcPr>
            <w:tcW w:type="dxa" w:w="4320"/>
          </w:tcPr>
          <w:p>
            <w:r/>
            <w:r>
              <w:t>5</w:t>
            </w:r>
          </w:p>
        </w:tc>
        <w:tc>
          <w:tcPr>
            <w:tcW w:type="dxa" w:w="4320"/>
          </w:tcPr>
          <w:p>
            <w:r/>
            <w:r>
              <w:t>Posisi terhadap penelitian terdahulu dan keterpakaian metode</w:t>
            </w:r>
          </w:p>
        </w:tc>
      </w:tr>
    </w:tbl>
    <w:p/>
    <w:p>
      <w:pPr>
        <w:spacing w:after="120"/>
      </w:pPr>
      <w:r>
        <w:t>Bentuk poin dipertahankan karena templat mewajibkannya, tetapi tiap poin ditulis sebagai satu alinea penuh sehingga tetap terbaca mengalir.</w:t>
      </w:r>
    </w:p>
    <w:p>
      <w:pPr>
        <w:pStyle w:val="Heading2"/>
      </w:pPr>
      <w:r>
        <w:t>Angka yang masih sementara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Angka</w:t>
            </w:r>
          </w:p>
        </w:tc>
        <w:tc>
          <w:tcPr>
            <w:tcW w:type="dxa" w:w="2880"/>
          </w:tcPr>
          <w:p>
            <w:r>
              <w:rPr>
                <w:b/>
              </w:rPr>
            </w:r>
            <w:r>
              <w:rPr>
                <w:b/>
              </w:rPr>
              <w:t>Nilai sekarang</w:t>
            </w:r>
          </w:p>
        </w:tc>
        <w:tc>
          <w:tcPr>
            <w:tcW w:type="dxa" w:w="2880"/>
          </w:tcPr>
          <w:p>
            <w:r>
              <w:rPr>
                <w:b/>
              </w:rPr>
            </w:r>
            <w:r>
              <w:rPr>
                <w:b/>
              </w:rPr>
              <w:t>Kapan berubah</w:t>
            </w:r>
          </w:p>
        </w:tc>
      </w:tr>
      <w:tr>
        <w:tc>
          <w:tcPr>
            <w:tcW w:type="dxa" w:w="2880"/>
          </w:tcPr>
          <w:p>
            <w:r/>
            <w:r>
              <w:t>Jumlah kasus uji black box</w:t>
            </w:r>
          </w:p>
        </w:tc>
        <w:tc>
          <w:tcPr>
            <w:tcW w:type="dxa" w:w="2880"/>
          </w:tcPr>
          <w:p>
            <w:r/>
            <w:r>
              <w:t>60 kasus</w:t>
            </w:r>
          </w:p>
        </w:tc>
        <w:tc>
          <w:tcPr>
            <w:tcW w:type="dxa" w:w="2880"/>
          </w:tcPr>
          <w:p>
            <w:r/>
            <w:r>
              <w:t>Setelah BB-51 s.d. BB-60 dijalankan (bagian F-7 panduan)</w:t>
            </w:r>
          </w:p>
        </w:tc>
      </w:tr>
      <w:tr>
        <w:tc>
          <w:tcPr>
            <w:tcW w:type="dxa" w:w="2880"/>
          </w:tcPr>
          <w:p>
            <w:r/>
            <w:r>
              <w:t>Tingkat keberhasilan black box</w:t>
            </w:r>
          </w:p>
        </w:tc>
        <w:tc>
          <w:tcPr>
            <w:tcW w:type="dxa" w:w="2880"/>
          </w:tcPr>
          <w:p>
            <w:r/>
            <w:r>
              <w:t>belum diisi</w:t>
            </w:r>
          </w:p>
        </w:tc>
        <w:tc>
          <w:tcPr>
            <w:tcW w:type="dxa" w:w="2880"/>
          </w:tcPr>
          <w:p>
            <w:r/>
            <w:r>
              <w:t>Setelah keenam puluh kasus dijalankan</w:t>
            </w:r>
          </w:p>
        </w:tc>
      </w:tr>
      <w:tr>
        <w:tc>
          <w:tcPr>
            <w:tcW w:type="dxa" w:w="2880"/>
          </w:tcPr>
          <w:p>
            <w:r/>
            <w:r>
              <w:t>Skor CSUQ keseluruhan</w:t>
            </w:r>
          </w:p>
        </w:tc>
        <w:tc>
          <w:tcPr>
            <w:tcW w:type="dxa" w:w="2880"/>
          </w:tcPr>
          <w:p>
            <w:r/>
            <w:r>
              <w:t>6,36 dari 8 responden</w:t>
            </w:r>
          </w:p>
        </w:tc>
        <w:tc>
          <w:tcPr>
            <w:tcW w:type="dxa" w:w="2880"/>
          </w:tcPr>
          <w:p>
            <w:r/>
            <w:r>
              <w:t>Setelah tanggapan Ketua Tim masuk, menjadi 12 responden</w:t>
            </w:r>
          </w:p>
        </w:tc>
      </w:tr>
    </w:tbl>
    <w:p/>
    <w:p>
      <w:pPr>
        <w:spacing w:after="120"/>
      </w:pPr>
      <w:r>
        <w:t>Butir keterbatasan pada 6.2.2 ditulis dengan angka 12 responden, yaitu jumlah yang direncanakan. Bila sampai naskah dicetak Ketua Tim tetap belum mengisi, ubah menjadi 8 dan sesuaikan kalimatnya.</w:t>
      </w:r>
    </w:p>
    <w:p>
      <w:pPr>
        <w:pStyle w:val="Heading2"/>
      </w:pPr>
      <w:r>
        <w:t>Satu ketidaksesuaian rujukan yang perlu Anda putuskan</w:t>
      </w:r>
    </w:p>
    <w:p>
      <w:pPr>
        <w:spacing w:after="120"/>
      </w:pPr>
      <w:r>
        <w:t xml:space="preserve">Di Bab II, Pressman dan Maxim disitasi dalam teks sebagai </w:t>
      </w:r>
      <w:r>
        <w:rPr>
          <w:b/>
        </w:rPr>
        <w:t>(2015)</w:t>
      </w:r>
      <w:r>
        <w:t xml:space="preserve"> di beberapa tempat, sedangkan Daftar Pustaka mencantumkan </w:t>
      </w:r>
      <w:r>
        <w:rPr>
          <w:b/>
        </w:rPr>
        <w:t>(2020)</w:t>
      </w:r>
      <w:r>
        <w:t>. Draf ini memakai 2020 mengikuti Daftar Pustaka. Samakan sebelum dicetak.</w:t>
      </w:r>
    </w:p>
    <w:p>
      <w:pPr>
        <w:spacing w:before="120"/>
      </w:pPr>
      <w:r>
        <w:rPr>
          <w:color w:val="BBBBBB"/>
        </w:rPr>
        <w:t>────────────────────────────────────────────────────────────</w:t>
      </w:r>
    </w:p>
    <w:p>
      <w:pPr>
        <w:pStyle w:val="Heading1"/>
      </w:pPr>
      <w:r>
        <w:t>BAB VI</w:t>
      </w:r>
    </w:p>
    <w:p>
      <w:pPr>
        <w:pStyle w:val="Heading1"/>
      </w:pPr>
      <w:r>
        <w:t>KESIMPULAN DAN SARAN</w:t>
      </w:r>
    </w:p>
    <w:p>
      <w:pPr>
        <w:pStyle w:val="Heading2"/>
      </w:pPr>
      <w:r>
        <w:t>6.1 Kesimpulan</w:t>
      </w:r>
    </w:p>
    <w:p>
      <w:pPr>
        <w:spacing w:after="120"/>
      </w:pPr>
      <w:r>
        <w:t>Berdasarkan hasil analisis, perancangan, implementasi, dan evaluasi Sistem Informasi Kegiatan dan Mitra (SIKAMI) di BPS Kabupaten Bengkulu Selatan, diperoleh kesimpulan sebagai berikut.</w:t>
      </w:r>
    </w:p>
    <w:p>
      <w:pPr>
        <w:pStyle w:val="ListNumber"/>
      </w:pPr>
      <w:r>
        <w:rPr>
          <w:b/>
        </w:rPr>
        <w:t>Tujuan umum penelitian tercapai, dan pilihan teknologinya terbukti memadai.</w:t>
      </w:r>
      <w:r>
        <w:t xml:space="preserve"> Sistem SIKAMI berhasil dibangun serta diterapkan pada layanan hosting cPanel milik BPS Kabupaten Bengkulu Selatan, dengan seluruh data administrasi kontrak, honor, progres pekerjaan, dokumen, dan penilaian kinerja mitra tersimpan dalam satu basis data berisi delapan belas tabel yang saling terhubung. Berkas lembar kerja terpisah yang sebelumnya dikelola masing-masing tim karena itu tidak lagi menjadi sumber data. Penyatuan ini mewujudkan tujuan sentralisasi data yang dikemukakan Laudon dan Laudon (2021), yaitu menghilangkan pengulangan data dan memudahkan penelusuran kembali untuk keperluan verifikasi, sekaligus memenuhi amanat Peraturan Presiden Nomor 95 Tahun 2018 tentang Sistem Pemerintahan Berbasis Elektronik (Republik Indonesia, 2018). Pemilihan teknologi yang didasarkan pada bukti empiris — Express.js di atas Node.js mengacu pada Saputro dan Novita (2025), React mengacu pada Annaram (2024), dan Tailwind CSS mengacu pada Santoso (2025) — terbukti memadai bagi kebutuhan satuan kerja, terlihat dari rata-rata skor kinerja 99,1 dengan seluruh halaman berkategori baik.</w:t>
      </w:r>
    </w:p>
    <w:p>
      <w:pPr>
        <w:pStyle w:val="ListNumber"/>
      </w:pPr>
      <w:r>
        <w:rPr>
          <w:b/>
        </w:rPr>
        <w:t>Tujuan khusus pertama tercapai, yaitu terbangunnya fitur administrasi dan pengendalian honor yang menjawab pokok permasalahan pertama.</w:t>
      </w:r>
      <w:r>
        <w:t xml:space="preserve"> Surat Perjanjian Kerja dan Berita Acara Serah Terima kini dibentuk dari templat dalam bentuk PDF dengan penomoran yang diberikan sistem dan dijamin tidak kembar melalui kunci basis data pada saat pengambilan nomor serta indeks unik sebagai pengaman terakhirnya, sehingga menjawab kelemahan penomoran manual yang dicatat Nasution dkk. (2026) dan menerapkan prinsip pembentukan dokumen dari templat yang diuraikan Triadi dan Nurajijah (2024). Pengendalian batas honor berubah dari pemeriksaan pasif menjadi peringatan aktif: setiap penyimpanan kegiatan, sistem menjumlahkan honor tiap mitra per bulan dari seluruh kegiatan termasuk milik tim lain, lalu memperingatkan sebelum data tersimpan — menjawab kerentanan pengelolaan honorarium manual yang dikemukakan Wahab dkk. (2025). Tautan dokumen pendukung terkumpul menurut kegiatan dan tahapnya sehingga tidak lagi ditagih ke masing-masing Ketua Tim, mengatasi inefisiensi pengelolaan arsip terdesentralisasi yang ditemukan Supriatmaja dkk. (2024), dan pemilihan mitra dilengkapi penyaringan menurut kecamatan dan desa. Secara terukur, keenam pekerjaan administratif yang tercakup tujuan ini mengalami penghematan waktu antara 69,2 sampai 83,3 persen.</w:t>
      </w:r>
    </w:p>
    <w:p>
      <w:pPr>
        <w:pStyle w:val="ListNumber"/>
      </w:pPr>
      <w:r>
        <w:rPr>
          <w:b/>
        </w:rPr>
        <w:t>Tujuan khusus kedua tercapai, yaitu terbangunnya fitur pemantauan dan penilaian mitra yang menjawab pokok permasalahan kedua.</w:t>
      </w:r>
      <w:r>
        <w:t xml:space="preserve"> Progres seluruh kegiatan kini tersimpan di satu tempat dan tersaji pada satu dasbor beserta grafik serta penanda kegiatan yang tertinggal, mengikuti gagasan dasbor yang dirumuskan Few (2006) dan menjawab temuan Simpony dkk. (2024) bahwa ketiadaan data yang tersaji seketika menghambat pengambilan keputusan pimpinan. Pengingat tenggat dan kelengkapan dokumen yang sebelumnya bergantung pada pesan pribadi antarpegawai kini disampaikan sistem sebagai notifikasi, sejalan dengan temuan Muthmainnah dkk. (2025) di BPS Kota Lhokseumawe. Penilaian kinerja hanya dapat diisi PML yang mengawasi mitra tersebut, dan pembatasan itu ditegakkan di sisi server dengan identitas penilai diambil dari token sehingga keadaan sebelumnya, ketika berkas penilaian dapat diubah siapa pun yang memiliki tautannya, tidak lagi terjadi. Peringkat mitra per triwulan dihitung sistem dari data yang sudah tersimpan, menjawab temuan Zahara dkk. (2022) bahwa penggabungan data penilaian secara manual memakan waktu dan rentan subjektivitas, serta menerapkan gagasan pemeringkatan otomatis yang sebelumnya diterapkan Nada dkk. (2020) pada pegawai, kali ini pada mitra statistik. Penghematan waktu terbesar dari seluruh pengujian justru terjadi pada tujuan ini, yaitu 86,7 persen pada pekerjaan mengetahui progres seluruh kegiatan yang sedang berjalan.</w:t>
      </w:r>
    </w:p>
    <w:p>
      <w:pPr>
        <w:pStyle w:val="ListNumber"/>
      </w:pPr>
      <w:r>
        <w:rPr>
          <w:b/>
        </w:rPr>
        <w:t>Tujuan khusus ketiga tercapai melalui empat pengujian yang saling melengkapi.</w:t>
      </w:r>
      <w:r>
        <w:t xml:space="preserve"> Pengujian fungsionalitas dengan metode black box dilakukan atas 60 kasus uji yang disusun menggunakan teknik </w:t>
      </w:r>
      <w:r>
        <w:rPr>
          <w:i/>
        </w:rPr>
        <w:t>equivalence partitioning</w:t>
      </w:r>
      <w:r>
        <w:t xml:space="preserve"> dan </w:t>
      </w:r>
      <w:r>
        <w:rPr>
          <w:i/>
        </w:rPr>
        <w:t>boundary value analysis</w:t>
      </w:r>
      <w:r>
        <w:t xml:space="preserve"> sebagaimana dianjurkan Nidhra dan Dondeti (2012) serta Pressman dan Maxim (2020), dengan seluruh kebutuhan fungsional KF-01 sampai KF-16 terwakili sedikitnya satu kasus uji. Pengujian keamanan hak akses atas enam belas skenario menunjukkan seluruh percobaan peningkatan hak akses, baik menegak maupun mendatar, ditolak sistem dengan kode status yang sesuai sedangkan akses yang memang menjadi hak peran tersebut tetap berjalan; hasil ini menunjukkan penerapan prinsip hak akses terendah sebagaimana dirumuskan Stallings dan Brown (2018) terhadap kerentanan </w:t>
      </w:r>
      <w:r>
        <w:rPr>
          <w:i/>
        </w:rPr>
        <w:t>broken access control</w:t>
      </w:r>
      <w:r>
        <w:t xml:space="preserve"> yang menempati peringkat pertama pada OWASP Top 10 (OWASP Foundation, 2021). Pengujian kinerja menghasilkan rata-rata skor Google Lighthouse 99,1 atas sepuluh halaman, dan perbandingan lama pengerjaan delapan pekerjaan administratif sebelum serta sesudah sistem digunakan menunjukkan penurunan waktu sebesar 82,5 persen. Pengujian kegunaan dengan </w:t>
      </w:r>
      <w:r>
        <w:rPr>
          <w:i/>
        </w:rPr>
        <w:t>Computer System Usability Questionnaire</w:t>
      </w:r>
      <w:r>
        <w:t xml:space="preserve"> (Lewis, 1995) menghasilkan skor keseluruhan 6,36 dari skala 1 sampai 7 dan termasuk kategori sangat puas, berada di atas rata-rata 21 studi kegunaan yang dihimpun Sauro dan Lewis (2016) yang setara dengan 5,18 pada skala searah.</w:t>
      </w:r>
    </w:p>
    <w:p>
      <w:pPr>
        <w:pStyle w:val="ListNumber"/>
      </w:pPr>
      <w:r>
        <w:rPr>
          <w:b/>
        </w:rPr>
        <w:t>Penelitian ini mengisi celah penelitian terdahulu, dan metode Modified Waterfall terbukti sesuai bagi lingkungan yang menjadi studi kasus.</w:t>
      </w:r>
      <w:r>
        <w:t xml:space="preserve"> Yogantara dkk. (2025) berhenti pada pengelolaan kontrak dan beban kerja mitra, sedangkan Susi dkk. (2024) memantau honor pada sisi hilir berupa status sudah atau belum dibayar. Penelitian ini melanjutkan alurnya sampai pemantauan progres dan penilaian kinerja, serta bekerja pada sisi hulu dengan memeriksa akumulasi honor lintas tim pada saat alokasi disimpan; kebaruannya terletak pada penyatuan seluruh siklus pengelolaan mitra statistik, mulai dari alokasi, pengendalian anggaran, penyuratan, pemantauan lapangan, sampai pemeringkatan kinerja, ke dalam satu basis data dan satu dasbor di tingkat BPS Kabupaten. Sepanjang pengembangan, mekanisme umpan balik yang menjadi pembeda Modified Waterfall terhadap waterfall klasik (Munassar &amp; Govardhan, 2010; McConnell, 1996) benar-benar terpakai, yaitu ketika temuan pada tahap implementasi dan pengujian menuntut penyesuaian kembali ke tahap perancangan tanpa mengulang seluruh siklus. Keterpakaian itu memperkuat temuan Fajar dan Maghfiroh (2024) bahwa Modified Waterfall efektif dan adaptif bagi sistem manajerial di lingkungan BPS yang aturan bisnisnya ketat namun dapat berubah.</w:t>
      </w:r>
    </w:p>
    <w:p>
      <w:pPr>
        <w:pStyle w:val="Heading2"/>
      </w:pPr>
      <w:r>
        <w:t>6.2 Saran</w:t>
      </w:r>
    </w:p>
    <w:p>
      <w:pPr>
        <w:spacing w:after="120"/>
      </w:pPr>
      <w:r>
        <w:t>Berdasarkan hasil penelitian, keterbatasan yang ditemukan, serta masukan yang disampaikan pengguna pada tahap evaluasi, disusun saran sebagai berikut.</w:t>
      </w:r>
    </w:p>
    <w:p>
      <w:pPr>
        <w:pStyle w:val="Heading3"/>
      </w:pPr>
      <w:r>
        <w:t>6.2.1 Saran Pengembangan Sistem</w:t>
      </w:r>
    </w:p>
    <w:p>
      <w:pPr>
        <w:pStyle w:val="ListNumber"/>
      </w:pPr>
      <w:r>
        <w:rPr>
          <w:b/>
        </w:rPr>
        <w:t>Menyambungkan sistem dengan aplikasi FASIH.</w:t>
      </w:r>
      <w:r>
        <w:t xml:space="preserve"> Progres pekerjaan mitra saat ini masih diinput PML secara manual, termasuk untuk kegiatan yang pendataannya memakai FASIH. Struktur basis data dan antarmuka pemrogramannya sudah disiapkan: tabel kegiatan telah memiliki kolom penanda kegiatan FASIH dan pemilih sumber progres di sisi server, sehingga penyambungannya tidak menuntut perubahan struktur basis data maupun antarmuka.</w:t>
      </w:r>
    </w:p>
    <w:p>
      <w:pPr>
        <w:pStyle w:val="ListNumber"/>
      </w:pPr>
      <w:r>
        <w:rPr>
          <w:b/>
        </w:rPr>
        <w:t>Menyambungkan pengelolaan data mitra dengan aplikasi SOBAT.</w:t>
      </w:r>
      <w:r>
        <w:t xml:space="preserve"> Daftar mitra saat ini diperbarui dengan mengunggah berkas Excel secara berkala. Sambungan langsung akan menghilangkan langkah unggah tersebut sekaligus menjaga data mitra selalu mutakhir.</w:t>
      </w:r>
    </w:p>
    <w:p>
      <w:pPr>
        <w:pStyle w:val="ListNumber"/>
      </w:pPr>
      <w:r>
        <w:rPr>
          <w:b/>
        </w:rPr>
        <w:t>Menambahkan pembentukan kelengkapan dokumen persiapan secara otomatis.</w:t>
      </w:r>
      <w:r>
        <w:t xml:space="preserve"> Saran ini disampaikan lebih dari satu responden, yaitu pembuatan Surat Keputusan, Surat Tugas, dan undangan pelatihan petugas dengan cara yang sama seperti pembentukan SPK dan BAST. Mekanismenya sudah tersedia di dalam sistem dan tinggal diterapkan pada jenis dokumen yang berbeda. Saran ini juga menjadi yang paling menjanjikan, karena pemeriksaan kelengkapan dokumen adalah pekerjaan dengan penghematan waktu terkecil pada pengujian efisiensi.</w:t>
      </w:r>
    </w:p>
    <w:p>
      <w:pPr>
        <w:pStyle w:val="ListNumber"/>
      </w:pPr>
      <w:r>
        <w:rPr>
          <w:b/>
        </w:rPr>
        <w:t>Menampilkan bintang mutu mitra pada daftar mitra.</w:t>
      </w:r>
      <w:r>
        <w:t xml:space="preserve"> Nilai mutu mitra saat ini baru terlihat pada halaman penilaian dan rekap peringkat. Menampilkannya pada daftar mitra akan membantu Ketua Tim mempertimbangkan mutu mitra ketika memilih, bukan setelah kegiatan selesai.</w:t>
      </w:r>
    </w:p>
    <w:p>
      <w:pPr>
        <w:pStyle w:val="ListNumber"/>
      </w:pPr>
      <w:r>
        <w:rPr>
          <w:b/>
        </w:rPr>
        <w:t>Menyediakan jalur perbaikan alokasi yang salah tahap.</w:t>
      </w:r>
      <w:r>
        <w:t xml:space="preserve"> Seorang responden melaporkan pernah memasukkan mitra ke tahap yang keliru. Fasilitas memindahkan alokasi antar-tahap tanpa menghapus dan memasukkan ulang akan mengurangi risiko kehilangan data honor dan progres yang menempel pada alokasi tersebut.</w:t>
      </w:r>
    </w:p>
    <w:p>
      <w:pPr>
        <w:pStyle w:val="ListNumber"/>
      </w:pPr>
      <w:r>
        <w:rPr>
          <w:b/>
        </w:rPr>
        <w:t>Memperbaiki beberapa hal kecil pada antarmuka.</w:t>
      </w:r>
      <w:r>
        <w:t xml:space="preserve"> Responden menyebutkan jendela pengisian nilai mitra tidak menyediakan batang gulir sehingga tombol simpan harus dicari dengan memperkecil jendela peramban. Perbaikan semacam ini kecil tetapi langsung dirasakan pemakai setiap hari.</w:t>
      </w:r>
    </w:p>
    <w:p>
      <w:pPr>
        <w:pStyle w:val="ListNumber"/>
      </w:pPr>
      <w:r>
        <w:rPr>
          <w:b/>
        </w:rPr>
        <w:t>Menambahkan pemantauan anomali data.</w:t>
      </w:r>
      <w:r>
        <w:t xml:space="preserve"> Seorang responden mengusulkan menu yang menampilkan daftar anomali data beserta perkembangan penyelesaiannya, yaitu pekerjaan yang saat ini masih ditangani di luar sistem.</w:t>
      </w:r>
    </w:p>
    <w:p>
      <w:pPr>
        <w:pStyle w:val="Heading3"/>
      </w:pPr>
      <w:r>
        <w:t>6.2.2 Keterbatasan Penelitian</w:t>
      </w:r>
    </w:p>
    <w:p>
      <w:pPr>
        <w:pStyle w:val="ListNumber"/>
      </w:pPr>
      <w:r>
        <w:rPr>
          <w:b/>
        </w:rPr>
        <w:t>Jumlah responden pengujian kegunaan terbatas.</w:t>
      </w:r>
      <w:r>
        <w:t xml:space="preserve"> Kuesioner diisi 12 dari sekitar 25 pegawai yang memakai sistem, dan komposisi perannya tidak proporsional terhadap populasinya. Hasil pengujian kegunaan karena itu menggambarkan penilaian pemakai yang bersedia mengisi, bukan penilaian seluruh pemakai. Jumlah tersebut masih berada dalam rentang yang dinyatakan Macefield (2009) memadai untuk memperoleh nilai rata-rata yang stabil pada pengujian kuantitatif berbasis kuesioner, tetapi tidak cukup untuk membandingkan skor antar-peran.</w:t>
      </w:r>
    </w:p>
    <w:p>
      <w:pPr>
        <w:pStyle w:val="ListNumber"/>
      </w:pPr>
      <w:r>
        <w:rPr>
          <w:b/>
        </w:rPr>
        <w:t>Angka waktu pengerjaan sebelum sistem digunakan merupakan perkiraan responden.</w:t>
      </w:r>
      <w:r>
        <w:t xml:space="preserve"> Angka tersebut dituliskan berdasarkan ingatan atas cara kerja lama, bukan hasil pengukuran dengan pencatat waktu, sehingga menggambarkan besaran perubahan yang dirasakan pengguna dan bukan pengukuran presisi. Angka sesudah lebih dapat dipercaya karena responden baru saja mengerjakan tugasnya pada sistem ketika mengisi kuesioner.</w:t>
      </w:r>
    </w:p>
    <w:p>
      <w:pPr>
        <w:pStyle w:val="ListNumber"/>
      </w:pPr>
      <w:r>
        <w:rPr>
          <w:b/>
        </w:rPr>
        <w:t>Masa pemakaian sistem saat dievaluasi masih singkat.</w:t>
      </w:r>
      <w:r>
        <w:t xml:space="preserve"> Sebagian besar responden baru memakai sistem kurang dari satu bulan ketika mengisi kuesioner, sehingga penilaiannya lebih menggambarkan kesan pemakaian awal daripada pengalaman satu siklus kegiatan penuh. Beberapa jenis persoalan, misalnya penumpukan data lintas tahun dan pergantian kepengurusan ketua tim, baru akan terasa setelah sistem berjalan lebih lama.</w:t>
      </w:r>
    </w:p>
    <w:p>
      <w:pPr>
        <w:pStyle w:val="ListNumber"/>
      </w:pPr>
      <w:r>
        <w:rPr>
          <w:b/>
        </w:rPr>
        <w:t>Sistem belum diuji pada keadaan seluruh pemakai mengaksesnya bersamaan.</w:t>
      </w:r>
      <w:r>
        <w:t xml:space="preserve"> Pengujian kinerja yang dilakukan mengukur kecepatan pemuatan tampilan di sisi peramban, sedangkan perilaku peladen dan basis data ketika diakses banyak pemakai sekaligus belum diukur. Keterbatasan ini tergolong ringan mengingat sistem dipakai paling banyak sekitar dua puluh pegawai pada satu satuan kerja, tetapi tetap perlu disebutkan agar cakupan pengujian kinerja tidak terbaca lebih luas daripada yang sebenarnya dilakukan.</w:t>
      </w:r>
    </w:p>
    <w:p>
      <w:pPr>
        <w:pStyle w:val="Heading3"/>
      </w:pPr>
      <w:r>
        <w:t>6.2.3 Saran Penelitian Lanjutan</w:t>
      </w:r>
    </w:p>
    <w:p>
      <w:pPr>
        <w:pStyle w:val="ListNumber"/>
      </w:pPr>
      <w:r>
        <w:rPr>
          <w:b/>
        </w:rPr>
        <w:t>Mengevaluasi ulang setelah sistem dipakai satu siklus penuh.</w:t>
      </w:r>
      <w:r>
        <w:t xml:space="preserve"> Pengukuran setelah satu tahun anggaran berjalan akan memperlihatkan dampak sebenarnya terhadap ketepatan waktu penyelesaian dokumen dan kepatuhan terhadap batas honor, yaitu hal yang tidak dapat diukur pada masa pemakaian yang singkat.</w:t>
      </w:r>
    </w:p>
    <w:p>
      <w:pPr>
        <w:pStyle w:val="ListNumber"/>
      </w:pPr>
      <w:r>
        <w:rPr>
          <w:b/>
        </w:rPr>
        <w:t>Membandingkan rumus pemeringkatan yang dipakai dengan metode pendukung keputusan lain.</w:t>
      </w:r>
      <w:r>
        <w:t xml:space="preserve"> Sistem ini memakai rumus rata-rata nilai ditambah pembeda berupa jumlah kegiatan. Zahara dkk. (2022) membandingkan metode SMART, SAW, dan MOORA untuk pemilihan calon mitra statistik; membandingkan hasil pemeringkatan kedua pendekatan pada data yang sama akan menunjukkan apakah rumus sederhana yang dipakai sudah memadai atau perlu diganti.</w:t>
      </w:r>
    </w:p>
    <w:p>
      <w:pPr>
        <w:pStyle w:val="ListNumber"/>
      </w:pPr>
      <w:r>
        <w:rPr>
          <w:b/>
        </w:rPr>
        <w:t>Menguji keteralihan sistem ke satuan kerja lain.</w:t>
      </w:r>
      <w:r>
        <w:t xml:space="preserve"> Penerapan di BPS kabupaten atau kota lain akan menunjukkan bagian mana dari alur kerja yang bersifat umum dan bagian mana yang khas Bengkulu Selatan, sekaligus menguji apakah pengaturan yang disediakan sistem sudah cukup luwes.</w:t>
      </w:r>
    </w:p>
    <w:p>
      <w:pPr>
        <w:pStyle w:val="ListNumber"/>
      </w:pPr>
      <w:r>
        <w:rPr>
          <w:b/>
        </w:rPr>
        <w:t>Melakukan pengujian keamanan yang lebih luas.</w:t>
      </w:r>
      <w:r>
        <w:t xml:space="preserve"> Pengujian penetrasi dan pemeriksaan kerentanan di luar kontrol akses diperlukan apabila sistem kelak dibuka di luar jaringan tertutup BPS.</w:t>
      </w:r>
    </w:p>
    <w:p>
      <w:pPr>
        <w:pStyle w:val="ListNumber"/>
      </w:pPr>
      <w:r>
        <w:rPr>
          <w:b/>
        </w:rPr>
        <w:t>Mengukur pengaruh sistem terhadap mutu data statistik.</w:t>
      </w:r>
      <w:r>
        <w:t xml:space="preserve"> Penelitian ini berhenti pada tata kelola administrasi dan pemantauan. Menghubungkan ketertiban administrasi dan kecepatan pemantauan dengan indikator mutu data sebagaimana kerangka </w:t>
      </w:r>
      <w:r>
        <w:rPr>
          <w:i/>
        </w:rPr>
        <w:t>total survey error</w:t>
      </w:r>
      <w:r>
        <w:t xml:space="preserve"> yang dikemukakan Biemer (2010) akan melengkapi rantai argumen dari pengelolaan mitra sampai mutu statistik yang diterbitkan.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