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draf-revisi-sitasi-dan-daftar-pustaka"/>
    <w:p>
      <w:pPr>
        <w:pStyle w:val="Heading1"/>
      </w:pPr>
      <w:r>
        <w:t xml:space="preserve">Draf Revisi Sitasi dan Daftar Pustaka</w:t>
      </w:r>
    </w:p>
    <w:p>
      <w:pPr>
        <w:pStyle w:val="FirstParagraph"/>
      </w:pPr>
      <w:r>
        <w:t xml:space="preserve">Berkas ini khusus menangani kutipan dan daftar pustaka: mengubah sitasi bernomor</w:t>
      </w:r>
      <w:r>
        <w:t xml:space="preserve"> </w:t>
      </w:r>
      <w:r>
        <w:t xml:space="preserve">gaya IEEE (</w:t>
      </w:r>
      <w:r>
        <w:rPr>
          <w:rStyle w:val="VerbatimChar"/>
        </w:rPr>
        <w:t xml:space="preserve">[1]</w:t>
      </w:r>
      <w:r>
        <w:t xml:space="preserve">,</w:t>
      </w:r>
      <w:r>
        <w:t xml:space="preserve"> </w:t>
      </w:r>
      <w:r>
        <w:rPr>
          <w:rStyle w:val="VerbatimChar"/>
        </w:rPr>
        <w:t xml:space="preserve">[11]</w:t>
      </w:r>
      <w:r>
        <w:t xml:space="preserve">, …) pada naskah seminar proposal menjadi gaya penulis-tahun</w:t>
      </w:r>
      <w:r>
        <w:t xml:space="preserve"> </w:t>
      </w:r>
      <w:r>
        <w:t xml:space="preserve">(APA), memetakan nomor lama ke bentuk barunya, dan menambahkan rujukan yang selama</w:t>
      </w:r>
      <w:r>
        <w:t xml:space="preserve"> </w:t>
      </w:r>
      <w:r>
        <w:t xml:space="preserve">ini dipakai tanpa sumber.</w:t>
      </w:r>
    </w:p>
    <w:p>
      <w:pPr>
        <w:pStyle w:val="BodyText"/>
      </w:pPr>
      <w:r>
        <w:rPr>
          <w:b/>
          <w:bCs/>
        </w:rPr>
        <w:t xml:space="preserve">Sumber daftar pustaka:</w:t>
      </w:r>
      <w:r>
        <w:t xml:space="preserve"> </w:t>
      </w:r>
      <w:r>
        <w:t xml:space="preserve">makalah seminar proposal Anda, 28 rujukan bernomor</w:t>
      </w:r>
      <w:r>
        <w:t xml:space="preserve"> </w:t>
      </w:r>
      <w:r>
        <w:rPr>
          <w:rStyle w:val="VerbatimChar"/>
        </w:rPr>
        <w:t xml:space="preserve">[1]</w:t>
      </w:r>
      <w:r>
        <w:t xml:space="preserve">–</w:t>
      </w:r>
      <w:r>
        <w:rPr>
          <w:rStyle w:val="VerbatimChar"/>
        </w:rPr>
        <w:t xml:space="preserve">[28]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Pastikan dulu gaya sitasi yang diwajibkan.</w:t>
      </w:r>
      <w:r>
        <w:t xml:space="preserve"> </w:t>
      </w:r>
      <w:r>
        <w:t xml:space="preserve">Draf ini memakai</w:t>
      </w:r>
      <w:r>
        <w:t xml:space="preserve"> </w:t>
      </w:r>
      <w:r>
        <w:rPr>
          <w:b/>
          <w:bCs/>
        </w:rPr>
        <w:t xml:space="preserve">APA edisi 7</w:t>
      </w:r>
      <w:r>
        <w:t xml:space="preserve"> </w:t>
      </w:r>
      <w:r>
        <w:t xml:space="preserve">(penulis-tahun), karena itu yang lazim dipakai Pedoman Skripsi Politeknik</w:t>
      </w:r>
      <w:r>
        <w:t xml:space="preserve"> </w:t>
      </w:r>
      <w:r>
        <w:t xml:space="preserve">Statistika STIS. Bila ternyata pedoman Anda mewajibkan IEEE bernomor, Anda tidak</w:t>
      </w:r>
      <w:r>
        <w:t xml:space="preserve"> </w:t>
      </w:r>
      <w:r>
        <w:t xml:space="preserve">perlu mengubah apa pun pada sitasinya — cukup pakai bagian 3, 4, dan 5 berkas ini</w:t>
      </w:r>
      <w:r>
        <w:t xml:space="preserve"> </w:t>
      </w:r>
      <w:r>
        <w:t xml:space="preserve">(rujukan yang perlu ditambah dan kesalahan yang perlu diperbaiki). Tanyakan ke</w:t>
      </w:r>
      <w:r>
        <w:t xml:space="preserve"> </w:t>
      </w:r>
      <w:r>
        <w:t xml:space="preserve">pembimbing sebelum mengerjakan konversi massal.</w:t>
      </w:r>
    </w:p>
    <w:p>
      <w:r>
        <w:pict>
          <v:rect style="width:0;height:1.5pt" o:hralign="center" o:hrstd="t" o:hr="t"/>
        </w:pict>
      </w:r>
    </w:p>
    <w:bookmarkStart w:id="9" w:name="Xd0a35002fac6d4f324289dd689036f8c7a49e65"/>
    <w:p>
      <w:pPr>
        <w:pStyle w:val="Heading2"/>
      </w:pPr>
      <w:r>
        <w:t xml:space="preserve">1. Ringkasan pekerjaan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Rujukan pada makalah seminar proposal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Rujukan yang perlu</w:t>
            </w:r>
            <w:r>
              <w:t xml:space="preserve"> </w:t>
            </w:r>
            <w:r>
              <w:rPr>
                <w:b/>
                <w:bCs/>
              </w:rPr>
              <w:t xml:space="preserve">ditambah</w:t>
            </w:r>
            <w:r>
              <w:t xml:space="preserve"> </w:t>
            </w:r>
            <w:r>
              <w:t xml:space="preserve">(dipakai di naskah tetapi belum ada sumbernya)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Rujukan lama yang</w:t>
            </w:r>
            <w:r>
              <w:t xml:space="preserve"> </w:t>
            </w:r>
            <w:r>
              <w:rPr>
                <w:b/>
                <w:bCs/>
              </w:rPr>
              <w:t xml:space="preserve">perlu diperiksa ulang</w:t>
            </w:r>
            <w:r>
              <w:t xml:space="preserve"> </w:t>
            </w:r>
            <w:r>
              <w:t xml:space="preserve">isinya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Perkiraan total daftar pustaka buku skripsi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</w:tr>
    </w:tbl>
    <w:p>
      <w:pPr>
        <w:pStyle w:val="BodyText"/>
      </w:pPr>
      <w:r>
        <w:t xml:space="preserve">Jumlah 40 itu belum termasuk rujukan tambahan yang mungkin Anda pakai di Bab II</w:t>
      </w:r>
      <w:r>
        <w:t xml:space="preserve"> </w:t>
      </w:r>
      <w:r>
        <w:t xml:space="preserve">untuk teori yang belum tertulis (lihat bagian 3 butir f).</w:t>
      </w:r>
    </w:p>
    <w:p>
      <w:r>
        <w:pict>
          <v:rect style="width:0;height:1.5pt" o:hralign="center" o:hrstd="t" o:hr="t"/>
        </w:pict>
      </w:r>
    </w:p>
    <w:bookmarkEnd w:id="9"/>
    <w:bookmarkStart w:id="10" w:name="X03745694aba19209f427b9df530e40526e252ac"/>
    <w:p>
      <w:pPr>
        <w:pStyle w:val="Heading2"/>
      </w:pPr>
      <w:r>
        <w:t xml:space="preserve">2. Konversi 28 rujukan lama ke APA 7</w:t>
      </w:r>
    </w:p>
    <w:p>
      <w:pPr>
        <w:pStyle w:val="FirstParagraph"/>
      </w:pPr>
      <w:r>
        <w:t xml:space="preserve">Kolom "Sitasi dalam teks" adalah bentuk yang Anda tulis di kalimat, menggantikan</w:t>
      </w:r>
      <w:r>
        <w:t xml:space="preserve"> </w:t>
      </w:r>
      <w:r>
        <w:t xml:space="preserve">angka</w:t>
      </w:r>
      <w:r>
        <w:t xml:space="preserve"> </w:t>
      </w:r>
      <w:r>
        <w:rPr>
          <w:rStyle w:val="VerbatimChar"/>
        </w:rPr>
        <w:t xml:space="preserve">[n]</w:t>
      </w:r>
      <w:r>
        <w:t xml:space="preserve">. Kolom "Entri daftar pustaka" adalah baris untuk halaman Daftar Pustaka,</w:t>
      </w:r>
      <w:r>
        <w:t xml:space="preserve"> </w:t>
      </w:r>
      <w:r>
        <w:t xml:space="preserve">diurutkan menurut abjad nama belakang penulis (bukan menurut nomor).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 lama</w:t>
            </w:r>
          </w:p>
        </w:tc>
        <w:tc>
          <w:tcPr/>
          <w:p>
            <w:pPr>
              <w:pStyle w:val="Compact"/>
            </w:pPr>
            <w:r>
              <w:t xml:space="preserve">Sitasi dalam teks</w:t>
            </w:r>
          </w:p>
        </w:tc>
        <w:tc>
          <w:tcPr/>
          <w:p>
            <w:pPr>
              <w:pStyle w:val="Compact"/>
            </w:pPr>
            <w:r>
              <w:t xml:space="preserve">Entri daftar pustaka (APA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[1]</w:t>
            </w:r>
          </w:p>
        </w:tc>
        <w:tc>
          <w:tcPr/>
          <w:p>
            <w:pPr>
              <w:pStyle w:val="Compact"/>
            </w:pPr>
            <w:r>
              <w:t xml:space="preserve">(Republik Indonesia, 1997)</w:t>
            </w:r>
          </w:p>
        </w:tc>
        <w:tc>
          <w:tcPr/>
          <w:p>
            <w:pPr>
              <w:pStyle w:val="Compact"/>
            </w:pPr>
            <w:r>
              <w:t xml:space="preserve">Republik Indonesia. (1997).</w:t>
            </w:r>
            <w:r>
              <w:t xml:space="preserve"> </w:t>
            </w:r>
            <w:r>
              <w:rPr>
                <w:i/>
                <w:iCs/>
              </w:rPr>
              <w:t xml:space="preserve">Undang-Undang Nomor 16 Tahun 1997 tentang Statistik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[2]</w:t>
            </w:r>
          </w:p>
        </w:tc>
        <w:tc>
          <w:tcPr/>
          <w:p>
            <w:pPr>
              <w:pStyle w:val="Compact"/>
            </w:pPr>
            <w:r>
              <w:t xml:space="preserve">(Situmorang &amp; Huda, 2024)</w:t>
            </w:r>
          </w:p>
        </w:tc>
        <w:tc>
          <w:tcPr/>
          <w:p>
            <w:pPr>
              <w:pStyle w:val="Compact"/>
            </w:pPr>
            <w:r>
              <w:t xml:space="preserve">Situmorang, J., &amp; Huda, M. N. (2024). Implementasi framework GSBPM pada pembangunan sistem informasi survei statistik sektoral berbasis web.</w:t>
            </w:r>
            <w:r>
              <w:t xml:space="preserve"> </w:t>
            </w:r>
            <w:r>
              <w:rPr>
                <w:i/>
                <w:iCs/>
              </w:rPr>
              <w:t xml:space="preserve">Jurnal Sistem Informasi, 11</w:t>
            </w:r>
            <w:r>
              <w:t xml:space="preserve">(1).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[3]</w:t>
            </w:r>
          </w:p>
        </w:tc>
        <w:tc>
          <w:tcPr/>
          <w:p>
            <w:pPr>
              <w:pStyle w:val="Compact"/>
            </w:pPr>
            <w:r>
              <w:t xml:space="preserve">(Biemer, 2010)</w:t>
            </w:r>
          </w:p>
        </w:tc>
        <w:tc>
          <w:tcPr/>
          <w:p>
            <w:pPr>
              <w:pStyle w:val="Compact"/>
            </w:pPr>
            <w:r>
              <w:t xml:space="preserve">Biemer, P. P. (2010). Total survey error: Design, implementation, and evaluation.</w:t>
            </w:r>
            <w:r>
              <w:t xml:space="preserve"> </w:t>
            </w:r>
            <w:r>
              <w:rPr>
                <w:i/>
                <w:iCs/>
              </w:rPr>
              <w:t xml:space="preserve">Public Opinion Quarterly, 74</w:t>
            </w:r>
            <w:r>
              <w:t xml:space="preserve">(5), 817–848.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[4]</w:t>
            </w:r>
          </w:p>
        </w:tc>
        <w:tc>
          <w:tcPr/>
          <w:p>
            <w:pPr>
              <w:pStyle w:val="Compact"/>
            </w:pPr>
            <w:r>
              <w:t xml:space="preserve">(UNECE, 2019)</w:t>
            </w:r>
          </w:p>
        </w:tc>
        <w:tc>
          <w:tcPr/>
          <w:p>
            <w:pPr>
              <w:pStyle w:val="Compact"/>
            </w:pPr>
            <w:r>
              <w:t xml:space="preserve">United Nations Economic Commission for Europe. (2019).</w:t>
            </w:r>
            <w:r>
              <w:t xml:space="preserve"> </w:t>
            </w:r>
            <w:r>
              <w:rPr>
                <w:i/>
                <w:iCs/>
              </w:rPr>
              <w:t xml:space="preserve">Generic Statistical Business Process Model (GSBPM) version 5.1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[5]</w:t>
            </w:r>
          </w:p>
        </w:tc>
        <w:tc>
          <w:tcPr/>
          <w:p>
            <w:pPr>
              <w:pStyle w:val="Compact"/>
            </w:pPr>
            <w:r>
              <w:t xml:space="preserve">(Badan Pusat Statistik, 2025)</w:t>
            </w:r>
          </w:p>
        </w:tc>
        <w:tc>
          <w:tcPr/>
          <w:p>
            <w:pPr>
              <w:pStyle w:val="Compact"/>
            </w:pPr>
            <w:r>
              <w:t xml:space="preserve">Badan Pusat Statistik. (2025).</w:t>
            </w:r>
            <w:r>
              <w:t xml:space="preserve"> </w:t>
            </w:r>
            <w:r>
              <w:rPr>
                <w:i/>
                <w:iCs/>
              </w:rPr>
              <w:t xml:space="preserve">Laporan kinerja instansi pemerintah (LKIP) Badan Pusat Statistik tahun 2024</w:t>
            </w:r>
            <w:r>
              <w:t xml:space="preserve">. BPS 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[6]</w:t>
            </w:r>
          </w:p>
        </w:tc>
        <w:tc>
          <w:tcPr/>
          <w:p>
            <w:pPr>
              <w:pStyle w:val="Compact"/>
            </w:pPr>
            <w:r>
              <w:t xml:space="preserve">(Supriatmaja dkk., 2024)</w:t>
            </w:r>
          </w:p>
        </w:tc>
        <w:tc>
          <w:tcPr/>
          <w:p>
            <w:pPr>
              <w:pStyle w:val="Compact"/>
            </w:pPr>
            <w:r>
              <w:t xml:space="preserve">Supriatmaja, G. A., dkk. (2024). Pengembangan sistem informasi monitoring dan pengarsipan administrasi keuangan menggunakan framework Laravel pada BPS Buleleng.</w:t>
            </w:r>
            <w:r>
              <w:t xml:space="preserve"> </w:t>
            </w:r>
            <w:r>
              <w:rPr>
                <w:i/>
                <w:iCs/>
              </w:rPr>
              <w:t xml:space="preserve">INFOMATEK: Jurnal Informatika, Manajemen dan Teknologi, 26</w:t>
            </w:r>
            <w:r>
              <w:t xml:space="preserve">(2).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[7]</w:t>
            </w:r>
          </w:p>
        </w:tc>
        <w:tc>
          <w:tcPr/>
          <w:p>
            <w:pPr>
              <w:pStyle w:val="Compact"/>
            </w:pPr>
            <w:r>
              <w:t xml:space="preserve">(Republik Indonesia, 2018)</w:t>
            </w:r>
          </w:p>
        </w:tc>
        <w:tc>
          <w:tcPr/>
          <w:p>
            <w:pPr>
              <w:pStyle w:val="Compact"/>
            </w:pPr>
            <w:r>
              <w:t xml:space="preserve">Republik Indonesia. (2018).</w:t>
            </w:r>
            <w:r>
              <w:t xml:space="preserve"> </w:t>
            </w:r>
            <w:r>
              <w:rPr>
                <w:i/>
                <w:iCs/>
              </w:rPr>
              <w:t xml:space="preserve">Peraturan Presiden Nomor 95 Tahun 2018 tentang Sistem Pemerintahan Berbasis Elektronik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[8]</w:t>
            </w:r>
          </w:p>
        </w:tc>
        <w:tc>
          <w:tcPr/>
          <w:p>
            <w:pPr>
              <w:pStyle w:val="Compact"/>
            </w:pPr>
            <w:r>
              <w:t xml:space="preserve">(Republik Indonesia, 2010)</w:t>
            </w:r>
          </w:p>
        </w:tc>
        <w:tc>
          <w:tcPr/>
          <w:p>
            <w:pPr>
              <w:pStyle w:val="Compact"/>
            </w:pPr>
            <w:r>
              <w:t xml:space="preserve">Republik Indonesia. (2010).</w:t>
            </w:r>
            <w:r>
              <w:t xml:space="preserve"> </w:t>
            </w:r>
            <w:r>
              <w:rPr>
                <w:i/>
                <w:iCs/>
              </w:rPr>
              <w:t xml:space="preserve">Peraturan Presiden Nomor 81 Tahun 2010 tentang Grand Design Reformasi Birokrasi 2010–2025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[9]</w:t>
            </w:r>
          </w:p>
        </w:tc>
        <w:tc>
          <w:tcPr/>
          <w:p>
            <w:pPr>
              <w:pStyle w:val="Compact"/>
            </w:pPr>
            <w:r>
              <w:t xml:space="preserve">(Actavia dkk., 2025)</w:t>
            </w:r>
          </w:p>
        </w:tc>
        <w:tc>
          <w:tcPr/>
          <w:p>
            <w:pPr>
              <w:pStyle w:val="Compact"/>
            </w:pPr>
            <w:r>
              <w:t xml:space="preserve">Actavia, D., Bohong, M., &amp; Zaidin, M. A. (2025). Pengaruh e-monitoring dan pengawasan pimpinan terhadap kinerja aparat sipil negara pada Badan Pusat Statistik Provinsi Sulawesi Selatan dengan kepuasan kerja sebagai mediator.</w:t>
            </w:r>
            <w:r>
              <w:t xml:space="preserve"> </w:t>
            </w:r>
            <w:r>
              <w:rPr>
                <w:i/>
                <w:iCs/>
              </w:rPr>
              <w:t xml:space="preserve">Jurnal Inovasi Pembangunan, 8</w:t>
            </w:r>
            <w:r>
              <w:t xml:space="preserve">(2), 75–85.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[10]</w:t>
            </w:r>
          </w:p>
        </w:tc>
        <w:tc>
          <w:tcPr/>
          <w:p>
            <w:pPr>
              <w:pStyle w:val="Compact"/>
            </w:pPr>
            <w:r>
              <w:t xml:space="preserve">(Simpony dkk., 2024)</w:t>
            </w:r>
          </w:p>
        </w:tc>
        <w:tc>
          <w:tcPr/>
          <w:p>
            <w:pPr>
              <w:pStyle w:val="Compact"/>
            </w:pPr>
            <w:r>
              <w:t xml:space="preserve">Simpony, B. K., Mulyani, Y. S., Sutisna, H., Hikmah, A. B., &amp; Silviana, M. (2024). Perancangan sistem informasi monitoring mitra (SISMOMIT) pada Badan Pusat Statistik (BPS) Kota Tasikmalaya.</w:t>
            </w:r>
            <w:r>
              <w:t xml:space="preserve"> </w:t>
            </w:r>
            <w:r>
              <w:rPr>
                <w:i/>
                <w:iCs/>
              </w:rPr>
              <w:t xml:space="preserve">Jurnal Swabumi, 12</w:t>
            </w:r>
            <w:r>
              <w:t xml:space="preserve">(1), 61–71.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(Fajar &amp; Maghfiroh, 2024)</w:t>
            </w:r>
          </w:p>
        </w:tc>
        <w:tc>
          <w:tcPr/>
          <w:p>
            <w:pPr>
              <w:pStyle w:val="Compact"/>
            </w:pPr>
            <w:r>
              <w:t xml:space="preserve">Fajar, R. A., &amp; Maghfiroh, L. R. (2024). Peningkatan kendali mutu audit Inspektorat Utama BPS RI modul perencanaan dan pelaksanaan audit melalui pembangunan sistem informasi. Dalam</w:t>
            </w:r>
            <w:r>
              <w:t xml:space="preserve"> </w:t>
            </w:r>
            <w:r>
              <w:rPr>
                <w:i/>
                <w:iCs/>
              </w:rPr>
              <w:t xml:space="preserve">Seminar Nasional Official Statistics 2024</w:t>
            </w:r>
            <w:r>
              <w:t xml:space="preserve"> </w:t>
            </w:r>
            <w:r>
              <w:t xml:space="preserve">(hlm. 863–872).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[12]</w:t>
            </w:r>
          </w:p>
        </w:tc>
        <w:tc>
          <w:tcPr/>
          <w:p>
            <w:pPr>
              <w:pStyle w:val="Compact"/>
            </w:pPr>
            <w:r>
              <w:t xml:space="preserve">(Wahab dkk., 2025)</w:t>
            </w:r>
          </w:p>
        </w:tc>
        <w:tc>
          <w:tcPr/>
          <w:p>
            <w:pPr>
              <w:pStyle w:val="Compact"/>
            </w:pPr>
            <w:r>
              <w:t xml:space="preserve">Wahab, N., Cahirunnas, A., &amp; Nichen, N. (2025). Analisis sistem informasi penggajian pegawai instansi pemerintah daerah.</w:t>
            </w:r>
            <w:r>
              <w:t xml:space="preserve"> </w:t>
            </w:r>
            <w:r>
              <w:rPr>
                <w:i/>
                <w:iCs/>
              </w:rPr>
              <w:t xml:space="preserve">Journal of Trends Economics and Accounting Research, 6</w:t>
            </w:r>
            <w:r>
              <w:t xml:space="preserve">(1), 126–133.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[13]</w:t>
            </w:r>
          </w:p>
        </w:tc>
        <w:tc>
          <w:tcPr/>
          <w:p>
            <w:pPr>
              <w:pStyle w:val="Compact"/>
            </w:pPr>
            <w:r>
              <w:t xml:space="preserve">(Susi dkk., 2024)</w:t>
            </w:r>
          </w:p>
        </w:tc>
        <w:tc>
          <w:tcPr/>
          <w:p>
            <w:pPr>
              <w:pStyle w:val="Compact"/>
            </w:pPr>
            <w:r>
              <w:t xml:space="preserve">Susi, Zubaidah, Prastyaningsih, Y., &amp; Sayyidatid, R. (2024). Sistem informasi monitoring honor mitra pada Badan Pusat Statistik Kabupaten Tanah Laut berbasis web.</w:t>
            </w:r>
            <w:r>
              <w:t xml:space="preserve"> </w:t>
            </w:r>
            <w:r>
              <w:rPr>
                <w:i/>
                <w:iCs/>
              </w:rPr>
              <w:t xml:space="preserve">Elsains: Jurnal Elektro, 6</w:t>
            </w:r>
            <w:r>
              <w:t xml:space="preserve">(1), 31–38.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[14]</w:t>
            </w:r>
          </w:p>
        </w:tc>
        <w:tc>
          <w:tcPr/>
          <w:p>
            <w:pPr>
              <w:pStyle w:val="Compact"/>
            </w:pPr>
            <w:r>
              <w:t xml:space="preserve">(Yogantara dkk., 2025)</w:t>
            </w:r>
          </w:p>
        </w:tc>
        <w:tc>
          <w:tcPr/>
          <w:p>
            <w:pPr>
              <w:pStyle w:val="Compact"/>
            </w:pPr>
            <w:r>
              <w:t xml:space="preserve">Yogantara, I. P. A., Agusta, Y., &amp; Sudarsana, I. M. (2025). Sistem informasi manajemen beban kerja mitra statistik pada Badan Pusat Statistik Kabupaten Badung.</w:t>
            </w:r>
            <w:r>
              <w:t xml:space="preserve"> </w:t>
            </w:r>
            <w:r>
              <w:rPr>
                <w:i/>
                <w:iCs/>
              </w:rPr>
              <w:t xml:space="preserve">Prosiding Seminar Hasil Penelitian Informatika dan Komputer (SPINTER), 2</w:t>
            </w:r>
            <w:r>
              <w:t xml:space="preserve">(1), 727.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[15]</w:t>
            </w:r>
          </w:p>
        </w:tc>
        <w:tc>
          <w:tcPr/>
          <w:p>
            <w:pPr>
              <w:pStyle w:val="Compact"/>
            </w:pPr>
            <w:r>
              <w:t xml:space="preserve">(Saputro &amp; Novita, 2025)</w:t>
            </w:r>
          </w:p>
        </w:tc>
        <w:tc>
          <w:tcPr/>
          <w:p>
            <w:pPr>
              <w:pStyle w:val="Compact"/>
            </w:pPr>
            <w:r>
              <w:t xml:space="preserve">Saputro, A. T., &amp; Novita, M. (2025). Comparative analysis of Express and Hono framework performance in simple registration application.</w:t>
            </w:r>
            <w:r>
              <w:t xml:space="preserve"> </w:t>
            </w:r>
            <w:r>
              <w:rPr>
                <w:i/>
                <w:iCs/>
              </w:rPr>
              <w:t xml:space="preserve">Sinkron: Jurnal dan Penelitian Teknik Informatika, 9</w:t>
            </w:r>
            <w:r>
              <w:t xml:space="preserve">(1), 406–412.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[16]</w:t>
            </w:r>
          </w:p>
        </w:tc>
        <w:tc>
          <w:tcPr/>
          <w:p>
            <w:pPr>
              <w:pStyle w:val="Compact"/>
            </w:pPr>
            <w:r>
              <w:t xml:space="preserve">(Annaram, 2024)</w:t>
            </w:r>
          </w:p>
        </w:tc>
        <w:tc>
          <w:tcPr/>
          <w:p>
            <w:pPr>
              <w:pStyle w:val="Compact"/>
            </w:pPr>
            <w:r>
              <w:t xml:space="preserve">Annaram, A. R. (2024). Leveraging React components in business process management (BPM) applications.</w:t>
            </w:r>
            <w:r>
              <w:t xml:space="preserve"> </w:t>
            </w:r>
            <w:r>
              <w:rPr>
                <w:i/>
                <w:iCs/>
              </w:rPr>
              <w:t xml:space="preserve">Journal of Computer and Communications, 12</w:t>
            </w:r>
            <w:r>
              <w:t xml:space="preserve">, 86–94.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[17]</w:t>
            </w:r>
          </w:p>
        </w:tc>
        <w:tc>
          <w:tcPr/>
          <w:p>
            <w:pPr>
              <w:pStyle w:val="Compact"/>
            </w:pPr>
            <w:r>
              <w:t xml:space="preserve">(Santoso, 2025)</w:t>
            </w:r>
          </w:p>
        </w:tc>
        <w:tc>
          <w:tcPr/>
          <w:p>
            <w:pPr>
              <w:pStyle w:val="Compact"/>
            </w:pPr>
            <w:r>
              <w:t xml:space="preserve">Santoso, M. F. (2025). Perbandingan efektivitas Bootstrap dan Tailwind CSS dalam pengembangan UI web responsif.</w:t>
            </w:r>
            <w:r>
              <w:t xml:space="preserve"> </w:t>
            </w:r>
            <w:r>
              <w:rPr>
                <w:i/>
                <w:iCs/>
              </w:rPr>
              <w:t xml:space="preserve">Jurnal Teknologi dan Sistem Informasi Bisnis (JTEKSIS), 7</w:t>
            </w:r>
            <w:r>
              <w:t xml:space="preserve">(4), 489–497.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[18]</w:t>
            </w:r>
          </w:p>
        </w:tc>
        <w:tc>
          <w:tcPr/>
          <w:p>
            <w:pPr>
              <w:pStyle w:val="Compact"/>
            </w:pPr>
            <w:r>
              <w:t xml:space="preserve">(McConnell, 1996)</w:t>
            </w:r>
          </w:p>
        </w:tc>
        <w:tc>
          <w:tcPr/>
          <w:p>
            <w:pPr>
              <w:pStyle w:val="Compact"/>
            </w:pPr>
            <w:r>
              <w:t xml:space="preserve">McConnell, S. (1996).</w:t>
            </w:r>
            <w:r>
              <w:t xml:space="preserve"> </w:t>
            </w:r>
            <w:r>
              <w:rPr>
                <w:i/>
                <w:iCs/>
              </w:rPr>
              <w:t xml:space="preserve">Rapid development: Taming wild software schedules</w:t>
            </w:r>
            <w:r>
              <w:t xml:space="preserve">. Microsoft Press.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[19]</w:t>
            </w:r>
          </w:p>
        </w:tc>
        <w:tc>
          <w:tcPr/>
          <w:p>
            <w:pPr>
              <w:pStyle w:val="Compact"/>
            </w:pPr>
            <w:r>
              <w:t xml:space="preserve">(Munassar &amp; Govardhan, 2010)</w:t>
            </w:r>
          </w:p>
        </w:tc>
        <w:tc>
          <w:tcPr/>
          <w:p>
            <w:pPr>
              <w:pStyle w:val="Compact"/>
            </w:pPr>
            <w:r>
              <w:t xml:space="preserve">Munassar, N. M. A., &amp; Govardhan, A. (2010). A comparison between five models of software engineering.</w:t>
            </w:r>
            <w:r>
              <w:t xml:space="preserve"> </w:t>
            </w:r>
            <w:r>
              <w:rPr>
                <w:i/>
                <w:iCs/>
              </w:rPr>
              <w:t xml:space="preserve">IJCSI International Journal of Computer Science Issues, 7</w:t>
            </w:r>
            <w:r>
              <w:t xml:space="preserve">(5), 94–101.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[20]</w:t>
            </w:r>
          </w:p>
        </w:tc>
        <w:tc>
          <w:tcPr/>
          <w:p>
            <w:pPr>
              <w:pStyle w:val="Compact"/>
            </w:pPr>
            <w:r>
              <w:t xml:space="preserve">(Liou &amp; Duclervil, 2020)</w:t>
            </w:r>
          </w:p>
        </w:tc>
        <w:tc>
          <w:tcPr/>
          <w:p>
            <w:pPr>
              <w:pStyle w:val="Compact"/>
            </w:pPr>
            <w:r>
              <w:t xml:space="preserve">Liou, J.-C., &amp; Duclervil, S. R. (2020). A survey on the effectiveness of the secure software development life cycle models. Dalam</w:t>
            </w:r>
            <w:r>
              <w:t xml:space="preserve"> </w:t>
            </w:r>
            <w:r>
              <w:rPr>
                <w:i/>
                <w:iCs/>
              </w:rPr>
              <w:t xml:space="preserve">Innovations in cybersecurity education</w:t>
            </w:r>
            <w:r>
              <w:t xml:space="preserve"> </w:t>
            </w:r>
            <w:r>
              <w:t xml:space="preserve">(hlm. 213–229). Springer.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[21]</w:t>
            </w:r>
          </w:p>
        </w:tc>
        <w:tc>
          <w:tcPr/>
          <w:p>
            <w:pPr>
              <w:pStyle w:val="Compact"/>
            </w:pPr>
            <w:r>
              <w:t xml:space="preserve">(Hossain, 2023)</w:t>
            </w:r>
          </w:p>
        </w:tc>
        <w:tc>
          <w:tcPr/>
          <w:p>
            <w:pPr>
              <w:pStyle w:val="Compact"/>
            </w:pPr>
            <w:r>
              <w:t xml:space="preserve">Hossain, M. I. (2023). Software development life cycle (SDLC) methodologies for information systems project management.</w:t>
            </w:r>
            <w:r>
              <w:t xml:space="preserve"> </w:t>
            </w:r>
            <w:r>
              <w:rPr>
                <w:i/>
                <w:iCs/>
              </w:rPr>
              <w:t xml:space="preserve">International Journal for Multidisciplinary Research, 5</w:t>
            </w:r>
            <w:r>
              <w:t xml:space="preserve">(5).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(Zahara dkk., 2022)</w:t>
            </w:r>
          </w:p>
        </w:tc>
        <w:tc>
          <w:tcPr/>
          <w:p>
            <w:pPr>
              <w:pStyle w:val="Compact"/>
            </w:pPr>
            <w:r>
              <w:t xml:space="preserve">Zahara, A., Samsudin, &amp; Fakhriza, M. (2022). Perbandingan metode SMART, SAW, MOORA pada pembangunan sistem pendukung keputusan pemilihan calon mitra statistik.</w:t>
            </w:r>
            <w:r>
              <w:t xml:space="preserve"> </w:t>
            </w:r>
            <w:r>
              <w:rPr>
                <w:i/>
                <w:iCs/>
              </w:rPr>
              <w:t xml:space="preserve">Journal of Computers and Digital Business, 1</w:t>
            </w:r>
            <w:r>
              <w:t xml:space="preserve">(2), 72–82.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[23]</w:t>
            </w:r>
          </w:p>
        </w:tc>
        <w:tc>
          <w:tcPr/>
          <w:p>
            <w:pPr>
              <w:pStyle w:val="Compact"/>
            </w:pPr>
            <w:r>
              <w:t xml:space="preserve">(Booch dkk., 2005)</w:t>
            </w:r>
          </w:p>
        </w:tc>
        <w:tc>
          <w:tcPr/>
          <w:p>
            <w:pPr>
              <w:pStyle w:val="Compact"/>
            </w:pPr>
            <w:r>
              <w:t xml:space="preserve">Booch, G., Rumbaugh, J., &amp; Jacobson, I. (2005).</w:t>
            </w:r>
            <w:r>
              <w:t xml:space="preserve"> </w:t>
            </w:r>
            <w:r>
              <w:rPr>
                <w:i/>
                <w:iCs/>
              </w:rPr>
              <w:t xml:space="preserve">The unified modeling language user guide</w:t>
            </w:r>
            <w:r>
              <w:t xml:space="preserve"> </w:t>
            </w:r>
            <w:r>
              <w:t xml:space="preserve">(edisi ke-2). Addison-Wesley.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[24]</w:t>
            </w:r>
          </w:p>
        </w:tc>
        <w:tc>
          <w:tcPr/>
          <w:p>
            <w:pPr>
              <w:pStyle w:val="Compact"/>
            </w:pPr>
            <w:r>
              <w:t xml:space="preserve">(Suendri, 2018)</w:t>
            </w:r>
          </w:p>
        </w:tc>
        <w:tc>
          <w:tcPr/>
          <w:p>
            <w:pPr>
              <w:pStyle w:val="Compact"/>
            </w:pPr>
            <w:r>
              <w:t xml:space="preserve">Suendri. (2018). Implementasi diagram UML (unified modelling language) pada perancangan sistem informasi remunerasi dosen dengan database Oracle.</w:t>
            </w:r>
            <w:r>
              <w:t xml:space="preserve"> </w:t>
            </w:r>
            <w:r>
              <w:rPr>
                <w:i/>
                <w:iCs/>
              </w:rPr>
              <w:t xml:space="preserve">Algoritma: Jurnal Ilmu Komputer dan Informatika, 3</w:t>
            </w:r>
            <w:r>
              <w:t xml:space="preserve">(1), 1–9.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[25]</w:t>
            </w:r>
          </w:p>
        </w:tc>
        <w:tc>
          <w:tcPr/>
          <w:p>
            <w:pPr>
              <w:pStyle w:val="Compact"/>
            </w:pPr>
            <w:r>
              <w:t xml:space="preserve">(Chen, 1976)</w:t>
            </w:r>
          </w:p>
        </w:tc>
        <w:tc>
          <w:tcPr/>
          <w:p>
            <w:pPr>
              <w:pStyle w:val="Compact"/>
            </w:pPr>
            <w:r>
              <w:t xml:space="preserve">Chen, P. P.-S. (1976). The entity-relationship model—Toward a unified view of data.</w:t>
            </w:r>
            <w:r>
              <w:t xml:space="preserve"> </w:t>
            </w:r>
            <w:r>
              <w:rPr>
                <w:i/>
                <w:iCs/>
              </w:rPr>
              <w:t xml:space="preserve">ACM Transactions on Database Systems, 1</w:t>
            </w:r>
            <w:r>
              <w:t xml:space="preserve">(1), 9–36.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[26]</w:t>
            </w:r>
          </w:p>
        </w:tc>
        <w:tc>
          <w:tcPr/>
          <w:p>
            <w:pPr>
              <w:pStyle w:val="Compact"/>
            </w:pPr>
            <w:r>
              <w:t xml:space="preserve">(Nidhra &amp; Dondeti, 2012)</w:t>
            </w:r>
          </w:p>
        </w:tc>
        <w:tc>
          <w:tcPr/>
          <w:p>
            <w:pPr>
              <w:pStyle w:val="Compact"/>
            </w:pPr>
            <w:r>
              <w:t xml:space="preserve">Nidhra, S., &amp; Dondeti, J. (2012). Black box and white box testing techniques—A literature review.</w:t>
            </w:r>
            <w:r>
              <w:t xml:space="preserve"> </w:t>
            </w:r>
            <w:r>
              <w:rPr>
                <w:i/>
                <w:iCs/>
              </w:rPr>
              <w:t xml:space="preserve">International Journal of Embedded Systems and Applications, 2</w:t>
            </w:r>
            <w:r>
              <w:t xml:space="preserve">(2), 29–50.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(Stallings &amp; Brown, 2018)</w:t>
            </w:r>
          </w:p>
        </w:tc>
        <w:tc>
          <w:tcPr/>
          <w:p>
            <w:pPr>
              <w:pStyle w:val="Compact"/>
            </w:pPr>
            <w:r>
              <w:t xml:space="preserve">Stallings, W., &amp; Brown, L. (2018).</w:t>
            </w:r>
            <w:r>
              <w:t xml:space="preserve"> </w:t>
            </w:r>
            <w:r>
              <w:rPr>
                <w:i/>
                <w:iCs/>
              </w:rPr>
              <w:t xml:space="preserve">Computer security: Principles and practice</w:t>
            </w:r>
            <w:r>
              <w:t xml:space="preserve"> </w:t>
            </w:r>
            <w:r>
              <w:t xml:space="preserve">(edisi ke-4). Pearson.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[28]</w:t>
            </w:r>
          </w:p>
        </w:tc>
        <w:tc>
          <w:tcPr/>
          <w:p>
            <w:pPr>
              <w:pStyle w:val="Compact"/>
            </w:pPr>
            <w:r>
              <w:t xml:space="preserve">(Lewis, 1995)</w:t>
            </w:r>
          </w:p>
        </w:tc>
        <w:tc>
          <w:tcPr/>
          <w:p>
            <w:pPr>
              <w:pStyle w:val="Compact"/>
            </w:pPr>
            <w:r>
              <w:t xml:space="preserve">Lewis, J. R. (1995). IBM computer usability satisfaction questionnaires: Psychometric evaluation and instructions for use.</w:t>
            </w:r>
            <w:r>
              <w:t xml:space="preserve"> </w:t>
            </w:r>
            <w:r>
              <w:rPr>
                <w:i/>
                <w:iCs/>
              </w:rPr>
              <w:t xml:space="preserve">International Journal of Human-Computer Interaction, 7</w:t>
            </w:r>
            <w:r>
              <w:t xml:space="preserve">(1), 57–78.</w:t>
            </w:r>
          </w:p>
        </w:tc>
      </w:tr>
    </w:tbl>
    <w:p>
      <w:pPr>
        <w:pStyle w:val="BodyText"/>
      </w:pPr>
      <w:r>
        <w:rPr>
          <w:b/>
          <w:bCs/>
        </w:rPr>
        <w:t xml:space="preserve">Catatan teknis penulisan APA: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Tiga penulis atau lebih</w:t>
      </w:r>
      <w:r>
        <w:t xml:space="preserve"> </w:t>
      </w:r>
      <w:r>
        <w:t xml:space="preserve">cukup ditulis penulis pertama diikuti "dkk." pada</w:t>
      </w:r>
      <w:r>
        <w:t xml:space="preserve"> </w:t>
      </w:r>
      <w:r>
        <w:t xml:space="preserve">sitasi dalam teks (APA memakai "et al.", tetapi naskah berbahasa Indonesia lazim</w:t>
      </w:r>
      <w:r>
        <w:t xml:space="preserve"> </w:t>
      </w:r>
      <w:r>
        <w:t xml:space="preserve">memakai "dkk."). Di daftar pustaka, tulis seluruh penulis sampai 20 orang.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Penulis bernama tunggal</w:t>
      </w:r>
      <w:r>
        <w:t xml:space="preserve"> </w:t>
      </w:r>
      <w:r>
        <w:t xml:space="preserve">(Susi, Zubaidah, Suendri, Samsudin) ditulis apa</w:t>
      </w:r>
      <w:r>
        <w:t xml:space="preserve"> </w:t>
      </w:r>
      <w:r>
        <w:t xml:space="preserve">adanya, tanpa dipaksa dipecah menjadi nama depan dan belakang.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DOI</w:t>
      </w:r>
      <w:r>
        <w:t xml:space="preserve"> </w:t>
      </w:r>
      <w:r>
        <w:t xml:space="preserve">sebaiknya ditambahkan bila ada. Buka lagi setiap artikel, salin DOI-nya,</w:t>
      </w:r>
      <w:r>
        <w:t xml:space="preserve"> </w:t>
      </w:r>
      <w:r>
        <w:t xml:space="preserve">lalu tempel di akhir entri dalam bentuk</w:t>
      </w:r>
      <w:r>
        <w:t xml:space="preserve"> </w:t>
      </w:r>
      <w:r>
        <w:rPr>
          <w:rStyle w:val="VerbatimChar"/>
        </w:rPr>
        <w:t xml:space="preserve">https://doi.org/…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Urutan daftar pustaka</w:t>
      </w:r>
      <w:r>
        <w:t xml:space="preserve"> </w:t>
      </w:r>
      <w:r>
        <w:t xml:space="preserve">menurut abjad, bukan menurut nomor lama. Setelah</w:t>
      </w:r>
      <w:r>
        <w:t xml:space="preserve"> </w:t>
      </w:r>
      <w:r>
        <w:t xml:space="preserve">dikonversi, urutannya kira-kira: Actavia → Annaram → Badan Pusat Statistik →</w:t>
      </w:r>
      <w:r>
        <w:t xml:space="preserve"> </w:t>
      </w:r>
      <w:r>
        <w:t xml:space="preserve">Biemer → Booch → Chen → Fajar → Hossain → Lewis → Liou → McConnell → Munassar →</w:t>
      </w:r>
      <w:r>
        <w:t xml:space="preserve"> </w:t>
      </w:r>
      <w:r>
        <w:t xml:space="preserve">Nidhra → Peraturan… → Republik Indonesia… → Santoso → Saputro → Simpony →</w:t>
      </w:r>
      <w:r>
        <w:t xml:space="preserve"> </w:t>
      </w:r>
      <w:r>
        <w:t xml:space="preserve">Situmorang → Stallings → Suendri → Supriatmaja → Susi → UNECE → Wahab →</w:t>
      </w:r>
      <w:r>
        <w:t xml:space="preserve"> </w:t>
      </w:r>
      <w:r>
        <w:t xml:space="preserve">Yogantara → Zahara.</w:t>
      </w:r>
    </w:p>
    <w:p>
      <w:r>
        <w:pict>
          <v:rect style="width:0;height:1.5pt" o:hralign="center" o:hrstd="t" o:hr="t"/>
        </w:pict>
      </w:r>
    </w:p>
    <w:bookmarkEnd w:id="10"/>
    <w:bookmarkStart w:id="23" w:name="X965faf7e6e0ae458da7ee6f22c8adc446165e88"/>
    <w:p>
      <w:pPr>
        <w:pStyle w:val="Heading2"/>
      </w:pPr>
      <w:r>
        <w:t xml:space="preserve">3. Rujukan yang perlu ditambah</w:t>
      </w:r>
    </w:p>
    <w:p>
      <w:pPr>
        <w:pStyle w:val="FirstParagraph"/>
      </w:pPr>
      <w:r>
        <w:t xml:space="preserve">Enam rujukan berikut dipakai di naskah Anda tetapi belum punya sumber. Empat di</w:t>
      </w:r>
      <w:r>
        <w:t xml:space="preserve"> </w:t>
      </w:r>
      <w:r>
        <w:t xml:space="preserve">antaranya sudah saya telusuri dan pastikan ada.</w:t>
      </w:r>
    </w:p>
    <w:bookmarkStart w:id="11" w:name="X1e63255e975cd23fad962d1220fd46a430a5a2e"/>
    <w:p>
      <w:pPr>
        <w:pStyle w:val="Heading3"/>
      </w:pPr>
      <w:r>
        <w:t xml:space="preserve">a. Dasar hukum honor mitra (SBML) —</w:t>
      </w:r>
      <w:r>
        <w:t xml:space="preserve"> </w:t>
      </w:r>
      <w:r>
        <w:rPr>
          <w:b/>
          <w:bCs/>
        </w:rPr>
        <w:t xml:space="preserve">paling penting</w:t>
      </w:r>
    </w:p>
    <w:p>
      <w:pPr>
        <w:pStyle w:val="FirstParagraph"/>
      </w:pPr>
      <w:r>
        <w:t xml:space="preserve">Ini menjawab catatan "[cari rujukannya]" pada Bab II. Sumber yang tepat:</w:t>
      </w:r>
    </w:p>
    <w:p>
      <w:pPr>
        <w:pStyle w:val="BlockText"/>
      </w:pPr>
      <w:r>
        <w:t xml:space="preserve">Badan Pusat Statistik. (2021).</w:t>
      </w:r>
      <w:r>
        <w:t xml:space="preserve"> </w:t>
      </w:r>
      <w:r>
        <w:rPr>
          <w:i/>
          <w:iCs/>
        </w:rPr>
        <w:t xml:space="preserve">Peraturan Kepala Badan Pusat Statistik Nomor 117</w:t>
      </w:r>
      <w:r>
        <w:rPr>
          <w:i/>
          <w:iCs/>
        </w:rPr>
        <w:t xml:space="preserve"> </w:t>
      </w:r>
      <w:r>
        <w:rPr>
          <w:i/>
          <w:iCs/>
        </w:rPr>
        <w:t xml:space="preserve">Tahun 2021 tentang Standar Biaya Masukan Lainnya Kegiatan Statistik untuk Petugas</w:t>
      </w:r>
      <w:r>
        <w:rPr>
          <w:i/>
          <w:iCs/>
        </w:rPr>
        <w:t xml:space="preserve"> </w:t>
      </w:r>
      <w:r>
        <w:rPr>
          <w:i/>
          <w:iCs/>
        </w:rPr>
        <w:t xml:space="preserve">Pendataan, Pemeriksaan, dan Pengolahan di Lingkungan Badan Pusat Statistik</w:t>
      </w:r>
      <w:r>
        <w:t xml:space="preserve">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(Badan Pusat Statistik, 2021)</w:t>
      </w:r>
      <w:r>
        <w:t xml:space="preserve">.</w:t>
      </w:r>
    </w:p>
    <w:p>
      <w:pPr>
        <w:pStyle w:val="BodyText"/>
      </w:pPr>
      <w:r>
        <w:t xml:space="preserve">Peraturan ini ditetapkan 31 Desember 2021, dan dasarnya adalah persetujuan tertulis</w:t>
      </w:r>
      <w:r>
        <w:t xml:space="preserve"> </w:t>
      </w:r>
      <w:r>
        <w:t xml:space="preserve">Menteri Keuangan Nomor S-694/MK.02/2019 tanggal 23 September 2019. Salinannya dapat</w:t>
      </w:r>
      <w:r>
        <w:t xml:space="preserve"> </w:t>
      </w:r>
      <w:r>
        <w:t xml:space="preserve">diunduh dari Portal PPID BPS (</w:t>
      </w:r>
      <w:r>
        <w:rPr>
          <w:rStyle w:val="VerbatimChar"/>
        </w:rPr>
        <w:t xml:space="preserve">ppid.bps.go.id</w:t>
      </w:r>
      <w:r>
        <w:t xml:space="preserve">).</w:t>
      </w:r>
    </w:p>
    <w:bookmarkEnd w:id="11"/>
    <w:bookmarkStart w:id="12" w:name="X759bb6341e0f77a11446bb436e8aefef45a86e9"/>
    <w:p>
      <w:pPr>
        <w:pStyle w:val="Heading3"/>
      </w:pPr>
      <w:r>
        <w:t xml:space="preserve">b. Standar Biaya Masukan umum (opsional, sebagai konteks)</w:t>
      </w:r>
    </w:p>
    <w:p>
      <w:pPr>
        <w:pStyle w:val="BlockText"/>
      </w:pPr>
      <w:r>
        <w:t xml:space="preserve">Kementerian Keuangan Republik Indonesia. (2025).</w:t>
      </w:r>
      <w:r>
        <w:t xml:space="preserve"> </w:t>
      </w:r>
      <w:r>
        <w:rPr>
          <w:i/>
          <w:iCs/>
        </w:rPr>
        <w:t xml:space="preserve">Peraturan Menteri Keuangan</w:t>
      </w:r>
      <w:r>
        <w:rPr>
          <w:i/>
          <w:iCs/>
        </w:rPr>
        <w:t xml:space="preserve"> </w:t>
      </w:r>
      <w:r>
        <w:rPr>
          <w:i/>
          <w:iCs/>
        </w:rPr>
        <w:t xml:space="preserve">Nomor 32 Tahun 2025 tentang Standar Biaya Masukan Tahun Anggaran 2026</w:t>
      </w:r>
      <w:r>
        <w:t xml:space="preserve">.</w:t>
      </w:r>
    </w:p>
    <w:p>
      <w:pPr>
        <w:pStyle w:val="FirstParagraph"/>
      </w:pPr>
      <w:r>
        <w:t xml:space="preserve">Dipakai hanya bila Anda ingin menjelaskan kedudukan SBML terhadap SBM umum. Kalau</w:t>
      </w:r>
      <w:r>
        <w:t xml:space="preserve"> </w:t>
      </w:r>
      <w:r>
        <w:t xml:space="preserve">tidak, cukup rujukan (a) saja.</w:t>
      </w:r>
    </w:p>
    <w:bookmarkEnd w:id="12"/>
    <w:bookmarkStart w:id="13" w:name="Xfa98eb9e6b2b3aed8d3bd70d90e74905a29ae58"/>
    <w:p>
      <w:pPr>
        <w:pStyle w:val="Heading3"/>
      </w:pPr>
      <w:r>
        <w:t xml:space="preserve">c. Petunjuk pelaksanaan anggaran BPS tahun berjalan (opsional)</w:t>
      </w:r>
    </w:p>
    <w:p>
      <w:pPr>
        <w:pStyle w:val="BlockText"/>
      </w:pPr>
      <w:r>
        <w:t xml:space="preserve">Badan Pusat Statistik. (2026).</w:t>
      </w:r>
      <w:r>
        <w:t xml:space="preserve"> </w:t>
      </w:r>
      <w:r>
        <w:rPr>
          <w:i/>
          <w:iCs/>
        </w:rPr>
        <w:t xml:space="preserve">Peraturan Badan Pusat Statistik Nomor 1 Tahun 2026</w:t>
      </w:r>
      <w:r>
        <w:rPr>
          <w:i/>
          <w:iCs/>
        </w:rPr>
        <w:t xml:space="preserve"> </w:t>
      </w:r>
      <w:r>
        <w:rPr>
          <w:i/>
          <w:iCs/>
        </w:rPr>
        <w:t xml:space="preserve">tentang Petunjuk Pelaksanaan Kegiatan dan Pengelolaan Anggaran Badan Pusat</w:t>
      </w:r>
      <w:r>
        <w:rPr>
          <w:i/>
          <w:iCs/>
        </w:rPr>
        <w:t xml:space="preserve"> </w:t>
      </w:r>
      <w:r>
        <w:rPr>
          <w:i/>
          <w:iCs/>
        </w:rPr>
        <w:t xml:space="preserve">Statistik Tahun Anggaran 2026</w:t>
      </w:r>
      <w:r>
        <w:t xml:space="preserve">.</w:t>
      </w:r>
    </w:p>
    <w:p>
      <w:pPr>
        <w:pStyle w:val="FirstParagraph"/>
      </w:pPr>
      <w:r>
        <w:t xml:space="preserve">Pakai ini bila besaran honor yang dipakai BPS Kabupaten Bengkulu Selatan mengacu ke</w:t>
      </w:r>
      <w:r>
        <w:t xml:space="preserve"> </w:t>
      </w:r>
      <w:r>
        <w:t xml:space="preserve">petunjuk pelaksanaan tahun berjalan, bukan langsung ke Perka 117/2021.</w:t>
      </w:r>
      <w:r>
        <w:t xml:space="preserve"> </w:t>
      </w:r>
      <w:r>
        <w:rPr>
          <w:b/>
          <w:bCs/>
        </w:rPr>
        <w:t xml:space="preserve">Tanyakan ke</w:t>
      </w:r>
      <w:r>
        <w:rPr>
          <w:b/>
          <w:bCs/>
        </w:rPr>
        <w:t xml:space="preserve"> </w:t>
      </w:r>
      <w:r>
        <w:rPr>
          <w:b/>
          <w:bCs/>
        </w:rPr>
        <w:t xml:space="preserve">Tim Keuangan mana yang sebenarnya mereka pakai.</w:t>
      </w:r>
    </w:p>
    <w:bookmarkEnd w:id="13"/>
    <w:bookmarkStart w:id="15" w:name="d-ambang-metrik-kinerja-lighthouse"/>
    <w:p>
      <w:pPr>
        <w:pStyle w:val="Heading3"/>
      </w:pPr>
      <w:r>
        <w:t xml:space="preserve">d. Ambang metrik kinerja Lighthouse</w:t>
      </w:r>
    </w:p>
    <w:p>
      <w:pPr>
        <w:pStyle w:val="BlockText"/>
      </w:pPr>
      <w:r>
        <w:t xml:space="preserve">Google. (2024).</w:t>
      </w:r>
      <w:r>
        <w:t xml:space="preserve"> </w:t>
      </w:r>
      <w:r>
        <w:rPr>
          <w:i/>
          <w:iCs/>
        </w:rPr>
        <w:t xml:space="preserve">Lighthouse performance scoring</w:t>
      </w:r>
      <w:r>
        <w:t xml:space="preserve">. web.dev.</w:t>
      </w:r>
      <w:r>
        <w:t xml:space="preserve"> </w:t>
      </w:r>
      <w:hyperlink r:id="rId14">
        <w:r>
          <w:rPr>
            <w:rStyle w:val="Hyperlink"/>
          </w:rPr>
          <w:t xml:space="preserve">https://developer.chrome.com/docs/lighthouse/performance/performance-scoring</w:t>
        </w:r>
      </w:hyperlink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(Google, 2024)</w:t>
      </w:r>
      <w:r>
        <w:t xml:space="preserve">. Sesuaikan tahunnya dengan tanggal Anda</w:t>
      </w:r>
      <w:r>
        <w:t xml:space="preserve"> </w:t>
      </w:r>
      <w:r>
        <w:t xml:space="preserve">mengakses, dan cantumkan tanggal akses bila pedoman Anda mewajibkannya.</w:t>
      </w:r>
    </w:p>
    <w:bookmarkEnd w:id="15"/>
    <w:bookmarkStart w:id="16" w:name="Xf126593f178cde648e4773128cdd95d914ab8f5"/>
    <w:p>
      <w:pPr>
        <w:pStyle w:val="Heading3"/>
      </w:pPr>
      <w:r>
        <w:t xml:space="preserve">d2. Pendukung argumen pemantauan manual (studi kasus BPS)</w:t>
      </w:r>
    </w:p>
    <w:p>
      <w:pPr>
        <w:pStyle w:val="FirstParagraph"/>
      </w:pPr>
      <w:r>
        <w:t xml:space="preserve">Dipakai pada identifikasi masalah pokok kedua, untuk menunjukkan bahwa persoalan</w:t>
      </w:r>
      <w:r>
        <w:t xml:space="preserve"> </w:t>
      </w:r>
      <w:r>
        <w:t xml:space="preserve">pemantauan manual juga ditemukan pada satuan kerja BPS lain.</w:t>
      </w:r>
    </w:p>
    <w:p>
      <w:pPr>
        <w:pStyle w:val="BlockText"/>
      </w:pPr>
      <w:r>
        <w:t xml:space="preserve">Muthmainnah, M., Syahputra, W. I., &amp; Bintoro, A. (2025). Sistem informasi</w:t>
      </w:r>
      <w:r>
        <w:t xml:space="preserve"> </w:t>
      </w:r>
      <w:r>
        <w:t xml:space="preserve">monitoring kegiatan berbasis web pada Badan Pusat Statistik Kota Lhokseumawe.</w:t>
      </w:r>
      <w:r>
        <w:t xml:space="preserve"> </w:t>
      </w:r>
      <w:r>
        <w:rPr>
          <w:i/>
          <w:iCs/>
        </w:rPr>
        <w:t xml:space="preserve">Sisfo: Jurnal Ilmiah Sistem Informasi, 9</w:t>
      </w:r>
      <w:r>
        <w:t xml:space="preserve">(2).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(Muthmainnah dkk., 2025)</w:t>
      </w:r>
      <w:r>
        <w:t xml:space="preserve">. Temuan yang dipakai: pemantauan</w:t>
      </w:r>
      <w:r>
        <w:t xml:space="preserve"> </w:t>
      </w:r>
      <w:r>
        <w:t xml:space="preserve">kegiatan yang masih manual menimbulkan keterlambatan pelaporan dan ketidaktepatan</w:t>
      </w:r>
      <w:r>
        <w:t xml:space="preserve"> </w:t>
      </w:r>
      <w:r>
        <w:t xml:space="preserve">informasi, sedangkan sistem pemantauan berbasis web mempercepat pelaporan dan</w:t>
      </w:r>
      <w:r>
        <w:t xml:space="preserve"> </w:t>
      </w:r>
      <w:r>
        <w:t xml:space="preserve">mengurangi kesalahan pencatatan.</w:t>
      </w:r>
    </w:p>
    <w:bookmarkEnd w:id="16"/>
    <w:bookmarkStart w:id="17" w:name="e-penafsiran-skor-csuq"/>
    <w:p>
      <w:pPr>
        <w:pStyle w:val="Heading3"/>
      </w:pPr>
      <w:r>
        <w:t xml:space="preserve">e. Penafsiran skor CSUQ</w:t>
      </w:r>
    </w:p>
    <w:p>
      <w:pPr>
        <w:pStyle w:val="FirstParagraph"/>
      </w:pPr>
      <w:r>
        <w:t xml:space="preserve">Lewis (1995) tidak memuat tabel kategori "puas/tidak puas". Yang ia sediakan adalah</w:t>
      </w:r>
      <w:r>
        <w:t xml:space="preserve"> </w:t>
      </w:r>
      <w:r>
        <w:t xml:space="preserve">nilai acuan (</w:t>
      </w:r>
      <w:r>
        <w:rPr>
          <w:i/>
          <w:iCs/>
        </w:rPr>
        <w:t xml:space="preserve">norm</w:t>
      </w:r>
      <w:r>
        <w:t xml:space="preserve">) hasil pengujian. Untuk dasar penafsiran, tambahkan:</w:t>
      </w:r>
    </w:p>
    <w:p>
      <w:pPr>
        <w:pStyle w:val="BlockText"/>
      </w:pPr>
      <w:r>
        <w:t xml:space="preserve">Sauro, J., &amp; Lewis, J. R. (2016).</w:t>
      </w:r>
      <w:r>
        <w:t xml:space="preserve"> </w:t>
      </w:r>
      <w:r>
        <w:rPr>
          <w:i/>
          <w:iCs/>
        </w:rPr>
        <w:t xml:space="preserve">Quantifying the user experience: Practical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 for user research</w:t>
      </w:r>
      <w:r>
        <w:t xml:space="preserve"> </w:t>
      </w:r>
      <w:r>
        <w:t xml:space="preserve">(edisi ke-2). Morgan Kaufmann.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(Sauro &amp; Lewis, 2016)</w:t>
      </w:r>
      <w:r>
        <w:t xml:space="preserve">. Lihat bagian 4.c berkas ini untuk cara</w:t>
      </w:r>
      <w:r>
        <w:t xml:space="preserve"> </w:t>
      </w:r>
      <w:r>
        <w:t xml:space="preserve">memakainya.</w:t>
      </w:r>
    </w:p>
    <w:bookmarkEnd w:id="17"/>
    <w:bookmarkStart w:id="18" w:name="X02d8b4ca20a75166330669d482f4770ed913394"/>
    <w:p>
      <w:pPr>
        <w:pStyle w:val="Heading3"/>
      </w:pPr>
      <w:r>
        <w:t xml:space="preserve">g. Hak akses berbasis peran (RBAC) -</w:t>
      </w:r>
      <w:r>
        <w:t xml:space="preserve"> </w:t>
      </w:r>
      <w:r>
        <w:rPr>
          <w:b/>
          <w:bCs/>
        </w:rPr>
        <w:t xml:space="preserve">paling mendesak</w:t>
      </w:r>
    </w:p>
    <w:p>
      <w:pPr>
        <w:pStyle w:val="FirstParagraph"/>
      </w:pPr>
      <w:r>
        <w:t xml:space="preserve">Menopang KNF-01, seluruh pengujian keamanan (SEC-01 s.d. SEC-16), dan pembagian</w:t>
      </w:r>
      <w:r>
        <w:t xml:space="preserve"> </w:t>
      </w:r>
      <w:r>
        <w:t xml:space="preserve">peran Admin/Tim Keuangan/Pegawai pada Bab IV. Saat ini Bab II belum memuat dasar</w:t>
      </w:r>
      <w:r>
        <w:t xml:space="preserve"> </w:t>
      </w:r>
      <w:r>
        <w:t xml:space="preserve">teorinya sama sekali, padahal satu dari empat pengujian Anda dibangun di atasnya.</w:t>
      </w:r>
    </w:p>
    <w:p>
      <w:pPr>
        <w:pStyle w:val="BlockText"/>
      </w:pPr>
      <w:r>
        <w:t xml:space="preserve">Sandhu, R. S., Coyne, E. J., Feinstein, H. L., &amp; Youman, C. E. (1996). Role-based</w:t>
      </w:r>
      <w:r>
        <w:t xml:space="preserve"> </w:t>
      </w:r>
      <w:r>
        <w:t xml:space="preserve">access control models.</w:t>
      </w:r>
      <w:r>
        <w:t xml:space="preserve"> </w:t>
      </w:r>
      <w:r>
        <w:rPr>
          <w:i/>
          <w:iCs/>
        </w:rPr>
        <w:t xml:space="preserve">Computer, 29</w:t>
      </w:r>
      <w:r>
        <w:t xml:space="preserve">(2), 38-47.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(Sandhu dkk., 1996)</w:t>
      </w:r>
      <w:r>
        <w:t xml:space="preserve">.</w:t>
      </w:r>
    </w:p>
    <w:bookmarkEnd w:id="18"/>
    <w:bookmarkStart w:id="19" w:name="h-penyandian-kata-sandi-bcrypt"/>
    <w:p>
      <w:pPr>
        <w:pStyle w:val="Heading3"/>
      </w:pPr>
      <w:r>
        <w:t xml:space="preserve">h. Penyandian kata sandi (bcrypt)</w:t>
      </w:r>
    </w:p>
    <w:p>
      <w:pPr>
        <w:pStyle w:val="FirstParagraph"/>
      </w:pPr>
      <w:r>
        <w:t xml:space="preserve">Menopang KF-01 dan KNF-01, khususnya pernyataan bahwa kata sandi disimpan dalam</w:t>
      </w:r>
      <w:r>
        <w:t xml:space="preserve"> </w:t>
      </w:r>
      <w:r>
        <w:t xml:space="preserve">bentuk tersandi dan tidak dapat dikembalikan ke bentuk aslinya.</w:t>
      </w:r>
    </w:p>
    <w:p>
      <w:pPr>
        <w:pStyle w:val="BlockText"/>
      </w:pPr>
      <w:r>
        <w:t xml:space="preserve">Provos, N., &amp; Mazieres, D. (1999). A future-adaptable password scheme. Dalam</w:t>
      </w:r>
      <w:r>
        <w:t xml:space="preserve"> </w:t>
      </w:r>
      <w:r>
        <w:rPr>
          <w:i/>
          <w:iCs/>
        </w:rPr>
        <w:t xml:space="preserve">Proceedings of the 1999 USENIX Annual Technical Conference</w:t>
      </w:r>
      <w:r>
        <w:t xml:space="preserve">. USENIX Association.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(Provos &amp; Mazieres, 1999)</w:t>
      </w:r>
      <w:r>
        <w:t xml:space="preserve">.</w:t>
      </w:r>
    </w:p>
    <w:bookmarkEnd w:id="19"/>
    <w:bookmarkStart w:id="20" w:name="i-arsitektur-restful-api"/>
    <w:p>
      <w:pPr>
        <w:pStyle w:val="Heading3"/>
      </w:pPr>
      <w:r>
        <w:t xml:space="preserve">i. Arsitektur RESTful API</w:t>
      </w:r>
    </w:p>
    <w:p>
      <w:pPr>
        <w:pStyle w:val="FirstParagraph"/>
      </w:pPr>
      <w:r>
        <w:t xml:space="preserve">Menopang subbab arsitektur sistem di Bab V, KNF-07 (kesiapan integrasi), dan</w:t>
      </w:r>
      <w:r>
        <w:t xml:space="preserve"> </w:t>
      </w:r>
      <w:r>
        <w:t xml:space="preserve">pemisahan sisi peramban dengan sisi server yang Anda sebut di Bab III.</w:t>
      </w:r>
    </w:p>
    <w:p>
      <w:pPr>
        <w:pStyle w:val="BlockText"/>
      </w:pPr>
      <w:r>
        <w:t xml:space="preserve">Fielding, R. T. (2000).</w:t>
      </w:r>
      <w:r>
        <w:t xml:space="preserve"> </w:t>
      </w:r>
      <w:r>
        <w:rPr>
          <w:i/>
          <w:iCs/>
        </w:rPr>
        <w:t xml:space="preserve">Architectural styles and the design of network-based</w:t>
      </w:r>
      <w:r>
        <w:rPr>
          <w:i/>
          <w:iCs/>
        </w:rPr>
        <w:t xml:space="preserve"> </w:t>
      </w:r>
      <w:r>
        <w:rPr>
          <w:i/>
          <w:iCs/>
        </w:rPr>
        <w:t xml:space="preserve">software architectures</w:t>
      </w:r>
      <w:r>
        <w:t xml:space="preserve"> </w:t>
      </w:r>
      <w:r>
        <w:t xml:space="preserve">[Disertasi doktoral, University of California, Irvine].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(Fielding, 2000)</w:t>
      </w:r>
      <w:r>
        <w:t xml:space="preserve">.</w:t>
      </w:r>
    </w:p>
    <w:bookmarkEnd w:id="20"/>
    <w:bookmarkStart w:id="21" w:name="j-transaksi-basis-data"/>
    <w:p>
      <w:pPr>
        <w:pStyle w:val="Heading3"/>
      </w:pPr>
      <w:r>
        <w:t xml:space="preserve">j. Transaksi basis data</w:t>
      </w:r>
    </w:p>
    <w:p>
      <w:pPr>
        <w:pStyle w:val="FirstParagraph"/>
      </w:pPr>
      <w:r>
        <w:t xml:space="preserve">Menopang KNF-04 (integritas data), yaitu pernyataan bahwa penyimpanan kegiatan</w:t>
      </w:r>
      <w:r>
        <w:t xml:space="preserve"> </w:t>
      </w:r>
      <w:r>
        <w:t xml:space="preserve">beserta alokasinya dan impor mitra dijalankan sebagai satu kesatuan sehingga</w:t>
      </w:r>
      <w:r>
        <w:t xml:space="preserve"> </w:t>
      </w:r>
      <w:r>
        <w:t xml:space="preserve">kegagalan di tengah tidak meninggalkan data setengah tersimpan.</w:t>
      </w:r>
    </w:p>
    <w:p>
      <w:pPr>
        <w:pStyle w:val="BlockText"/>
      </w:pPr>
      <w:r>
        <w:t xml:space="preserve">Haerder, T., &amp; Reuter, A. (1983). Principles of transaction-oriented database</w:t>
      </w:r>
      <w:r>
        <w:t xml:space="preserve"> </w:t>
      </w:r>
      <w:r>
        <w:t xml:space="preserve">recovery.</w:t>
      </w:r>
      <w:r>
        <w:t xml:space="preserve"> </w:t>
      </w:r>
      <w:r>
        <w:rPr>
          <w:i/>
          <w:iCs/>
        </w:rPr>
        <w:t xml:space="preserve">ACM Computing Surveys, 15</w:t>
      </w:r>
      <w:r>
        <w:t xml:space="preserve">(4), 287-317.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(Haerder &amp; Reuter, 1983)</w:t>
      </w:r>
      <w:r>
        <w:t xml:space="preserve">. Sumber inilah yang memperkenalkan</w:t>
      </w:r>
      <w:r>
        <w:t xml:space="preserve"> </w:t>
      </w:r>
      <w:r>
        <w:t xml:space="preserve">istilah ACID yang dipakai sampai sekarang.</w:t>
      </w:r>
    </w:p>
    <w:bookmarkEnd w:id="21"/>
    <w:bookmarkStart w:id="22" w:name="X939f42c452be1b22ba20357846992a84004121f"/>
    <w:p>
      <w:pPr>
        <w:pStyle w:val="Heading3"/>
      </w:pPr>
      <w:r>
        <w:t xml:space="preserve">f. Aturan perancangan antarmuka (bila Anda jadi menambahkannya ke KNF-03)</w:t>
      </w:r>
    </w:p>
    <w:p>
      <w:pPr>
        <w:pStyle w:val="BlockText"/>
      </w:pPr>
      <w:r>
        <w:t xml:space="preserve">Shneiderman, B., Plaisant, C., Cohen, M., Jacobs, S., Elmqvist, N., &amp; Diakopoulos,</w:t>
      </w:r>
      <w:r>
        <w:t xml:space="preserve"> </w:t>
      </w:r>
      <w:r>
        <w:t xml:space="preserve">N. (2018).</w:t>
      </w:r>
      <w:r>
        <w:t xml:space="preserve"> </w:t>
      </w:r>
      <w:r>
        <w:rPr>
          <w:i/>
          <w:iCs/>
        </w:rPr>
        <w:t xml:space="preserve">Designing the user interface: Strategies for effective human-computer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interaction</w:t>
      </w:r>
      <w:r>
        <w:t xml:space="preserve"> </w:t>
      </w:r>
      <w:r>
        <w:t xml:space="preserve">(edisi ke-6). Pearson.</w:t>
      </w:r>
    </w:p>
    <w:p>
      <w:pPr>
        <w:pStyle w:val="FirstParagraph"/>
      </w:pPr>
      <w:r>
        <w:t xml:space="preserve">Diperlukan hanya bila Anda memakai usulan saya sebelumnya untuk menyebut</w:t>
      </w:r>
      <w:r>
        <w:t xml:space="preserve"> </w:t>
      </w:r>
      <w:r>
        <w:rPr>
          <w:i/>
          <w:iCs/>
        </w:rPr>
        <w:t xml:space="preserve">eight</w:t>
      </w:r>
      <w:r>
        <w:rPr>
          <w:i/>
          <w:iCs/>
        </w:rPr>
        <w:t xml:space="preserve"> </w:t>
      </w:r>
      <w:r>
        <w:rPr>
          <w:i/>
          <w:iCs/>
        </w:rPr>
        <w:t xml:space="preserve">golden rules</w:t>
      </w:r>
      <w:r>
        <w:t xml:space="preserve"> </w:t>
      </w:r>
      <w:r>
        <w:t xml:space="preserve">pada KNF-03 di Bab IV.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298da5899fd5f045dfe0d16e9a98b2c49a34e37"/>
    <w:p>
      <w:pPr>
        <w:pStyle w:val="Heading2"/>
      </w:pPr>
      <w:r>
        <w:t xml:space="preserve">3b. Status verifikasi dan kemutakhiran rujukan tambahan</w:t>
      </w:r>
    </w:p>
    <w:p>
      <w:pPr>
        <w:pStyle w:val="FirstParagraph"/>
      </w:pPr>
      <w:r>
        <w:t xml:space="preserve">Bagian ini dibuat karena satu pertanyaan yang wajar: mengapa rujukan yang</w:t>
      </w:r>
      <w:r>
        <w:t xml:space="preserve"> </w:t>
      </w:r>
      <w:r>
        <w:t xml:space="preserve">disarankan tahunnya lama. Tabel berikut memuat status pemeriksaan tiap rujukan</w:t>
      </w:r>
      <w:r>
        <w:t xml:space="preserve"> </w:t>
      </w:r>
      <w:r>
        <w:t xml:space="preserve">beserta tautan sumbernya, agar Anda dapat memastikan sendiri tanpa perlu percaya</w:t>
      </w:r>
      <w:r>
        <w:t xml:space="preserve"> </w:t>
      </w:r>
      <w:r>
        <w:t xml:space="preserve">begitu saja.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Rujukan</w:t>
            </w:r>
          </w:p>
        </w:tc>
        <w:tc>
          <w:tcPr/>
          <w:p>
            <w:pPr>
              <w:pStyle w:val="Compact"/>
            </w:pPr>
            <w:r>
              <w:t xml:space="preserve">Sudah diperiksa?</w:t>
            </w:r>
          </w:p>
        </w:tc>
        <w:tc>
          <w:tcPr/>
          <w:p>
            <w:pPr>
              <w:pStyle w:val="Compact"/>
            </w:pPr>
            <w:r>
              <w:t xml:space="preserve">Dapat diakses 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Perka BPS No. 117/2021 (SBML)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ppid.bps.go.id; terdaftar juga di basis data peraturan nasional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Muthmainnah dkk. (2025)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ojs.unimal.ac.id/sisfo/article/view/26013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Sandhu dkk. (1996) - RBAC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csrc.nist.gov (arsip resmi NIST) dan ACM Digital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Provos &amp; Mazieres (1999) - bcrypt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usenix.org/legacy/event/usenix99/provos/provos.pdf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Fielding (2000) - REST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ics.uci.edu/~fielding/pubs/dissertation/fielding_dissertation.pdf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Haerder &amp; Reuter (1983) - ACID</w:t>
            </w:r>
          </w:p>
        </w:tc>
        <w:tc>
          <w:tcPr/>
          <w:p>
            <w:pPr>
              <w:pStyle w:val="Compact"/>
            </w:pPr>
            <w:r>
              <w:t xml:space="preserve">Ya</w:t>
            </w:r>
          </w:p>
        </w:tc>
        <w:tc>
          <w:tcPr/>
          <w:p>
            <w:pPr>
              <w:pStyle w:val="Compact"/>
            </w:pPr>
            <w:r>
              <w:t xml:space="preserve">ACM Digital Library, doi 10.1145/289.291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Nasich dkk. (2025) - RBAC terbaru</w:t>
            </w:r>
          </w:p>
        </w:tc>
        <w:tc>
          <w:tcPr/>
          <w:p>
            <w:pPr>
              <w:pStyle w:val="Compact"/>
            </w:pPr>
            <w:r>
              <w:t xml:space="preserve">Ya, kecuali nomor halaman</w:t>
            </w:r>
          </w:p>
        </w:tc>
        <w:tc>
          <w:tcPr/>
          <w:p>
            <w:pPr>
              <w:pStyle w:val="Compact"/>
            </w:pPr>
            <w:r>
              <w:t xml:space="preserve">j-ptiik.ub.ac.id/index.php/j-ptiik/article/view/15257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Sauro &amp; Lewis (2016)</w:t>
            </w:r>
          </w:p>
        </w:tc>
        <w:tc>
          <w:tcPr/>
          <w:p>
            <w:pPr>
              <w:pStyle w:val="Compact"/>
            </w:pPr>
            <w:r>
              <w:t xml:space="preserve">Angka acuannya sudah diperiksa</w:t>
            </w:r>
          </w:p>
        </w:tc>
        <w:tc>
          <w:tcPr/>
          <w:p>
            <w:pPr>
              <w:pStyle w:val="Compact"/>
            </w:pPr>
            <w:r>
              <w:t xml:space="preserve">measuringu.com/pssuq (ringkasan acuan PSSUQ)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Shneiderman dkk. (2018)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Belum diperiksa langsung</w:t>
            </w:r>
          </w:p>
        </w:tc>
        <w:tc>
          <w:tcPr/>
          <w:p>
            <w:pPr>
              <w:pStyle w:val="Compact"/>
            </w:pPr>
            <w:r>
              <w:t xml:space="preserve">Cari sendiri sebelum dipakai, atau lewati saja karena sifatnya opsional</w:t>
            </w:r>
          </w:p>
        </w:tc>
      </w:tr>
    </w:tbl>
    <w:p>
      <w:pPr>
        <w:pStyle w:val="BodyText"/>
      </w:pPr>
      <w:r>
        <w:t xml:space="preserve">Satu rujukan yang jujur saya sampaikan</w:t>
      </w:r>
      <w:r>
        <w:t xml:space="preserve"> </w:t>
      </w:r>
      <w:r>
        <w:rPr>
          <w:b/>
          <w:bCs/>
        </w:rPr>
        <w:t xml:space="preserve">belum saya periksa</w:t>
      </w:r>
      <w:r>
        <w:t xml:space="preserve">: Shneiderman dkk.</w:t>
      </w:r>
      <w:r>
        <w:t xml:space="preserve"> </w:t>
      </w:r>
      <w:r>
        <w:t xml:space="preserve">(2018). Buku itu memang ada dan banyak dipakai, tetapi saya belum memeriksa edisi</w:t>
      </w:r>
      <w:r>
        <w:t xml:space="preserve"> </w:t>
      </w:r>
      <w:r>
        <w:t xml:space="preserve">dan tahun terbitnya pada sesi ini. Jangan dicantumkan sebelum Anda melihat sendiri</w:t>
      </w:r>
      <w:r>
        <w:t xml:space="preserve"> </w:t>
      </w:r>
      <w:r>
        <w:t xml:space="preserve">sampul atau katalognya. Rujukan ini juga yang paling tidak mendesak di antara</w:t>
      </w:r>
      <w:r>
        <w:t xml:space="preserve"> </w:t>
      </w:r>
      <w:r>
        <w:t xml:space="preserve">seluruh usulan.</w:t>
      </w:r>
    </w:p>
    <w:bookmarkStart w:id="24" w:name="X12d2b71142a8c4409df22bc6d7a896b4ceb4398"/>
    <w:p>
      <w:pPr>
        <w:pStyle w:val="Heading3"/>
      </w:pPr>
      <w:r>
        <w:t xml:space="preserve">Mengapa beberapa rujukan memang bertahun lama</w:t>
      </w:r>
    </w:p>
    <w:p>
      <w:pPr>
        <w:pStyle w:val="FirstParagraph"/>
      </w:pPr>
      <w:r>
        <w:t xml:space="preserve">Ada dua jenis rujukan, dan keduanya diperlakukan berbeda:</w:t>
      </w:r>
    </w:p>
    <w:p>
      <w:pPr>
        <w:pStyle w:val="BodyText"/>
      </w:pPr>
      <w:r>
        <w:rPr>
          <w:b/>
          <w:bCs/>
        </w:rPr>
        <w:t xml:space="preserve">Sumber primer sebuah konsep.</w:t>
      </w:r>
      <w:r>
        <w:t xml:space="preserve"> </w:t>
      </w:r>
      <w:r>
        <w:t xml:space="preserve">Rujukan jenis ini memang tua karena di situlah</w:t>
      </w:r>
      <w:r>
        <w:t xml:space="preserve"> </w:t>
      </w:r>
      <w:r>
        <w:t xml:space="preserve">konsepnya pertama kali dirumuskan, dan sampai sekarang belum ada yang</w:t>
      </w:r>
      <w:r>
        <w:t xml:space="preserve"> </w:t>
      </w:r>
      <w:r>
        <w:t xml:space="preserve">menggantikannya. Contohnya Chen (1976) untuk ERD, Haerder dan Reuter (1983) yang</w:t>
      </w:r>
      <w:r>
        <w:t xml:space="preserve"> </w:t>
      </w:r>
      <w:r>
        <w:t xml:space="preserve">memperkenalkan istilah ACID, Sandhu dkk. (1996) yang merumuskan model RBAC,</w:t>
      </w:r>
      <w:r>
        <w:t xml:space="preserve"> </w:t>
      </w:r>
      <w:r>
        <w:t xml:space="preserve">Provos dan Mazieres (1999) yang memperkenalkan bcrypt, serta Fielding (2000) yang</w:t>
      </w:r>
      <w:r>
        <w:t xml:space="preserve"> </w:t>
      </w:r>
      <w:r>
        <w:t xml:space="preserve">merumuskan REST. Mengganti rujukan ini dengan artikel 2024 justru keliru, karena</w:t>
      </w:r>
      <w:r>
        <w:t xml:space="preserve"> </w:t>
      </w:r>
      <w:r>
        <w:t xml:space="preserve">artikel 2024 itu sendiri merujuk balik ke sana. Penguji yang paham akan</w:t>
      </w:r>
      <w:r>
        <w:t xml:space="preserve"> </w:t>
      </w:r>
      <w:r>
        <w:t xml:space="preserve">mempertanyakan hal sebaliknya: mengapa konsep RBAC dirujuk ke artikel baru yang</w:t>
      </w:r>
      <w:r>
        <w:t xml:space="preserve"> </w:t>
      </w:r>
      <w:r>
        <w:t xml:space="preserve">hanya menerapkannya, bukan ke sumber yang merumuskannya.</w:t>
      </w:r>
    </w:p>
    <w:p>
      <w:pPr>
        <w:pStyle w:val="BodyText"/>
      </w:pPr>
      <w:r>
        <w:rPr>
          <w:b/>
          <w:bCs/>
        </w:rPr>
        <w:t xml:space="preserve">Sumber penerapan dan perkembangan terkini.</w:t>
      </w:r>
      <w:r>
        <w:t xml:space="preserve"> </w:t>
      </w:r>
      <w:r>
        <w:t xml:space="preserve">Rujukan jenis ini justru harus baru,</w:t>
      </w:r>
      <w:r>
        <w:t xml:space="preserve"> </w:t>
      </w:r>
      <w:r>
        <w:t xml:space="preserve">karena menunjukkan konsep tersebut masih relevan dan bagaimana ia dipakai sekarang.</w:t>
      </w:r>
    </w:p>
    <w:p>
      <w:pPr>
        <w:pStyle w:val="BodyText"/>
      </w:pPr>
      <w:r>
        <w:rPr>
          <w:b/>
          <w:bCs/>
        </w:rPr>
        <w:t xml:space="preserve">Cara aman: pasangkan keduanya.</w:t>
      </w:r>
      <w:r>
        <w:t xml:space="preserve"> </w:t>
      </w:r>
      <w:r>
        <w:t xml:space="preserve">Satu kalimat merujuk sumber primer untuk</w:t>
      </w:r>
      <w:r>
        <w:t xml:space="preserve"> </w:t>
      </w:r>
      <w:r>
        <w:t xml:space="preserve">pengertiannya, kalimat berikutnya merujuk penelitian terbaru untuk penerapannya.</w:t>
      </w:r>
      <w:r>
        <w:t xml:space="preserve"> </w:t>
      </w:r>
      <w:r>
        <w:t xml:space="preserve">Contoh untuk RBAC:</w:t>
      </w:r>
    </w:p>
    <w:p>
      <w:pPr>
        <w:pStyle w:val="BlockText"/>
      </w:pPr>
      <w:r>
        <w:t xml:space="preserve">Hak akses berbasis peran adalah model pengendalian akses yang memberikan</w:t>
      </w:r>
      <w:r>
        <w:t xml:space="preserve"> </w:t>
      </w:r>
      <w:r>
        <w:t xml:space="preserve">kewenangan kepada peran, bukan langsung kepada pengguna, sehingga perubahan</w:t>
      </w:r>
      <w:r>
        <w:t xml:space="preserve"> </w:t>
      </w:r>
      <w:r>
        <w:t xml:space="preserve">kewenangan cukup dilakukan pada perannya (Sandhu dkk., 1996). Model ini masih</w:t>
      </w:r>
      <w:r>
        <w:t xml:space="preserve"> </w:t>
      </w:r>
      <w:r>
        <w:t xml:space="preserve">banyak diterapkan hingga saat ini; Nasich dkk. (2025) misalnya menerapkannya untuk</w:t>
      </w:r>
      <w:r>
        <w:t xml:space="preserve"> </w:t>
      </w:r>
      <w:r>
        <w:t xml:space="preserve">menggantikan pengelolaan berbasis spreadsheet yang sebelumnya memungkinkan</w:t>
      </w:r>
      <w:r>
        <w:t xml:space="preserve"> </w:t>
      </w:r>
      <w:r>
        <w:t xml:space="preserve">pengguna mengubah data yang bukan kewenangannya.</w:t>
      </w:r>
    </w:p>
    <w:bookmarkEnd w:id="24"/>
    <w:bookmarkStart w:id="25" w:name="pendamping-mutakhir-yang-sudah-diperiksa"/>
    <w:p>
      <w:pPr>
        <w:pStyle w:val="Heading3"/>
      </w:pPr>
      <w:r>
        <w:t xml:space="preserve">Pendamping mutakhir yang sudah diperiksa</w:t>
      </w:r>
    </w:p>
    <w:p>
      <w:pPr>
        <w:pStyle w:val="FirstParagraph"/>
      </w:pPr>
      <w:r>
        <w:rPr>
          <w:b/>
          <w:bCs/>
        </w:rPr>
        <w:t xml:space="preserve">Untuk RBAC (dipasangkan dengan Sandhu dkk., 1996):</w:t>
      </w:r>
    </w:p>
    <w:p>
      <w:pPr>
        <w:pStyle w:val="BlockText"/>
      </w:pPr>
      <w:r>
        <w:t xml:space="preserve">Nasich, A. K., Wicaksono, S. A., &amp; Saputra, M. C. (2025). Implementasi role based</w:t>
      </w:r>
      <w:r>
        <w:t xml:space="preserve"> </w:t>
      </w:r>
      <w:r>
        <w:t xml:space="preserve">access control (RBAC) dalam sistem informasi manajemen pelanggan dan pembayaran</w:t>
      </w:r>
      <w:r>
        <w:t xml:space="preserve"> </w:t>
      </w:r>
      <w:r>
        <w:t xml:space="preserve">air berbasis web (studi pada PT Tirta Wangi Sejahtera).</w:t>
      </w:r>
      <w:r>
        <w:t xml:space="preserve"> </w:t>
      </w:r>
      <w:r>
        <w:rPr>
          <w:i/>
          <w:iCs/>
        </w:rPr>
        <w:t xml:space="preserve">Jurnal Pengembangan</w:t>
      </w:r>
      <w:r>
        <w:rPr>
          <w:i/>
          <w:iCs/>
        </w:rPr>
        <w:t xml:space="preserve"> </w:t>
      </w:r>
      <w:r>
        <w:rPr>
          <w:i/>
          <w:iCs/>
        </w:rPr>
        <w:t xml:space="preserve">Teknologi dan Ilmu Komputer, 9</w:t>
      </w:r>
      <w:r>
        <w:t xml:space="preserve">(9).</w:t>
      </w:r>
    </w:p>
    <w:p>
      <w:pPr>
        <w:pStyle w:val="FirstParagraph"/>
      </w:pPr>
      <w:r>
        <w:t xml:space="preserve">Sitasi dalam teks:</w:t>
      </w:r>
      <w:r>
        <w:t xml:space="preserve"> </w:t>
      </w:r>
      <w:r>
        <w:rPr>
          <w:b/>
          <w:bCs/>
        </w:rPr>
        <w:t xml:space="preserve">(Nasich dkk., 2025)</w:t>
      </w:r>
      <w:r>
        <w:t xml:space="preserve">. Nomor halamannya belum saya pastikan;</w:t>
      </w:r>
      <w:r>
        <w:t xml:space="preserve"> </w:t>
      </w:r>
      <w:r>
        <w:t xml:space="preserve">buka tautannya dan lengkapi sendiri.</w:t>
      </w:r>
    </w:p>
    <w:p>
      <w:pPr>
        <w:pStyle w:val="BodyText"/>
      </w:pPr>
      <w:r>
        <w:t xml:space="preserve">Rujukan ini</w:t>
      </w:r>
      <w:r>
        <w:t xml:space="preserve"> </w:t>
      </w:r>
      <w:r>
        <w:rPr>
          <w:b/>
          <w:bCs/>
        </w:rPr>
        <w:t xml:space="preserve">sangat cocok untuk kasus Anda</w:t>
      </w:r>
      <w:r>
        <w:t xml:space="preserve"> </w:t>
      </w:r>
      <w:r>
        <w:t xml:space="preserve">karena membandingkan pengelolaan</w:t>
      </w:r>
      <w:r>
        <w:t xml:space="preserve"> </w:t>
      </w:r>
      <w:r>
        <w:t xml:space="preserve">berbasis spreadsheet dengan RBAC - persis keadaan yang Anda hadapi pada masalah</w:t>
      </w:r>
      <w:r>
        <w:t xml:space="preserve"> </w:t>
      </w:r>
      <w:r>
        <w:t xml:space="preserve">M2.c, yaitu berkas penilaian yang dapat diubah siapa pun yang memiliki tautannya.</w:t>
      </w:r>
    </w:p>
    <w:p>
      <w:pPr>
        <w:pStyle w:val="BodyText"/>
      </w:pPr>
      <w:r>
        <w:rPr>
          <w:b/>
          <w:bCs/>
        </w:rPr>
        <w:t xml:space="preserve">Untuk penafsiran skor CSUQ (melengkapi Sauro &amp; Lewis, 2016):</w:t>
      </w:r>
    </w:p>
    <w:p>
      <w:pPr>
        <w:pStyle w:val="BodyText"/>
      </w:pPr>
      <w:r>
        <w:t xml:space="preserve">Nilai acuan yang lebih lengkap, dihimpun dari 21 studi: kegunaan sistem 2,80;</w:t>
      </w:r>
      <w:r>
        <w:t xml:space="preserve"> </w:t>
      </w:r>
      <w:r>
        <w:t xml:space="preserve">kualitas informasi 3,02; kualitas antarmuka 2,49; dan keseluruhan 2,82, dengan</w:t>
      </w:r>
      <w:r>
        <w:t xml:space="preserve"> </w:t>
      </w:r>
      <w:r>
        <w:t xml:space="preserve">selang kepercayaan 99% antara 2,62 dan 3,02. Seluruh angka itu memakai arah skala</w:t>
      </w:r>
      <w:r>
        <w:t xml:space="preserve"> </w:t>
      </w:r>
      <w:r>
        <w:t xml:space="preserve">asli, yaitu semakin kecil semakin baik. Bila arah skalanya dibalik seperti pada</w:t>
      </w:r>
      <w:r>
        <w:t xml:space="preserve"> </w:t>
      </w:r>
      <w:r>
        <w:t xml:space="preserve">kuesioner Anda, nilai pembandingnya menjadi 5,20 untuk kegunaan sistem, 4,98 untuk</w:t>
      </w:r>
      <w:r>
        <w:t xml:space="preserve"> </w:t>
      </w:r>
      <w:r>
        <w:t xml:space="preserve">kualitas informasi, 5,51 untuk kualitas antarmuka, dan 5,18 untuk keseluruhan.</w:t>
      </w:r>
      <w:r>
        <w:t xml:space="preserve"> </w:t>
      </w:r>
      <w:r>
        <w:t xml:space="preserve">Dengan angka per dimensi ini, Anda dapat membandingkan hasil tiap dimensi, bukan</w:t>
      </w:r>
      <w:r>
        <w:t xml:space="preserve"> </w:t>
      </w:r>
      <w:r>
        <w:t xml:space="preserve">hanya skor keseluruhan.</w:t>
      </w:r>
    </w:p>
    <w:bookmarkEnd w:id="25"/>
    <w:bookmarkEnd w:id="26"/>
    <w:bookmarkStart w:id="30" w:name="Xb1ea3f905744fdbf160c4cd81f1b6555a24d464"/>
    <w:p>
      <w:pPr>
        <w:pStyle w:val="Heading2"/>
      </w:pPr>
      <w:r>
        <w:t xml:space="preserve">4. Rujukan lama yang perlu diperiksa ulang</w:t>
      </w:r>
    </w:p>
    <w:bookmarkStart w:id="27" w:name="a-rujukan-15--klaim-2685-lebih-cepat"/>
    <w:p>
      <w:pPr>
        <w:pStyle w:val="Heading3"/>
      </w:pPr>
      <w:r>
        <w:t xml:space="preserve">a. Rujukan [15] — klaim "26,85% lebih cepat"</w:t>
      </w:r>
    </w:p>
    <w:p>
      <w:pPr>
        <w:pStyle w:val="FirstParagraph"/>
      </w:pPr>
      <w:r>
        <w:t xml:space="preserve">Naskah Anda menulis Express.js "memiliki waktu eksekusi 26,85% lebih cepat</w:t>
      </w:r>
      <w:r>
        <w:t xml:space="preserve"> </w:t>
      </w:r>
      <w:r>
        <w:t xml:space="preserve">dibandingkan</w:t>
      </w:r>
      <w:r>
        <w:t xml:space="preserve"> </w:t>
      </w:r>
      <w:r>
        <w:rPr>
          <w:i/>
          <w:iCs/>
        </w:rPr>
        <w:t xml:space="preserve">framework</w:t>
      </w:r>
      <w:r>
        <w:t xml:space="preserve"> </w:t>
      </w:r>
      <w:r>
        <w:t xml:space="preserve">lain". Padahal judul artikelnya adalah perbandingan</w:t>
      </w:r>
      <w:r>
        <w:t xml:space="preserve"> </w:t>
      </w:r>
      <w:r>
        <w:rPr>
          <w:b/>
          <w:bCs/>
        </w:rPr>
        <w:t xml:space="preserve">Express dengan Hono</w:t>
      </w:r>
      <w:r>
        <w:t xml:space="preserve"> </w:t>
      </w:r>
      <w:r>
        <w:t xml:space="preserve">— hanya satu pembanding, bukan "framework lain" secara umum.</w:t>
      </w:r>
    </w:p>
    <w:p>
      <w:pPr>
        <w:pStyle w:val="BodyText"/>
      </w:pPr>
      <w:r>
        <w:rPr>
          <w:b/>
          <w:bCs/>
        </w:rPr>
        <w:t xml:space="preserve">Yang perlu Anda lakukan:</w:t>
      </w:r>
      <w:r>
        <w:t xml:space="preserve"> </w:t>
      </w:r>
      <w:r>
        <w:t xml:space="preserve">buka lagi artikel Saputro &amp; Novita (2025), pastikan (1)</w:t>
      </w:r>
      <w:r>
        <w:t xml:space="preserve"> </w:t>
      </w:r>
      <w:r>
        <w:t xml:space="preserve">angka 26,85% itu benar, dan (2) Express memang pihak yang lebih cepat, bukan</w:t>
      </w:r>
      <w:r>
        <w:t xml:space="preserve"> </w:t>
      </w:r>
      <w:r>
        <w:t xml:space="preserve">sebaliknya. Kalau ternyata Hono yang lebih cepat, klaim ini justru melemahkan</w:t>
      </w:r>
      <w:r>
        <w:t xml:space="preserve"> </w:t>
      </w:r>
      <w:r>
        <w:t xml:space="preserve">pilihan teknologi Anda dan harus diganti.</w:t>
      </w:r>
    </w:p>
    <w:p>
      <w:pPr>
        <w:pStyle w:val="BodyText"/>
      </w:pPr>
      <w:r>
        <w:rPr>
          <w:b/>
          <w:bCs/>
        </w:rPr>
        <w:t xml:space="preserve">Saran yang lebih aman:</w:t>
      </w:r>
      <w:r>
        <w:t xml:space="preserve"> </w:t>
      </w:r>
      <w:r>
        <w:t xml:space="preserve">jangan menyandarkan pembenaran pemilihan teknologi pada</w:t>
      </w:r>
      <w:r>
        <w:t xml:space="preserve"> </w:t>
      </w:r>
      <w:r>
        <w:t xml:space="preserve">satu angka</w:t>
      </w:r>
      <w:r>
        <w:t xml:space="preserve"> </w:t>
      </w:r>
      <w:r>
        <w:rPr>
          <w:i/>
          <w:iCs/>
        </w:rPr>
        <w:t xml:space="preserve">benchmark</w:t>
      </w:r>
      <w:r>
        <w:t xml:space="preserve">. Alasan yang lebih kuat dan tidak bisa dipatahkan: Node.js</w:t>
      </w:r>
      <w:r>
        <w:t xml:space="preserve"> </w:t>
      </w:r>
      <w:r>
        <w:t xml:space="preserve">memakai bahasa yang sama (JavaScript/TypeScript) di sisi peramban dan server,</w:t>
      </w:r>
      <w:r>
        <w:t xml:space="preserve"> </w:t>
      </w:r>
      <w:r>
        <w:t xml:space="preserve">sehingga aturan yang harus sama di kedua sisi — misalnya aturan pembagian honor dan</w:t>
      </w:r>
      <w:r>
        <w:t xml:space="preserve"> </w:t>
      </w:r>
      <w:r>
        <w:t xml:space="preserve">hak akses — cukup ditulis satu kali dan dipakai bersama. Ini fakta tentang sistem</w:t>
      </w:r>
      <w:r>
        <w:t xml:space="preserve"> </w:t>
      </w:r>
      <w:r>
        <w:t xml:space="preserve">Anda sendiri, bukan klaim tentang kecepatan yang bergantung pada cara pengujian</w:t>
      </w:r>
      <w:r>
        <w:t xml:space="preserve"> </w:t>
      </w:r>
      <w:r>
        <w:t xml:space="preserve">orang lain.</w:t>
      </w:r>
    </w:p>
    <w:bookmarkEnd w:id="27"/>
    <w:bookmarkStart w:id="28" w:name="b-rujukan-11--fajar--maghfiroh"/>
    <w:p>
      <w:pPr>
        <w:pStyle w:val="Heading3"/>
      </w:pPr>
      <w:r>
        <w:t xml:space="preserve">b. Rujukan [11] — Fajar &amp; Maghfiroh</w:t>
      </w:r>
    </w:p>
    <w:p>
      <w:pPr>
        <w:pStyle w:val="FirstParagraph"/>
      </w:pPr>
      <w:r>
        <w:t xml:space="preserve">Rujukan ini dipakai untuk dua hal sekaligus: pembenaran metode Modified Waterfall</w:t>
      </w:r>
      <w:r>
        <w:t xml:space="preserve"> </w:t>
      </w:r>
      <w:r>
        <w:t xml:space="preserve">dan pemakaian CSUQ. Keduanya sah, tetapi pastikan Anda menyebut secara spesifik apa</w:t>
      </w:r>
      <w:r>
        <w:t xml:space="preserve"> </w:t>
      </w:r>
      <w:r>
        <w:t xml:space="preserve">yang Anda ambil dari sana. Menyebut satu rujukan berkali-kali untuk banyak klaim</w:t>
      </w:r>
      <w:r>
        <w:t xml:space="preserve"> </w:t>
      </w:r>
      <w:r>
        <w:t xml:space="preserve">berbeda tanpa penjelasan mudah dianggap sekadar pelengkap.</w:t>
      </w:r>
    </w:p>
    <w:bookmarkEnd w:id="28"/>
    <w:bookmarkStart w:id="29" w:name="c-rujukan-22--zahara-dkk-smart-saw-moora"/>
    <w:p>
      <w:pPr>
        <w:pStyle w:val="Heading3"/>
      </w:pPr>
      <w:r>
        <w:t xml:space="preserve">c. Rujukan [22] — Zahara dkk. (SMART, SAW, MOORA)</w:t>
      </w:r>
    </w:p>
    <w:p>
      <w:pPr>
        <w:pStyle w:val="FirstParagraph"/>
      </w:pPr>
      <w:r>
        <w:t xml:space="preserve">Rujukan ini tentang</w:t>
      </w:r>
      <w:r>
        <w:t xml:space="preserve"> </w:t>
      </w:r>
      <w:r>
        <w:rPr>
          <w:b/>
          <w:bCs/>
        </w:rPr>
        <w:t xml:space="preserve">sistem pendukung keputusan pemilihan calon mitra</w:t>
      </w:r>
      <w:r>
        <w:t xml:space="preserve">, sedangkan</w:t>
      </w:r>
      <w:r>
        <w:t xml:space="preserve"> </w:t>
      </w:r>
      <w:r>
        <w:t xml:space="preserve">sistem Anda</w:t>
      </w:r>
      <w:r>
        <w:t xml:space="preserve"> </w:t>
      </w:r>
      <w:r>
        <w:rPr>
          <w:b/>
          <w:bCs/>
        </w:rPr>
        <w:t xml:space="preserve">tidak memakai metode pengambilan keputusan apa pun</w:t>
      </w:r>
      <w:r>
        <w:t xml:space="preserve"> </w:t>
      </w:r>
      <w:r>
        <w:t xml:space="preserve">untuk memilih</w:t>
      </w:r>
      <w:r>
        <w:t xml:space="preserve"> </w:t>
      </w:r>
      <w:r>
        <w:t xml:space="preserve">mitra — pemeringkatannya memakai rumus sederhana dari kebijakan satker, dan</w:t>
      </w:r>
      <w:r>
        <w:t xml:space="preserve"> </w:t>
      </w:r>
      <w:r>
        <w:t xml:space="preserve">pemilihan mitra dilakukan manual oleh Ketua Tim dengan bantuan penyaring wilayah.</w:t>
      </w:r>
    </w:p>
    <w:p>
      <w:pPr>
        <w:pStyle w:val="BodyText"/>
      </w:pPr>
      <w:r>
        <w:rPr>
          <w:b/>
          <w:bCs/>
        </w:rPr>
        <w:t xml:space="preserve">Saran:</w:t>
      </w:r>
      <w:r>
        <w:t xml:space="preserve"> </w:t>
      </w:r>
      <w:r>
        <w:t xml:space="preserve">tetap boleh dipakai, tetapi posisikan dengan jujur sebagai pembanding —</w:t>
      </w:r>
      <w:r>
        <w:t xml:space="preserve"> </w:t>
      </w:r>
      <w:r>
        <w:t xml:space="preserve">misalnya "penelitian lain memakai metode pengambilan keputusan seperti SMART, SAW,</w:t>
      </w:r>
      <w:r>
        <w:t xml:space="preserve"> </w:t>
      </w:r>
      <w:r>
        <w:t xml:space="preserve">dan MOORA untuk memeringkat mitra (Zahara dkk., 2022), sedangkan penelitian ini</w:t>
      </w:r>
      <w:r>
        <w:t xml:space="preserve"> </w:t>
      </w:r>
      <w:r>
        <w:t xml:space="preserve">memakai rumus pemeringkatan yang sudah dipakai satuan kerja agar hasilnya sesuai</w:t>
      </w:r>
      <w:r>
        <w:t xml:space="preserve"> </w:t>
      </w:r>
      <w:r>
        <w:t xml:space="preserve">dengan kebijakan yang berlaku di BPS Kabupaten Bengkulu Selatan." Jangan sampai</w:t>
      </w:r>
      <w:r>
        <w:t xml:space="preserve"> </w:t>
      </w:r>
      <w:r>
        <w:t xml:space="preserve">terkesan Anda memakai metode itu padahal tidak.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5812ef11e15aad53dde340de770decfa8d58a26"/>
    <w:p>
      <w:pPr>
        <w:pStyle w:val="Heading2"/>
      </w:pPr>
      <w:r>
        <w:t xml:space="preserve">5. Sitasi yang masih berupa angka di Bab III</w:t>
      </w:r>
    </w:p>
    <w:p>
      <w:pPr>
        <w:pStyle w:val="FirstParagraph"/>
      </w:pPr>
      <w:r>
        <w:t xml:space="preserve">Draf revisi Bab III mencatat sitasi bernomor pada subbab 3.2 Tahapan Penelitian:</w:t>
      </w:r>
      <w:r>
        <w:t xml:space="preserve"> </w:t>
      </w:r>
      <w:r>
        <w:rPr>
          <w:rStyle w:val="VerbatimChar"/>
        </w:rPr>
        <w:t xml:space="preserve">[11]</w:t>
      </w:r>
      <w:r>
        <w:t xml:space="preserve">,</w:t>
      </w:r>
      <w:r>
        <w:t xml:space="preserve"> </w:t>
      </w:r>
      <w:r>
        <w:rPr>
          <w:rStyle w:val="VerbatimChar"/>
        </w:rPr>
        <w:t xml:space="preserve">[18]</w:t>
      </w:r>
      <w:r>
        <w:t xml:space="preserve">,</w:t>
      </w:r>
      <w:r>
        <w:t xml:space="preserve"> </w:t>
      </w:r>
      <w:r>
        <w:rPr>
          <w:rStyle w:val="VerbatimChar"/>
        </w:rPr>
        <w:t xml:space="preserve">[22]</w:t>
      </w:r>
      <w:r>
        <w:t xml:space="preserve">–</w:t>
      </w:r>
      <w:r>
        <w:rPr>
          <w:rStyle w:val="VerbatimChar"/>
        </w:rPr>
        <w:t xml:space="preserve">[28]</w:t>
      </w:r>
      <w:r>
        <w:t xml:space="preserve">. Berikut penggantinya.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Kalimat di Bab III (ringkas)</w:t>
            </w:r>
          </w:p>
        </w:tc>
        <w:tc>
          <w:tcPr/>
          <w:p>
            <w:pPr>
              <w:pStyle w:val="Compact"/>
            </w:pPr>
            <w:r>
              <w:t xml:space="preserve">Nomor lama</w:t>
            </w:r>
          </w:p>
        </w:tc>
        <w:tc>
          <w:tcPr/>
          <w:p>
            <w:pPr>
              <w:pStyle w:val="Compact"/>
            </w:pPr>
            <w:r>
              <w:t xml:space="preserve">Ganti menjadi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Alasan memilih Modified Waterfall di lingkungan BPS</w:t>
            </w:r>
          </w:p>
        </w:tc>
        <w:tc>
          <w:tcPr/>
          <w:p>
            <w:pPr>
              <w:pStyle w:val="Compact"/>
            </w:pPr>
            <w:r>
              <w:t xml:space="preserve">[11]</w:t>
            </w:r>
          </w:p>
        </w:tc>
        <w:tc>
          <w:tcPr/>
          <w:p>
            <w:pPr>
              <w:pStyle w:val="Compact"/>
            </w:pPr>
            <w:r>
              <w:t xml:space="preserve">(Fajar &amp; Maghfiroh, 2024)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Analisis kebutuhan yang matang di awal / prinsip</w:t>
            </w:r>
            <w:r>
              <w:t xml:space="preserve"> </w:t>
            </w:r>
            <w:r>
              <w:rPr>
                <w:i/>
                <w:iCs/>
              </w:rPr>
              <w:t xml:space="preserve">Rapid Development</w:t>
            </w:r>
          </w:p>
        </w:tc>
        <w:tc>
          <w:tcPr/>
          <w:p>
            <w:pPr>
              <w:pStyle w:val="Compact"/>
            </w:pPr>
            <w:r>
              <w:t xml:space="preserve">[18]</w:t>
            </w:r>
          </w:p>
        </w:tc>
        <w:tc>
          <w:tcPr/>
          <w:p>
            <w:pPr>
              <w:pStyle w:val="Compact"/>
            </w:pPr>
            <w:r>
              <w:t xml:space="preserve">(McConnell, 1996)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Umpan balik antar tahap pada Waterfall yang dimodifikasi</w:t>
            </w:r>
          </w:p>
        </w:tc>
        <w:tc>
          <w:tcPr/>
          <w:p>
            <w:pPr>
              <w:pStyle w:val="Compact"/>
            </w:pPr>
            <w:r>
              <w:t xml:space="preserve">[19]</w:t>
            </w:r>
          </w:p>
        </w:tc>
        <w:tc>
          <w:tcPr/>
          <w:p>
            <w:pPr>
              <w:pStyle w:val="Compact"/>
            </w:pPr>
            <w:r>
              <w:t xml:space="preserve">(Munassar &amp; Govardhan, 2010)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Efektivitas model SDLC</w:t>
            </w:r>
          </w:p>
        </w:tc>
        <w:tc>
          <w:tcPr/>
          <w:p>
            <w:pPr>
              <w:pStyle w:val="Compact"/>
            </w:pPr>
            <w:r>
              <w:t xml:space="preserve">[20], [21]</w:t>
            </w:r>
          </w:p>
        </w:tc>
        <w:tc>
          <w:tcPr/>
          <w:p>
            <w:pPr>
              <w:pStyle w:val="Compact"/>
            </w:pPr>
            <w:r>
              <w:t xml:space="preserve">(Liou &amp; Duclervil, 2020; Hossain, 2023)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Perumusan metrik evaluasi mitra</w:t>
            </w:r>
          </w:p>
        </w:tc>
        <w:tc>
          <w:tcPr/>
          <w:p>
            <w:pPr>
              <w:pStyle w:val="Compact"/>
            </w:pPr>
            <w:r>
              <w:t xml:space="preserve">[22]</w:t>
            </w:r>
          </w:p>
        </w:tc>
        <w:tc>
          <w:tcPr/>
          <w:p>
            <w:pPr>
              <w:pStyle w:val="Compact"/>
            </w:pPr>
            <w:r>
              <w:t xml:space="preserve">(Zahara dkk., 2022) — baca dulu catatan 4.c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Pemodelan UML</w:t>
            </w:r>
          </w:p>
        </w:tc>
        <w:tc>
          <w:tcPr/>
          <w:p>
            <w:pPr>
              <w:pStyle w:val="Compact"/>
            </w:pPr>
            <w:r>
              <w:t xml:space="preserve">[23], [24]</w:t>
            </w:r>
          </w:p>
        </w:tc>
        <w:tc>
          <w:tcPr/>
          <w:p>
            <w:pPr>
              <w:pStyle w:val="Compact"/>
            </w:pPr>
            <w:r>
              <w:t xml:space="preserve">(Booch dkk., 2005; Suendri,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Perancangan ERD</w:t>
            </w:r>
          </w:p>
        </w:tc>
        <w:tc>
          <w:tcPr/>
          <w:p>
            <w:pPr>
              <w:pStyle w:val="Compact"/>
            </w:pPr>
            <w:r>
              <w:t xml:space="preserve">[25]</w:t>
            </w:r>
          </w:p>
        </w:tc>
        <w:tc>
          <w:tcPr/>
          <w:p>
            <w:pPr>
              <w:pStyle w:val="Compact"/>
            </w:pPr>
            <w:r>
              <w:t xml:space="preserve">(Chen, 1976)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Pengujian</w:t>
            </w:r>
            <w:r>
              <w:t xml:space="preserve"> </w:t>
            </w:r>
            <w:r>
              <w:rPr>
                <w:i/>
                <w:iCs/>
              </w:rPr>
              <w:t xml:space="preserve">black box</w:t>
            </w:r>
          </w:p>
        </w:tc>
        <w:tc>
          <w:tcPr/>
          <w:p>
            <w:pPr>
              <w:pStyle w:val="Compact"/>
            </w:pPr>
            <w:r>
              <w:t xml:space="preserve">[26]</w:t>
            </w:r>
          </w:p>
        </w:tc>
        <w:tc>
          <w:tcPr/>
          <w:p>
            <w:pPr>
              <w:pStyle w:val="Compact"/>
            </w:pPr>
            <w:r>
              <w:t xml:space="preserve">(Nidhra &amp; Dondeti, 2012)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Pengujian keamanan / eskalasi hak akses</w:t>
            </w:r>
          </w:p>
        </w:tc>
        <w:tc>
          <w:tcPr/>
          <w:p>
            <w:pPr>
              <w:pStyle w:val="Compact"/>
            </w:pPr>
            <w:r>
              <w:t xml:space="preserve">[27]</w:t>
            </w:r>
          </w:p>
        </w:tc>
        <w:tc>
          <w:tcPr/>
          <w:p>
            <w:pPr>
              <w:pStyle w:val="Compact"/>
            </w:pPr>
            <w:r>
              <w:t xml:space="preserve">(Stallings &amp; Brown, 2018)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Kuesioner CSUQ</w:t>
            </w:r>
          </w:p>
        </w:tc>
        <w:tc>
          <w:tcPr/>
          <w:p>
            <w:pPr>
              <w:pStyle w:val="Compact"/>
            </w:pPr>
            <w:r>
              <w:t xml:space="preserve">[28]</w:t>
            </w:r>
          </w:p>
        </w:tc>
        <w:tc>
          <w:tcPr/>
          <w:p>
            <w:pPr>
              <w:pStyle w:val="Compact"/>
            </w:pPr>
            <w:r>
              <w:t xml:space="preserve">(Lewis, 1995)</w:t>
            </w:r>
          </w:p>
        </w:tc>
      </w:tr>
    </w:tbl>
    <w:p>
      <w:pPr>
        <w:pStyle w:val="BodyText"/>
      </w:pPr>
      <w:r>
        <w:rPr>
          <w:b/>
          <w:bCs/>
        </w:rPr>
        <w:t xml:space="preserve">Cara menulis dua rujukan sekaligus dalam APA:</w:t>
      </w:r>
      <w:r>
        <w:t xml:space="preserve"> </w:t>
      </w:r>
      <w:r>
        <w:t xml:space="preserve">dipisahkan titik koma di dalam</w:t>
      </w:r>
      <w:r>
        <w:t xml:space="preserve"> </w:t>
      </w:r>
      <w:r>
        <w:t xml:space="preserve">satu kurung, diurutkan menurut abjad —</w:t>
      </w:r>
      <w:r>
        <w:t xml:space="preserve"> </w:t>
      </w:r>
      <w:r>
        <w:rPr>
          <w:rStyle w:val="VerbatimChar"/>
        </w:rPr>
        <w:t xml:space="preserve">(Hossain, 2023; Liou &amp; Duclervil, 2020)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9005041e147a590d3f4365abc38256680defd56"/>
    <w:p>
      <w:pPr>
        <w:pStyle w:val="Heading2"/>
      </w:pPr>
      <w:r>
        <w:t xml:space="preserve">6. Langkah pengerjaan yang disarankan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Pastikan gaya sitasinya dulu</w:t>
      </w:r>
      <w:r>
        <w:t xml:space="preserve"> </w:t>
      </w:r>
      <w:r>
        <w:t xml:space="preserve">ke pembimbing (APA 7 atau IEEE). Jangan</w:t>
      </w:r>
      <w:r>
        <w:t xml:space="preserve"> </w:t>
      </w:r>
      <w:r>
        <w:t xml:space="preserve">mengonversi 28 rujukan sebelum ini pasti.</w:t>
      </w:r>
    </w:p>
    <w:p>
      <w:pPr>
        <w:pStyle w:val="Compact"/>
        <w:numPr>
          <w:ilvl w:val="0"/>
          <w:numId w:val="1002"/>
        </w:numPr>
      </w:pPr>
      <w:r>
        <w:t xml:space="preserve">Bila APA: ganti setiap</w:t>
      </w:r>
      <w:r>
        <w:t xml:space="preserve"> </w:t>
      </w:r>
      <w:r>
        <w:rPr>
          <w:rStyle w:val="VerbatimChar"/>
        </w:rPr>
        <w:t xml:space="preserve">[n]</w:t>
      </w:r>
      <w:r>
        <w:t xml:space="preserve"> </w:t>
      </w:r>
      <w:r>
        <w:t xml:space="preserve">di naskah memakai kolom "Sitasi dalam teks" pada</w:t>
      </w:r>
      <w:r>
        <w:t xml:space="preserve"> </w:t>
      </w:r>
      <w:r>
        <w:t xml:space="preserve">tabel bagian 2. Kerjakan per bab agar tidak ada yang terlewat, dan pakai fitur</w:t>
      </w:r>
      <w:r>
        <w:t xml:space="preserve"> </w:t>
      </w:r>
      <w:r>
        <w:rPr>
          <w:i/>
          <w:iCs/>
        </w:rPr>
        <w:t xml:space="preserve">Find</w:t>
      </w:r>
      <w:r>
        <w:t xml:space="preserve"> </w:t>
      </w:r>
      <w:r>
        <w:t xml:space="preserve">di Word dengan mengetik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untuk menemukan sisa angka yang belum</w:t>
      </w:r>
      <w:r>
        <w:t xml:space="preserve"> </w:t>
      </w:r>
      <w:r>
        <w:t xml:space="preserve">terganti.</w:t>
      </w:r>
    </w:p>
    <w:p>
      <w:pPr>
        <w:pStyle w:val="Compact"/>
        <w:numPr>
          <w:ilvl w:val="0"/>
          <w:numId w:val="1002"/>
        </w:numPr>
      </w:pPr>
      <w:r>
        <w:t xml:space="preserve">Susun ulang halaman Daftar Pustaka menurut abjad memakai kolom "Entri daftar</w:t>
      </w:r>
      <w:r>
        <w:t xml:space="preserve"> </w:t>
      </w:r>
      <w:r>
        <w:t xml:space="preserve">pustaka".</w:t>
      </w:r>
    </w:p>
    <w:p>
      <w:pPr>
        <w:pStyle w:val="Compact"/>
        <w:numPr>
          <w:ilvl w:val="0"/>
          <w:numId w:val="1002"/>
        </w:numPr>
      </w:pPr>
      <w:r>
        <w:t xml:space="preserve">Tambahkan enam rujukan pada bagian 3 (minimal butir a, d, dan e — ketiganya</w:t>
      </w:r>
      <w:r>
        <w:t xml:space="preserve"> </w:t>
      </w:r>
      <w:r>
        <w:t xml:space="preserve">menutup catatan "belum ada rujukan" yang sudah saya tandai di draf Bab II).</w:t>
      </w:r>
    </w:p>
    <w:p>
      <w:pPr>
        <w:pStyle w:val="Compact"/>
        <w:numPr>
          <w:ilvl w:val="0"/>
          <w:numId w:val="1002"/>
        </w:numPr>
      </w:pPr>
      <w:r>
        <w:t xml:space="preserve">Periksa tiga rujukan pada bagian 4, terutama angka 26,85% pada rujukan [15].</w:t>
      </w:r>
    </w:p>
    <w:p>
      <w:pPr>
        <w:pStyle w:val="Compact"/>
        <w:numPr>
          <w:ilvl w:val="0"/>
          <w:numId w:val="1002"/>
        </w:numPr>
      </w:pPr>
      <w:r>
        <w:t xml:space="preserve">Hitung ulang jumlah akhir daftar pustaka dan sesuaikan bila pedoman Anda</w:t>
      </w:r>
      <w:r>
        <w:t xml:space="preserve"> </w:t>
      </w:r>
      <w:r>
        <w:t xml:space="preserve">mensyaratkan jumlah minimum rujukan atau proporsi rujukan lima tahun terakhir.</w:t>
      </w:r>
    </w:p>
    <w:p>
      <w:pPr>
        <w:pStyle w:val="BlockText"/>
      </w:pPr>
      <w:r>
        <w:rPr>
          <w:b/>
          <w:bCs/>
        </w:rPr>
        <w:t xml:space="preserve">Pemeriksaan proporsi kemutakhiran:</w:t>
      </w:r>
      <w:r>
        <w:t xml:space="preserve"> </w:t>
      </w:r>
      <w:r>
        <w:t xml:space="preserve">dari 28 rujukan lama, sebagian besar terbit</w:t>
      </w:r>
      <w:r>
        <w:t xml:space="preserve"> </w:t>
      </w:r>
      <w:r>
        <w:t xml:space="preserve">2018–2025, tetapi ada beberapa rujukan lawas yang memang wajar dipertahankan</w:t>
      </w:r>
      <w:r>
        <w:t xml:space="preserve"> </w:t>
      </w:r>
      <w:r>
        <w:t xml:space="preserve">karena merupakan sumber asli sebuah konsep: Chen (1976) untuk ERD, Lewis (1995)</w:t>
      </w:r>
      <w:r>
        <w:t xml:space="preserve"> </w:t>
      </w:r>
      <w:r>
        <w:t xml:space="preserve">untuk CSUQ, McConnell (1996) untuk Rapid Development, Booch dkk. (2005) untuk UML,</w:t>
      </w:r>
      <w:r>
        <w:t xml:space="preserve"> </w:t>
      </w:r>
      <w:r>
        <w:t xml:space="preserve">Biemer (2010), dan Munassar &amp; Govardhan (2010). Bila penguji mempertanyakan</w:t>
      </w:r>
      <w:r>
        <w:t xml:space="preserve"> </w:t>
      </w:r>
      <w:r>
        <w:t xml:space="preserve">kemutakhiran, jawabannya: rujukan itu adalah sumber primer konsep yang dipakai,</w:t>
      </w:r>
      <w:r>
        <w:t xml:space="preserve"> </w:t>
      </w:r>
      <w:r>
        <w:t xml:space="preserve">bukan sumber yang sudah usang.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eveloper.chrome.com/docs/lighthouse/performance/performance-scor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eveloper.chrome.com/docs/lighthouse/performance/performance-scor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2026-09-21T20:00:41Z</dcterms:created>
  <dcterms:modified xsi:type="dcterms:W3CDTF">2026-09-21T20:00:41Z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