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56c734046347822477a6b4352fcc04346dc420"/>
      <w:r>
        <w:t xml:space="preserve">ZenThera IO: Executive Stakeholder Overview</w:t>
      </w:r>
      <w:bookmarkEnd w:id="20"/>
    </w:p>
    <w:p>
      <w:pPr>
        <w:pStyle w:val="Heading2"/>
      </w:pPr>
      <w:bookmarkStart w:id="21" w:name="ai-ethics-governance-platform"/>
      <w:r>
        <w:t xml:space="preserve">AI Ethics &amp; Governance Platform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1. EXECUTIVE SUMMARY</w:t>
      </w:r>
      <w:bookmarkEnd w:id="22"/>
    </w:p>
    <w:p>
      <w:pPr>
        <w:pStyle w:val="FirstParagraph"/>
      </w:pPr>
      <w:r>
        <w:rPr>
          <w:b/>
        </w:rPr>
        <w:t xml:space="preserve">ZenThera IO</w:t>
      </w:r>
      <w:r>
        <w:t xml:space="preserve"> </w:t>
      </w:r>
      <w:r>
        <w:t xml:space="preserve">is an enterprise-grade AI Ethics &amp; Governance platform designed to ensure that artificial intelligence systems operate safely, transparently, and in full compliance with emerging global regulations.</w:t>
      </w:r>
    </w:p>
    <w:p>
      <w:pPr>
        <w:pStyle w:val="BodyText"/>
      </w:pPr>
      <w:r>
        <w:t xml:space="preserve">As organizations rapidly adopt Large Language Models (LLMs) and other AI technologies, they face unprecedented risks: reputational damage from AI hallucinations, user churn due to poor AI interactions, and severe financial penalties for non-compliance with frameworks like the EU AI Act.</w:t>
      </w:r>
    </w:p>
    <w:p>
      <w:pPr>
        <w:pStyle w:val="BodyText"/>
      </w:pPr>
      <w:r>
        <w:t xml:space="preserve">ZenThera solves these challenges through a</w:t>
      </w:r>
      <w:r>
        <w:t xml:space="preserve"> </w:t>
      </w:r>
      <w:r>
        <w:rPr>
          <w:b/>
        </w:rPr>
        <w:t xml:space="preserve">non-invasive, shadow-monitoring architecture</w:t>
      </w:r>
      <w:r>
        <w:t xml:space="preserve"> </w:t>
      </w:r>
      <w:r>
        <w:t xml:space="preserve">that provides real-time observability, user friction analysis, and automated regulatory compliance—without requiring access to the underlying model weights or disrupting the primary user experience.</w:t>
      </w:r>
    </w:p>
    <w:p>
      <w:pPr>
        <w:pStyle w:val="Heading3"/>
      </w:pPr>
      <w:bookmarkStart w:id="23" w:name="the-zenthera-advantage"/>
      <w:r>
        <w:t xml:space="preserve">The ZenThera Advantage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Zero-Friction Integration</w:t>
      </w:r>
      <w:r>
        <w:t xml:space="preserve">: Operates asynchronously via lightweight SDKs or shadow proxies.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Privacy-First</w:t>
      </w:r>
      <w:r>
        <w:t xml:space="preserve">: Hashes PII and monitors passively without exposing sensitive training data.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Future-Proof Compliance</w:t>
      </w:r>
      <w:r>
        <w:t xml:space="preserve">: Automatically maps system behavior to the EU AI Act, US NIST AI RMF, and ISO/IEC 42001.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Actionable Insights</w:t>
      </w:r>
      <w:r>
        <w:t xml:space="preserve">: Translates complex AI behaviors into clear business metrics and alerts.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ore-capabilities"/>
      <w:r>
        <w:t xml:space="preserve">2. CORE CAPABILITIES</w:t>
      </w:r>
      <w:bookmarkEnd w:id="24"/>
    </w:p>
    <w:p>
      <w:pPr>
        <w:pStyle w:val="FirstParagraph"/>
      </w:pPr>
      <w:r>
        <w:t xml:space="preserve">ZenThera is built on three foundational pillars, each addressing a critical aspect of AI deployment and governance.</w:t>
      </w:r>
    </w:p>
    <w:p>
      <w:pPr>
        <w:pStyle w:val="Heading3"/>
      </w:pPr>
      <w:bookmarkStart w:id="25" w:name="pillar-1-llm-observability-engine"/>
      <w:r>
        <w:t xml:space="preserve">Pillar 1: LLM Observability Engine</w:t>
      </w:r>
      <w:bookmarkEnd w:id="25"/>
    </w:p>
    <w:p>
      <w:pPr>
        <w:pStyle w:val="FirstParagraph"/>
      </w:pPr>
      <w:r>
        <w:rPr>
          <w:i/>
        </w:rPr>
        <w:t xml:space="preserve">Ensuring AI Output Quality and Reliability</w:t>
      </w:r>
    </w:p>
    <w:p>
      <w:pPr>
        <w:pStyle w:val="BodyText"/>
      </w:pPr>
      <w:r>
        <w:t xml:space="preserve">The Observability Engine acts as a continuous quality assurance system for your AI applications. It monitors every interaction between users and the AI to detect anomalies before they escalate.</w:t>
      </w:r>
    </w:p>
    <w:p>
      <w:pPr>
        <w:pStyle w:val="BodyText"/>
      </w:pPr>
      <w:r>
        <w:rPr>
          <w:b/>
        </w:rPr>
        <w:t xml:space="preserve">Key Business 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Risk Mitigation</w:t>
      </w:r>
      <w:r>
        <w:t xml:space="preserve">: Automatically detects and flags AI</w:t>
      </w:r>
      <w:r>
        <w:t xml:space="preserve"> </w:t>
      </w:r>
      <w:r>
        <w:t xml:space="preserve">“</w:t>
      </w:r>
      <w:r>
        <w:t xml:space="preserve">hallucinations</w:t>
      </w:r>
      <w:r>
        <w:t xml:space="preserve">”</w:t>
      </w:r>
      <w:r>
        <w:t xml:space="preserve"> </w:t>
      </w:r>
      <w:r>
        <w:t xml:space="preserve">(factually incorrect statements) and contradictions, preventing the dissemination of false information.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Brand Protection</w:t>
      </w:r>
      <w:r>
        <w:t xml:space="preserve">: Identifies ambiguous or evasive AI responses that could frustrate users or damage brand trust.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Cost &amp; Performance Optimization</w:t>
      </w:r>
      <w:r>
        <w:t xml:space="preserve">: Tracks API latency, token usage, and timeout rates to ensure optimal performance and manage operational costs.</w:t>
      </w:r>
    </w:p>
    <w:p>
      <w:pPr>
        <w:pStyle w:val="Heading3"/>
      </w:pPr>
      <w:bookmarkStart w:id="26" w:name="pillar-2-user-behavior-friction-analysis"/>
      <w:r>
        <w:t xml:space="preserve">Pillar 2: User Behavior &amp; Friction Analysis</w:t>
      </w:r>
      <w:bookmarkEnd w:id="26"/>
    </w:p>
    <w:p>
      <w:pPr>
        <w:pStyle w:val="FirstParagraph"/>
      </w:pPr>
      <w:r>
        <w:rPr>
          <w:i/>
        </w:rPr>
        <w:t xml:space="preserve">Understanding and Improving the AI User Experience</w:t>
      </w:r>
    </w:p>
    <w:p>
      <w:pPr>
        <w:pStyle w:val="BodyText"/>
      </w:pPr>
      <w:r>
        <w:t xml:space="preserve">This module bridges the gap between technical AI performance and actual user satisfaction. It analyzes how users interact with the AI to identify points of friction and systemic failures.</w:t>
      </w:r>
    </w:p>
    <w:p>
      <w:pPr>
        <w:pStyle w:val="BodyText"/>
      </w:pPr>
      <w:r>
        <w:rPr>
          <w:b/>
        </w:rPr>
        <w:t xml:space="preserve">Key Business 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Churn Prevention</w:t>
      </w:r>
      <w:r>
        <w:t xml:space="preserve">: Detects</w:t>
      </w:r>
      <w:r>
        <w:t xml:space="preserve"> </w:t>
      </w:r>
      <w:r>
        <w:t xml:space="preserve">“</w:t>
      </w:r>
      <w:r>
        <w:t xml:space="preserve">reprompt loops</w:t>
      </w:r>
      <w:r>
        <w:t xml:space="preserve">”</w:t>
      </w:r>
      <w:r>
        <w:t xml:space="preserve"> </w:t>
      </w:r>
      <w:r>
        <w:t xml:space="preserve">(users repeatedly asking the same question) and session abandonment, allowing product teams to optimize the user journey.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Real-Time Incident Response</w:t>
      </w:r>
      <w:r>
        <w:t xml:space="preserve">: The integrated Failure Detection &amp; Alert System instantly notifies operations teams (via Slack, PagerDuty, etc.) when error rates spike or negative user feedback surges.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UX Optimization</w:t>
      </w:r>
      <w:r>
        <w:t xml:space="preserve">: Generates visual heatmaps and sentiment analysis to guide prompt engineering and interface improvements.</w:t>
      </w:r>
    </w:p>
    <w:p>
      <w:pPr>
        <w:pStyle w:val="Heading3"/>
      </w:pPr>
      <w:bookmarkStart w:id="27" w:name="pillar-3-ai-ethics-regulatory-compliance"/>
      <w:r>
        <w:t xml:space="preserve">Pillar 3: AI Ethics &amp; Regulatory Compliance</w:t>
      </w:r>
      <w:bookmarkEnd w:id="27"/>
    </w:p>
    <w:p>
      <w:pPr>
        <w:pStyle w:val="FirstParagraph"/>
      </w:pPr>
      <w:r>
        <w:rPr>
          <w:i/>
        </w:rPr>
        <w:t xml:space="preserve">Automating Governance and Legal Alignment</w:t>
      </w:r>
    </w:p>
    <w:p>
      <w:pPr>
        <w:pStyle w:val="BodyText"/>
      </w:pPr>
      <w:r>
        <w:t xml:space="preserve">Powered by the proprietary POLARIS-X algorithm, this module translates complex legal frameworks into verifiable technical rules, ensuring your AI systems remain compliant across multiple jurisdictions.</w:t>
      </w:r>
    </w:p>
    <w:p>
      <w:pPr>
        <w:pStyle w:val="BodyText"/>
      </w:pPr>
      <w:r>
        <w:rPr>
          <w:b/>
        </w:rPr>
        <w:t xml:space="preserve">Key Business 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Automated Compliance</w:t>
      </w:r>
      <w:r>
        <w:t xml:space="preserve">: Continuously checks AI behavior against the EU AI Act, US NIST AI RMF, and ISO 42001 standards.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Liability Reduction</w:t>
      </w:r>
      <w:r>
        <w:t xml:space="preserve">: Detects toxicity, bias, and unsafe outputs using multi-layered fallback models, preventing harmful content generation.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Audit Readiness</w:t>
      </w:r>
      <w:r>
        <w:t xml:space="preserve">: Maintains an immutable audit trail of all AI decisions, compliance checklists, and human oversight actions, ready for regulatory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rchitecture-integration"/>
      <w:r>
        <w:t xml:space="preserve">3. ARCHITECTURE &amp; INTEGRATION</w:t>
      </w:r>
      <w:bookmarkEnd w:id="28"/>
    </w:p>
    <w:p>
      <w:pPr>
        <w:pStyle w:val="FirstParagraph"/>
      </w:pPr>
      <w:r>
        <w:t xml:space="preserve">ZenThera is designed for enterprise IT environments, prioritizing security, scalability, and ease of adoption.</w:t>
      </w:r>
    </w:p>
    <w:p>
      <w:pPr>
        <w:pStyle w:val="Heading3"/>
      </w:pPr>
      <w:bookmarkStart w:id="29" w:name="non-invasive-deployment"/>
      <w:r>
        <w:t xml:space="preserve">Non-Invasive Deployment</w:t>
      </w:r>
      <w:bookmarkEnd w:id="29"/>
    </w:p>
    <w:p>
      <w:pPr>
        <w:pStyle w:val="FirstParagraph"/>
      </w:pPr>
      <w:r>
        <w:t xml:space="preserve">Unlike traditional monitoring tools that sit directly in the critical path, ZenThera operates out-of-band. It supports three flexible integration methods: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Lightweight SDK</w:t>
      </w:r>
      <w:r>
        <w:t xml:space="preserve">: A simple wrapper around existing AI client libraries (e.g., OpenAI SDK).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Shadow Proxy</w:t>
      </w:r>
      <w:r>
        <w:t xml:space="preserve">: A reverse proxy that forwards requests while asynchronously logging data.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Webhooks</w:t>
      </w:r>
      <w:r>
        <w:t xml:space="preserve">: Post-execution data ingestion for highly restricted environments.</w:t>
      </w:r>
    </w:p>
    <w:p>
      <w:pPr>
        <w:pStyle w:val="Heading3"/>
      </w:pPr>
      <w:bookmarkStart w:id="30" w:name="security-data-privacy"/>
      <w:r>
        <w:t xml:space="preserve">Security &amp; Data Privacy</w:t>
      </w:r>
      <w:bookmarkEnd w:id="3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Data Minimization</w:t>
      </w:r>
      <w:r>
        <w:t xml:space="preserve">: PII (Personally Identifiable Information) is hashed or redacted at the edge before reaching ZenThera servers.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Enterprise Infrastructure</w:t>
      </w:r>
      <w:r>
        <w:t xml:space="preserve">: Built on a robust stack utilizing PostgreSQL for metadata and TimescaleDB/ClickHouse for high-volume time-series data.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Deployment Flexibility</w:t>
      </w:r>
      <w:r>
        <w:t xml:space="preserve">: Available as a secure SaaS or deployable within a customer’s own Virtual Private Cloud (VPC) via Kubernetes.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target-audience-roi"/>
      <w:r>
        <w:t xml:space="preserve">4. TARGET AUDIENCE &amp; ROI</w:t>
      </w:r>
      <w:bookmarkEnd w:id="31"/>
    </w:p>
    <w:p>
      <w:pPr>
        <w:pStyle w:val="FirstParagraph"/>
      </w:pPr>
      <w:r>
        <w:t xml:space="preserve">ZenThera provides tailored value across the organization:</w:t>
      </w:r>
    </w:p>
    <w:tbl>
      <w:tblPr>
        <w:tblStyle w:val="Table"/>
        <w:tblW w:type="pct" w:w="5000.0"/>
        <w:tblLook w:firstRow="1"/>
      </w:tblPr>
      <w:tblGrid>
        <w:gridCol w:w="1584"/>
        <w:gridCol w:w="2315"/>
        <w:gridCol w:w="2315"/>
        <w:gridCol w:w="17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Challenge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ZenThera Solution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ROI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Chief Risk/Compliance Officer</w:t>
            </w:r>
          </w:p>
        </w:tc>
        <w:tc>
          <w:p>
            <w:pPr>
              <w:pStyle w:val="Compact"/>
              <w:jc w:val="left"/>
            </w:pPr>
            <w:r>
              <w:t xml:space="preserve">Navigating complex, evolving AI regulations (EU AI Act)</w:t>
            </w:r>
          </w:p>
        </w:tc>
        <w:tc>
          <w:p>
            <w:pPr>
              <w:pStyle w:val="Compact"/>
              <w:jc w:val="left"/>
            </w:pPr>
            <w:r>
              <w:t xml:space="preserve">Automated compliance mapping, audit trails, and bias detection</w:t>
            </w:r>
          </w:p>
        </w:tc>
        <w:tc>
          <w:p>
            <w:pPr>
              <w:pStyle w:val="Compact"/>
              <w:jc w:val="left"/>
            </w:pPr>
            <w:r>
              <w:t xml:space="preserve">Avoidance of regulatory fines (up to 7% of global revenue under EU AI Act)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 Managers</w:t>
            </w:r>
          </w:p>
        </w:tc>
        <w:tc>
          <w:p>
            <w:pPr>
              <w:pStyle w:val="Compact"/>
              <w:jc w:val="left"/>
            </w:pPr>
            <w:r>
              <w:t xml:space="preserve">High user churn due to poor AI interactions</w:t>
            </w:r>
          </w:p>
        </w:tc>
        <w:tc>
          <w:p>
            <w:pPr>
              <w:pStyle w:val="Compact"/>
              <w:jc w:val="left"/>
            </w:pPr>
            <w:r>
              <w:t xml:space="preserve">Friction analysis, reprompt loop detection, and UX heatmaps</w:t>
            </w:r>
          </w:p>
        </w:tc>
        <w:tc>
          <w:p>
            <w:pPr>
              <w:pStyle w:val="Compact"/>
              <w:jc w:val="left"/>
            </w:pPr>
            <w:r>
              <w:t xml:space="preserve">Increased user retention and higher feature adoption rates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Engineering / DevOps</w:t>
            </w:r>
          </w:p>
        </w:tc>
        <w:tc>
          <w:p>
            <w:pPr>
              <w:pStyle w:val="Compact"/>
              <w:jc w:val="left"/>
            </w:pPr>
            <w:r>
              <w:t xml:space="preserve">Silent AI failures and unpredictable API costs</w:t>
            </w:r>
          </w:p>
        </w:tc>
        <w:tc>
          <w:p>
            <w:pPr>
              <w:pStyle w:val="Compact"/>
              <w:jc w:val="left"/>
            </w:pPr>
            <w:r>
              <w:t xml:space="preserve">Real-time alerting, latency tracking, and token usage monitoring</w:t>
            </w:r>
          </w:p>
        </w:tc>
        <w:tc>
          <w:p>
            <w:pPr>
              <w:pStyle w:val="Compact"/>
              <w:jc w:val="left"/>
            </w:pPr>
            <w:r>
              <w:t xml:space="preserve">Reduced Mean Time to Resolution (MTTR) for AI incidents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AI/ML Teams</w:t>
            </w:r>
          </w:p>
        </w:tc>
        <w:tc>
          <w:p>
            <w:pPr>
              <w:pStyle w:val="Compact"/>
              <w:jc w:val="left"/>
            </w:pPr>
            <w:r>
              <w:t xml:space="preserve">Lack of visibility into production model performance</w:t>
            </w:r>
          </w:p>
        </w:tc>
        <w:tc>
          <w:p>
            <w:pPr>
              <w:pStyle w:val="Compact"/>
              <w:jc w:val="left"/>
            </w:pPr>
            <w:r>
              <w:t xml:space="preserve">Hallucination detection and prompt effectiveness analytics</w:t>
            </w:r>
          </w:p>
        </w:tc>
        <w:tc>
          <w:p>
            <w:pPr>
              <w:pStyle w:val="Compact"/>
              <w:jc w:val="left"/>
            </w:pPr>
            <w:r>
              <w:t xml:space="preserve">Faster iteration cycles for prompt engineering and model fine-tuning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trategic-roadmap"/>
      <w:r>
        <w:t xml:space="preserve">5. STRATEGIC ROADMAP</w:t>
      </w:r>
      <w:bookmarkEnd w:id="32"/>
    </w:p>
    <w:p>
      <w:pPr>
        <w:pStyle w:val="FirstParagraph"/>
      </w:pPr>
      <w:r>
        <w:t xml:space="preserve">ZenThera is currently executing an accelerated development roadmap focused on delivering Core Compliance (Features 1-7) by December 2025. This timeline is strategically aligned with the enforcement phases of the EU AI Act, ensuring that early adopters are fully compliant ahead of regulatory deadlines.</w:t>
      </w:r>
    </w:p>
    <w:p>
      <w:pPr>
        <w:pStyle w:val="BodyText"/>
      </w:pPr>
      <w:r>
        <w:rPr>
          <w:b/>
        </w:rPr>
        <w:t xml:space="preserve">Current Status:</w:t>
      </w:r>
      <w:r>
        <w:t xml:space="preserve"> </w:t>
      </w:r>
      <w:r>
        <w:t xml:space="preserve">Final Product Specification Phase</w:t>
      </w:r>
      <w:r>
        <w:t xml:space="preserve"> </w:t>
      </w:r>
      <w:r>
        <w:rPr>
          <w:b/>
        </w:rPr>
        <w:t xml:space="preserve">Next Milestone:</w:t>
      </w:r>
      <w:r>
        <w:t xml:space="preserve"> </w:t>
      </w:r>
      <w:r>
        <w:t xml:space="preserve">Enterprise Beta Deployment</w:t>
      </w:r>
      <w:r>
        <w:t xml:space="preserve"> </w:t>
      </w:r>
      <w:r>
        <w:rPr>
          <w:b/>
        </w:rPr>
        <w:t xml:space="preserve">Long-Term Vision:</w:t>
      </w:r>
      <w:r>
        <w:t xml:space="preserve"> </w:t>
      </w:r>
      <w:r>
        <w:t xml:space="preserve">Establishing ZenThera as the definitive standard for AI Ethics &amp; Governance, expanding beyond LLMs to cover all enterprise AI 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ZenThera IO: Building Trust in the Age of Artificial Intelligence.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2026-03-16T21:05:51Z</dcterms:created>
  <dcterms:modified xsi:type="dcterms:W3CDTF">2026-03-16T21:05:51Z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