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3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 :</w:t>
      </w:r>
    </w:p>
    <w:p>
      <w:pPr>
        <w:spacing w:after="3500"/>
        <w:jc w:val="center"/>
      </w:pPr>
      <w:r>
        <w:rPr>
          <w:i w:val="on"/>
        </w:rPr>
        <w:t>DOCUMENT REFERENCE :
Devis1745245489626</w:t>
        <w:br/>
        <w:t>Edition :
null</w:t>
      </w:r>
    </w:p>
    <w:p>
      <w:pPr>
        <w:spacing w:before="200"/>
      </w:pPr>
      <w:r>
        <w:rPr>
          <w:b w:val="on"/>
          <w:i w:val="on"/>
          <w:color w:val="00B0F0"/>
          <w:sz w:val="24"/>
        </w:rPr>
        <w:t>ABSTRACT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rPr>
                <w:sz w:val="22"/>
              </w:rPr>
              <w:t>This document is a .... for the project "workpilot" during the period "2025-04-21". It covers ....".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  <w:tr>
        <w:tc>
          <w:p>
            <w:r>
              <w:t>Written by</w:t>
            </w:r>
          </w:p>
        </w:tc>
        <w:tc>
          <w:p>
            <w:r>
              <w:t>aymen Zouari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Verified by</w:t>
            </w:r>
          </w:p>
        </w:tc>
        <w:tc>
          <w:p>
            <w:r>
              <w:t>Yasmine Kharrat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2" name="Drawing 2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6"/>
          <w:color w:val="2F75B5"/>
        </w:rPr>
        <w:t>Proposal Summary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shd w:fill="D9E1F2"/>
          </w:tcPr>
          <w:p>
            <w:r>
              <w:t>Summary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Customer</w:t>
            </w:r>
          </w:p>
        </w:tc>
        <w:tc>
          <w:p>
            <w:r>
              <w:t xml:space="preserve">semi  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Project Type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Proposal validity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 workload</w:t>
            </w:r>
          </w:p>
        </w:tc>
        <w:tc>
          <w:p>
            <w:r>
              <w:t>260 Man/day</w:t>
            </w:r>
          </w:p>
        </w:tc>
      </w:tr>
      <w:tr>
        <w:tc>
          <w:p>
            <w:r>
              <w:t>Possible start date</w:t>
            </w:r>
          </w:p>
        </w:tc>
        <w:tc>
          <w:p>
            <w:r>
              <w:t>2025-05-01</w:t>
            </w:r>
          </w:p>
        </w:tc>
      </w:tr>
      <w:tr>
        <w:tc>
          <w:p>
            <w:r>
              <w:t>Estimated end date</w:t>
            </w:r>
          </w:p>
        </w:tc>
        <w:tc>
          <w:p>
            <w:r>
              <w:t>2025-08-01</w:t>
            </w:r>
          </w:p>
        </w:tc>
      </w:tr>
      <w:tr>
        <w:tc>
          <w:tcPr>
            <w:hMerge w:val="restart"/>
            <w:shd w:fill="D9E1F2"/>
          </w:tcPr>
          <w:p>
            <w:r>
              <w:t>TELNET Contact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Technical &amp; Project Management Aspects</w:t>
            </w:r>
          </w:p>
        </w:tc>
        <w:tc>
          <w:p>
            <w:r>
              <w:t/>
            </w:r>
          </w:p>
        </w:tc>
      </w:tr>
      <w:tr>
        <w:tc>
          <w:p>
            <w:r>
              <w:t>Organisational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Commercial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Quality Aspect</w:t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3" name="Drawing 3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jc w:val="center"/>
      </w:pPr>
      <w:r>
        <w:rPr>
          <w:b w:val="on"/>
          <w:i w:val="on"/>
          <w:sz w:val="28"/>
          <w:color w:val="2F75B5"/>
        </w:rPr>
        <w:t>Summary</w:t>
      </w:r>
    </w:p>
    <w:p>
      <w:fldSimple w:instr="TOC \o &quot;1-3&quot; \h \z \u" w:dirty="true"/>
      <w:r>
        <w:rPr>
          <w:sz w:val="24"/>
        </w:rPr>
        <w:t>Table of Contents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4" name="Drawing 4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1 History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BDD7EE"/>
          </w:tcPr>
          <w:p>
            <w:r>
              <w:t>Version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Modification description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Action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Date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Name</w:t>
            </w:r>
            <w:r>
              <w:rPr>
                <w:b w:val="on"/>
              </w:rPr>
            </w:r>
          </w:p>
        </w:tc>
      </w:tr>
      <w:tr>
        <w:tc>
          <w:tcPr>
            <w:vMerge w:val="restart"/>
          </w:tcPr>
          <w:p>
            <w:r>
              <w:t>01</w:t>
            </w:r>
          </w:p>
        </w:tc>
        <w:tc>
          <w:tcPr>
            <w:vMerge w:val="restart"/>
          </w:tcPr>
          <w:p>
            <w:r>
              <w:t>ijhgier</w:t>
            </w:r>
          </w:p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yasmine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Approved</w:t>
            </w:r>
          </w:p>
        </w:tc>
        <w:tc>
          <w:p>
            <w:r>
              <w:t>2025-04-25</w:t>
            </w:r>
          </w:p>
        </w:tc>
        <w:tc>
          <w:p>
            <w:r>
              <w:t>oeky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2025-04-24</w:t>
            </w:r>
          </w:p>
        </w:tc>
        <w:tc>
          <w:p>
            <w:r>
              <w:t>aymen</w:t>
            </w:r>
          </w:p>
        </w:tc>
      </w:tr>
      <w:tr>
        <w:tc>
          <w:tcPr>
            <w:vMerge w:val="restart"/>
          </w:tcPr>
          <w:p>
            <w:r>
              <w:t>02</w:t>
            </w:r>
          </w:p>
        </w:tc>
        <w:tc>
          <w:tcPr>
            <w:vMerge w:val="restart"/>
          </w:tcPr>
          <w:p>
            <w:r>
              <w:t>okii</w:t>
            </w:r>
          </w:p>
        </w:tc>
        <w:tc>
          <w:p>
            <w:r>
              <w:t>Approved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2025-04-23</w:t>
            </w:r>
          </w:p>
        </w:tc>
        <w:tc>
          <w:p>
            <w:r>
              <w:t>no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5" name="Drawing 5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2 Reference and applicable Documents</w:t>
      </w:r>
    </w:p>
    <w:p>
      <w:pPr>
        <w:pStyle w:val="Heading2"/>
      </w:pPr>
      <w:r>
        <w:rPr>
          <w:i w:val="on"/>
          <w:color w:val="2F75B5"/>
          <w:sz w:val="30"/>
        </w:rPr>
        <w:t>2.1 Applicable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>
            <w:r>
              <w:t>A01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A02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rPr>
          <w:i w:val="on"/>
          <w:color w:val="2F75B5"/>
          <w:sz w:val="30"/>
        </w:rPr>
        <w:t>2.2  Reference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6" name="Drawing 6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3 INTRODUCTION</w:t>
      </w:r>
    </w:p>
    <w:p>
      <w:pPr>
        <w:pStyle w:val="Heading2"/>
      </w:pPr>
      <w:r>
        <w:rPr>
          <w:i w:val="on"/>
          <w:color w:val="2F75B5"/>
          <w:sz w:val="30"/>
        </w:rPr>
        <w:t>3.1 TELNET Presentation</w:t>
      </w:r>
    </w:p>
    <w:p>
      <w:pPr>
        <w:pStyle w:val="Heading2"/>
      </w:pPr>
      <w:r>
        <w:rPr>
          <w:i w:val="on"/>
          <w:color w:val="2F75B5"/>
          <w:sz w:val="24"/>
        </w:rPr>
        <w:t>3.2 Project Scope</w:t>
      </w:r>
    </w:p>
    <w:p>
      <w:r>
        <w:rPr>
          <w:sz w:val="22"/>
        </w:rPr>
        <w:t>In the scope of this project, Telnet will provide, during all the defined project period:</w:t>
      </w:r>
    </w:p>
    <w:p>
      <w:pPr>
        <w:pStyle w:val="ListBullet"/>
      </w:pPr>
      <w:r>
        <w:rPr>
          <w:sz w:val="22"/>
        </w:rPr>
        <w:t>-----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7" name="Drawing 7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5
 FINANCIAL PROPOSAL</w:t>
      </w:r>
    </w:p>
    <w:p>
      <w:pPr>
        <w:pStyle w:val="Heading2"/>
      </w:pPr>
      <w:r>
        <w:rPr>
          <w:i w:val="on"/>
          <w:color w:val="2F75B5"/>
          <w:sz w:val="30"/>
        </w:rPr>
        <w:t>5.1	Details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(2)</w:t>
            </w:r>
          </w:p>
        </w:tc>
        <w:tc>
          <w:p>
            <w:r>
              <w:t>126</w:t>
            </w:r>
          </w:p>
        </w:tc>
        <w:tc>
          <w:p>
            <w:r>
              <w:t>350.00</w:t>
            </w:r>
          </w:p>
        </w:tc>
        <w:tc>
          <w:p>
            <w:r>
              <w:t>44100.00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pStyle w:val="Heading2"/>
      </w:pPr>
      <w:r>
        <w:rPr>
          <w:i w:val="on"/>
          <w:color w:val="2F75B5"/>
          <w:sz w:val="30"/>
        </w:rPr>
        <w:t>5.3	Invoicing</w:t>
      </w:r>
    </w:p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2025-06-21</w:t>
            </w:r>
          </w:p>
        </w:tc>
        <w:tc>
          <w:p>
            <w:r>
              <w:t>29400.00</w:t>
            </w:r>
          </w:p>
        </w:tc>
      </w:tr>
    </w:tbl>
    <w:p>
      <w:pPr>
        <w:pStyle w:val="Heading1"/>
      </w:pPr>
      <w:r>
        <w:rPr>
          <w:b w:val="on"/>
          <w:i w:val="on"/>
          <w:color w:val="2F75B5"/>
          <w:sz w:val="40"/>
        </w:rPr>
        <w:t>4
TECHNICAL PROPOSAL</w:t>
      </w:r>
    </w:p>
    <w:p>
      <w:pPr>
        <w:pStyle w:val="Heading2"/>
      </w:pPr>
      <w:r>
        <w:rPr>
          <w:i w:val="on"/>
          <w:color w:val="2F75B5"/>
          <w:sz w:val="30"/>
        </w:rPr>
        <w:t>4.1	Workload Estimation</w:t>
      </w:r>
    </w:p>
    <w:p>
      <w:pPr>
        <w:pStyle w:val="Heading2"/>
      </w:pPr>
      <w:r>
        <w:rPr>
          <w:i w:val="on"/>
          <w:color w:val="2F75B5"/>
          <w:sz w:val="30"/>
        </w:rPr>
        <w:t>4.1.1	Workload</w:t>
      </w:r>
    </w:p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 per Resource (Man/day)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  <w:tc>
          <w:tcPr>
            <w:shd w:fill="D9E1F2"/>
          </w:tcPr>
          <w:p>
            <w:r>
              <w:t>Number of Resources</w:t>
            </w:r>
          </w:p>
        </w:tc>
        <w:tc>
          <w:tcPr>
            <w:shd w:fill="D9E1F2"/>
          </w:tcPr>
          <w:p>
            <w:r>
              <w:t>Total Estimated Workload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JUN 2025</w:t>
            </w:r>
          </w:p>
        </w:tc>
        <w:tc>
          <w:p>
            <w:r>
              <w:t>21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JUL 2025</w:t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AUG 2025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2025-04-22T10:54:25Z</dcterms:created>
  <dc:creator>Apache POI</dc:creator>
</cp:coreProperties>
</file>