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15557" w14:textId="32D276B7" w:rsidR="00A43545" w:rsidRPr="00D93D1E" w:rsidRDefault="00221031" w:rsidP="00A43545">
      <w:pPr>
        <w:jc w:val="center"/>
        <w:rPr>
          <w:rFonts w:ascii="Times New Roman" w:hAnsi="Times New Roman" w:cs="Times New Roman"/>
          <w:color w:val="2E74B5" w:themeColor="accent5" w:themeShade="BF"/>
          <w:sz w:val="44"/>
          <w:szCs w:val="40"/>
        </w:rPr>
      </w:pPr>
      <w:r w:rsidRPr="00D93D1E">
        <w:rPr>
          <w:rFonts w:ascii="Times New Roman" w:hAnsi="Times New Roman" w:cs="Times New Roman"/>
          <w:color w:val="2E74B5" w:themeColor="accent5" w:themeShade="BF"/>
          <w:sz w:val="44"/>
          <w:szCs w:val="40"/>
        </w:rPr>
        <w:t xml:space="preserve">   </w:t>
      </w:r>
      <w:r w:rsidR="00F23CEC" w:rsidRPr="00D93D1E">
        <w:rPr>
          <w:rFonts w:ascii="Times New Roman" w:hAnsi="Times New Roman" w:cs="Times New Roman"/>
          <w:color w:val="2E74B5" w:themeColor="accent5" w:themeShade="BF"/>
          <w:sz w:val="44"/>
          <w:szCs w:val="40"/>
        </w:rPr>
        <w:t>Report</w:t>
      </w:r>
    </w:p>
    <w:p w14:paraId="4A349B86" w14:textId="0C441C1D" w:rsidR="00D93D1E" w:rsidRDefault="00D93D1E" w:rsidP="00D93D1E">
      <w:pPr>
        <w:jc w:val="both"/>
        <w:rPr>
          <w:rFonts w:ascii="Times New Roman" w:hAnsi="Times New Roman" w:cs="Times New Roman"/>
          <w:color w:val="171717" w:themeColor="background2" w:themeShade="1A"/>
          <w:sz w:val="32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28"/>
        </w:rPr>
        <w:t xml:space="preserve">Company: </w:t>
      </w:r>
      <w:r w:rsidRPr="00D93D1E">
        <w:rPr>
          <w:rFonts w:ascii="Times New Roman" w:hAnsi="Times New Roman" w:cs="Times New Roman"/>
          <w:b/>
          <w:bCs/>
          <w:color w:val="171717" w:themeColor="background2" w:themeShade="1A"/>
          <w:sz w:val="32"/>
          <w:szCs w:val="28"/>
        </w:rPr>
        <w:t>Freshco Hypermarket</w:t>
      </w:r>
      <w:r w:rsidRPr="00D93D1E">
        <w:rPr>
          <w:rFonts w:ascii="Times New Roman" w:hAnsi="Times New Roman" w:cs="Times New Roman"/>
          <w:color w:val="171717" w:themeColor="background2" w:themeShade="1A"/>
          <w:sz w:val="32"/>
          <w:szCs w:val="28"/>
        </w:rPr>
        <w:t xml:space="preserve"> </w:t>
      </w:r>
    </w:p>
    <w:p w14:paraId="4413DFA0" w14:textId="6DAC40AF" w:rsidR="00A43545" w:rsidRPr="00D93D1E" w:rsidRDefault="00D93D1E" w:rsidP="00D93D1E">
      <w:pPr>
        <w:jc w:val="both"/>
        <w:rPr>
          <w:rFonts w:ascii="Times New Roman" w:hAnsi="Times New Roman" w:cs="Times New Roman"/>
          <w:color w:val="171717" w:themeColor="background2" w:themeShade="1A"/>
          <w:sz w:val="32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28"/>
        </w:rPr>
        <w:t xml:space="preserve">It is </w:t>
      </w:r>
      <w:r w:rsidRPr="00D93D1E">
        <w:rPr>
          <w:rFonts w:ascii="Times New Roman" w:hAnsi="Times New Roman" w:cs="Times New Roman"/>
          <w:color w:val="171717" w:themeColor="background2" w:themeShade="1A"/>
          <w:sz w:val="32"/>
          <w:szCs w:val="28"/>
        </w:rPr>
        <w:t>situated in HSR, Bangalore, has established itself as a prominent supermarket in the region, catering to a wide range of customers. In response to evolving customer needs and to enhance convenience, Freshco introduced a home delivery service in the year 2021</w:t>
      </w:r>
      <w:r>
        <w:rPr>
          <w:rFonts w:ascii="Times New Roman" w:hAnsi="Times New Roman" w:cs="Times New Roman"/>
          <w:color w:val="171717" w:themeColor="background2" w:themeShade="1A"/>
          <w:sz w:val="32"/>
          <w:szCs w:val="28"/>
        </w:rPr>
        <w:t>.</w:t>
      </w:r>
    </w:p>
    <w:p w14:paraId="193E4637" w14:textId="41428344" w:rsidR="00F23CEC" w:rsidRDefault="00F23CEC" w:rsidP="006227BC">
      <w:pPr>
        <w:pStyle w:val="Heading1"/>
      </w:pPr>
      <w:r w:rsidRPr="00F23CEC">
        <w:t>Order Level Analysis</w:t>
      </w:r>
    </w:p>
    <w:p w14:paraId="39CF8E3E" w14:textId="6CE28439" w:rsidR="00F23CEC" w:rsidRDefault="00F23CEC" w:rsidP="006227BC">
      <w:pPr>
        <w:pStyle w:val="Heading2"/>
        <w:ind w:left="360"/>
      </w:pPr>
      <w:r>
        <w:t>Order Distribution</w:t>
      </w:r>
    </w:p>
    <w:p w14:paraId="08C740E1" w14:textId="77777777" w:rsidR="00F23CEC" w:rsidRPr="00F23CEC" w:rsidRDefault="00F23CEC" w:rsidP="00F23CEC"/>
    <w:tbl>
      <w:tblPr>
        <w:tblW w:w="9360" w:type="dxa"/>
        <w:tblLook w:val="04A0" w:firstRow="1" w:lastRow="0" w:firstColumn="1" w:lastColumn="0" w:noHBand="0" w:noVBand="1"/>
      </w:tblPr>
      <w:tblGrid>
        <w:gridCol w:w="2610"/>
        <w:gridCol w:w="1260"/>
        <w:gridCol w:w="1170"/>
        <w:gridCol w:w="1170"/>
        <w:gridCol w:w="1000"/>
        <w:gridCol w:w="800"/>
        <w:gridCol w:w="1350"/>
      </w:tblGrid>
      <w:tr w:rsidR="00F23CEC" w:rsidRPr="00F23CEC" w14:paraId="5B22ABF4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F35CDB" w14:textId="132BAB68" w:rsidR="00A43545" w:rsidRPr="00F23CEC" w:rsidRDefault="00A43545" w:rsidP="00F23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Delivery Area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E14D9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Afternoon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B2BA20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Evening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9B29AE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Late Night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9AB9B3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Morning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2D86D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Night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5A39E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Grand Total</w:t>
            </w:r>
          </w:p>
        </w:tc>
      </w:tr>
      <w:tr w:rsidR="00F23CEC" w:rsidRPr="00F23CEC" w14:paraId="5D11DA1E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9B63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HSR Layout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0673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4085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2951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3288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E377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1A4F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3749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0683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3582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CA2C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15657</w:t>
            </w:r>
          </w:p>
        </w:tc>
      </w:tr>
      <w:tr w:rsidR="00F23CEC" w:rsidRPr="00F23CEC" w14:paraId="30D44B03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8C77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ITI Layout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635B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1039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87C1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757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CDF5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F77C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868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34D3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6854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3946</w:t>
            </w:r>
          </w:p>
        </w:tc>
      </w:tr>
      <w:tr w:rsidR="00F23CEC" w:rsidRPr="00F23CEC" w14:paraId="471F551E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8C87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Harlur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FA18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6FDF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280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68F3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E8D4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E07C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250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DC3A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1309</w:t>
            </w:r>
          </w:p>
        </w:tc>
      </w:tr>
      <w:tr w:rsidR="00F23CEC" w:rsidRPr="00F23CEC" w14:paraId="57814E23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34A5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Bomannahali</w:t>
            </w:r>
            <w:proofErr w:type="spellEnd"/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 xml:space="preserve"> - </w:t>
            </w:r>
            <w:proofErr w:type="spellStart"/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MicoLayout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6220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4AB3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B681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47E8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6F57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3132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551</w:t>
            </w:r>
          </w:p>
        </w:tc>
      </w:tr>
      <w:tr w:rsidR="00F23CEC" w:rsidRPr="00F23CEC" w14:paraId="1D085E6B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820A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Kudlu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6DA3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BBF1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C917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7CEF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95D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E4C7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518</w:t>
            </w:r>
          </w:p>
        </w:tc>
      </w:tr>
      <w:tr w:rsidR="00F23CEC" w:rsidRPr="00F23CEC" w14:paraId="365268FD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E438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 xml:space="preserve">Koramangala, </w:t>
            </w:r>
            <w:proofErr w:type="spellStart"/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Ejipura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1EC5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5104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0468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F0A8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45EE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A0B0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160</w:t>
            </w:r>
          </w:p>
        </w:tc>
      </w:tr>
      <w:tr w:rsidR="00F23CEC" w:rsidRPr="00F23CEC" w14:paraId="346E5B89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7EB7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Bellandur, Green Glen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ECED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0DA6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7312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443F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DC09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1320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134</w:t>
            </w:r>
          </w:p>
        </w:tc>
      </w:tr>
      <w:tr w:rsidR="00F23CEC" w:rsidRPr="00F23CEC" w14:paraId="1DAF4E4F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775B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Bellandur, Sarjapur Road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A516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44B0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EBFB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C012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3BBE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D39E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98</w:t>
            </w:r>
          </w:p>
        </w:tc>
      </w:tr>
      <w:tr w:rsidR="00F23CEC" w:rsidRPr="00F23CEC" w14:paraId="19C26222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F47A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Manipal County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ECFA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E193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AB6F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6B6E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5E4F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E693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80</w:t>
            </w:r>
          </w:p>
        </w:tc>
      </w:tr>
      <w:tr w:rsidR="00F23CEC" w:rsidRPr="00F23CEC" w14:paraId="3CDCCB2A" w14:textId="77777777" w:rsidTr="00F23CEC">
        <w:trPr>
          <w:trHeight w:val="287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65D4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Bommanahalli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47AF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0454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D8D1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9CA5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542A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8A27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52</w:t>
            </w:r>
          </w:p>
        </w:tc>
      </w:tr>
      <w:tr w:rsidR="00F23CEC" w:rsidRPr="00F23CEC" w14:paraId="08142073" w14:textId="77777777" w:rsidTr="00F23CEC">
        <w:trPr>
          <w:trHeight w:val="287"/>
        </w:trPr>
        <w:tc>
          <w:tcPr>
            <w:tcW w:w="26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6AF1A8" w14:textId="77777777" w:rsidR="00F23CEC" w:rsidRPr="00F23CEC" w:rsidRDefault="00F23CEC" w:rsidP="00F23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Grand Total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C5AD59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5847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97F7C9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4639</w:t>
            </w:r>
          </w:p>
        </w:tc>
        <w:tc>
          <w:tcPr>
            <w:tcW w:w="117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09CCA9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1546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FD45CA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5340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6B1A6C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5133</w:t>
            </w:r>
          </w:p>
        </w:tc>
        <w:tc>
          <w:tcPr>
            <w:tcW w:w="13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E15203" w14:textId="77777777" w:rsidR="00F23CEC" w:rsidRPr="00F23CEC" w:rsidRDefault="00F23CEC" w:rsidP="00F23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3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22505</w:t>
            </w:r>
          </w:p>
        </w:tc>
      </w:tr>
    </w:tbl>
    <w:p w14:paraId="5EB28E9E" w14:textId="77777777" w:rsidR="00F23CEC" w:rsidRDefault="00F23CEC" w:rsidP="00F23CEC">
      <w:pPr>
        <w:rPr>
          <w:sz w:val="24"/>
          <w:szCs w:val="22"/>
        </w:rPr>
      </w:pPr>
    </w:p>
    <w:p w14:paraId="6C87C992" w14:textId="08DDF85B" w:rsidR="00F23CEC" w:rsidRDefault="00F23CEC" w:rsidP="00F23CEC">
      <w:pPr>
        <w:rPr>
          <w:sz w:val="24"/>
          <w:szCs w:val="22"/>
        </w:rPr>
      </w:pPr>
      <w:r>
        <w:rPr>
          <w:sz w:val="24"/>
          <w:szCs w:val="22"/>
        </w:rPr>
        <w:t xml:space="preserve">*Top 10 </w:t>
      </w:r>
      <w:r w:rsidRPr="00F23CEC">
        <w:rPr>
          <w:sz w:val="24"/>
          <w:szCs w:val="22"/>
        </w:rPr>
        <w:t>Order Distribution</w:t>
      </w:r>
      <w:r>
        <w:rPr>
          <w:sz w:val="24"/>
          <w:szCs w:val="22"/>
        </w:rPr>
        <w:t xml:space="preserve"> at Slot &amp; Delivery Area</w:t>
      </w:r>
    </w:p>
    <w:p w14:paraId="5CBCD793" w14:textId="51B6035F" w:rsidR="00BC5D77" w:rsidRPr="00A43545" w:rsidRDefault="00BC5D77" w:rsidP="006227BC">
      <w:pPr>
        <w:pStyle w:val="Heading2"/>
        <w:ind w:left="360"/>
      </w:pPr>
      <w:r w:rsidRPr="00A43545">
        <w:t>Highest increase in absolute order over month</w:t>
      </w:r>
    </w:p>
    <w:p w14:paraId="38DB0DBF" w14:textId="77777777" w:rsidR="00BC5D77" w:rsidRPr="00BC5D77" w:rsidRDefault="00BC5D77" w:rsidP="00BC5D77"/>
    <w:p w14:paraId="42345AC0" w14:textId="5AE8B080" w:rsidR="00BC5D77" w:rsidRDefault="00FA10F0" w:rsidP="00BC5D77">
      <w:r>
        <w:rPr>
          <w:noProof/>
        </w:rPr>
        <w:drawing>
          <wp:inline distT="0" distB="0" distL="0" distR="0" wp14:anchorId="2BC806BA" wp14:editId="5851CC7E">
            <wp:extent cx="6319520" cy="2143760"/>
            <wp:effectExtent l="0" t="0" r="5080" b="8890"/>
            <wp:docPr id="19434194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666E16-390D-B726-31BE-25B5D1DE13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734CC9" w14:textId="3F42AE70" w:rsidR="00981881" w:rsidRDefault="0026474E" w:rsidP="0026474E">
      <w:pPr>
        <w:pStyle w:val="ListParagraph"/>
      </w:pPr>
      <w:r>
        <w:lastRenderedPageBreak/>
        <w:t>*Max increase in the HSR Layout</w:t>
      </w:r>
    </w:p>
    <w:p w14:paraId="2207C39E" w14:textId="77777777" w:rsidR="00981881" w:rsidRDefault="00981881" w:rsidP="00BC5D77"/>
    <w:p w14:paraId="52070C41" w14:textId="7E00A2F3" w:rsidR="00981881" w:rsidRDefault="00A43545" w:rsidP="006227BC">
      <w:pPr>
        <w:pStyle w:val="Heading2"/>
        <w:ind w:left="360"/>
      </w:pPr>
      <w:r>
        <w:t>Delivery Charge / Product amount in slot and month Level</w:t>
      </w:r>
    </w:p>
    <w:p w14:paraId="2FA8D57D" w14:textId="77777777" w:rsidR="00A43545" w:rsidRPr="00A43545" w:rsidRDefault="00A43545" w:rsidP="00A43545"/>
    <w:p w14:paraId="5FC1F10A" w14:textId="36179908" w:rsidR="00981881" w:rsidRDefault="00FA10F0" w:rsidP="00BC5D77">
      <w:r w:rsidRPr="00FA10F0">
        <w:drawing>
          <wp:inline distT="0" distB="0" distL="0" distR="0" wp14:anchorId="2E657A4D" wp14:editId="404F1ABD">
            <wp:extent cx="5619750" cy="1790700"/>
            <wp:effectExtent l="0" t="0" r="0" b="0"/>
            <wp:docPr id="153012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225" cy="179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0A1B" w14:textId="43149A28" w:rsidR="00FA10F0" w:rsidRPr="00FA10F0" w:rsidRDefault="00A43545" w:rsidP="00FA10F0">
      <w:pPr>
        <w:pStyle w:val="Heading2"/>
        <w:ind w:left="360"/>
      </w:pPr>
      <w:r>
        <w:t>Discount / Product amount in slot and month Level</w:t>
      </w:r>
    </w:p>
    <w:p w14:paraId="3A1E57B8" w14:textId="4D910201" w:rsidR="00F23CEC" w:rsidRDefault="00FA10F0" w:rsidP="00F23CEC">
      <w:r w:rsidRPr="00FA10F0">
        <w:drawing>
          <wp:inline distT="0" distB="0" distL="0" distR="0" wp14:anchorId="3048AA06" wp14:editId="4D519369">
            <wp:extent cx="5762625" cy="2200275"/>
            <wp:effectExtent l="0" t="0" r="9525" b="9525"/>
            <wp:docPr id="815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41EC" w14:textId="0F9AF8C4" w:rsidR="00A43545" w:rsidRPr="00A43545" w:rsidRDefault="00A43545" w:rsidP="006227BC">
      <w:pPr>
        <w:pStyle w:val="Heading2"/>
        <w:ind w:left="360"/>
      </w:pPr>
      <w:r>
        <w:t>Delivery Charge / Product amount in slot and drop area</w:t>
      </w:r>
    </w:p>
    <w:p w14:paraId="1A1D4313" w14:textId="77777777" w:rsidR="004D39E2" w:rsidRDefault="004D39E2" w:rsidP="004D39E2"/>
    <w:p w14:paraId="587540D7" w14:textId="60292520" w:rsidR="004D39E2" w:rsidRDefault="004D39E2" w:rsidP="004D39E2">
      <w:pPr>
        <w:rPr>
          <w:noProof/>
        </w:rPr>
      </w:pPr>
      <w:r w:rsidRPr="004D39E2">
        <w:rPr>
          <w:noProof/>
        </w:rPr>
        <w:drawing>
          <wp:inline distT="0" distB="0" distL="0" distR="0" wp14:anchorId="7884D0BF" wp14:editId="4747720A">
            <wp:extent cx="5760720" cy="2026920"/>
            <wp:effectExtent l="0" t="0" r="0" b="0"/>
            <wp:docPr id="1944340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723A" w14:textId="77777777" w:rsidR="00221031" w:rsidRDefault="00221031" w:rsidP="00221031">
      <w:pPr>
        <w:rPr>
          <w:noProof/>
        </w:rPr>
      </w:pPr>
    </w:p>
    <w:p w14:paraId="35A10AD2" w14:textId="77777777" w:rsidR="00B44CC8" w:rsidRDefault="00B44CC8" w:rsidP="00B44CC8">
      <w:r>
        <w:t xml:space="preserve">HRS Layout, ITI layout &amp; </w:t>
      </w:r>
      <w:proofErr w:type="spellStart"/>
      <w:r>
        <w:t>Harlur</w:t>
      </w:r>
      <w:proofErr w:type="spellEnd"/>
      <w:r>
        <w:t xml:space="preserve"> has good order frequency, </w:t>
      </w:r>
      <w:proofErr w:type="gramStart"/>
      <w:r>
        <w:t>Overall</w:t>
      </w:r>
      <w:proofErr w:type="gramEnd"/>
      <w:r>
        <w:t xml:space="preserve"> in the more amount of order are placed in morning, afternoon, evening, Night. High increase in order in the areas such as HSR Layout, ITI Layout &amp; </w:t>
      </w:r>
      <w:proofErr w:type="spellStart"/>
      <w:r>
        <w:t>Harlur</w:t>
      </w:r>
      <w:proofErr w:type="spellEnd"/>
      <w:r>
        <w:t xml:space="preserve">. </w:t>
      </w:r>
    </w:p>
    <w:p w14:paraId="67AD866D" w14:textId="002835D5" w:rsidR="00221031" w:rsidRDefault="00B44CC8" w:rsidP="00221031">
      <w:r>
        <w:t xml:space="preserve">Less order in the night time due to Indian culture &amp; extra charge at </w:t>
      </w:r>
      <w:proofErr w:type="gramStart"/>
      <w:r>
        <w:t>night .Month</w:t>
      </w:r>
      <w:proofErr w:type="gramEnd"/>
      <w:r>
        <w:t xml:space="preserve"> of August &amp; September has delivery/Product due to more discount/product is given. </w:t>
      </w:r>
    </w:p>
    <w:p w14:paraId="65D67093" w14:textId="31F1D952" w:rsidR="00221031" w:rsidRDefault="00221031" w:rsidP="006227BC">
      <w:pPr>
        <w:pStyle w:val="Heading1"/>
      </w:pPr>
      <w:r>
        <w:t>Completion rate analysis</w:t>
      </w:r>
    </w:p>
    <w:p w14:paraId="3C63C5A0" w14:textId="54FA0F29" w:rsidR="0026474E" w:rsidRPr="0026474E" w:rsidRDefault="0026474E" w:rsidP="006227BC">
      <w:pPr>
        <w:pStyle w:val="Heading2"/>
        <w:ind w:left="360"/>
      </w:pPr>
      <w:r>
        <w:t>Completion rate at slot and weekdays</w:t>
      </w:r>
    </w:p>
    <w:tbl>
      <w:tblPr>
        <w:tblW w:w="10221" w:type="dxa"/>
        <w:tblLook w:val="04A0" w:firstRow="1" w:lastRow="0" w:firstColumn="1" w:lastColumn="0" w:noHBand="0" w:noVBand="1"/>
      </w:tblPr>
      <w:tblGrid>
        <w:gridCol w:w="3330"/>
        <w:gridCol w:w="1309"/>
        <w:gridCol w:w="1069"/>
        <w:gridCol w:w="1119"/>
        <w:gridCol w:w="1077"/>
        <w:gridCol w:w="1069"/>
        <w:gridCol w:w="1248"/>
      </w:tblGrid>
      <w:tr w:rsidR="00221031" w:rsidRPr="00221031" w14:paraId="7D7A4E08" w14:textId="77777777" w:rsidTr="00221031">
        <w:trPr>
          <w:trHeight w:val="282"/>
        </w:trPr>
        <w:tc>
          <w:tcPr>
            <w:tcW w:w="33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987E7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Row Labels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F8FDF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Afternoon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F27AB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Evening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193CD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Late Night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E000A9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Morning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85F710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Night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63E5F8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Grand Total</w:t>
            </w:r>
          </w:p>
        </w:tc>
      </w:tr>
      <w:tr w:rsidR="00221031" w:rsidRPr="00221031" w14:paraId="3F6B8702" w14:textId="77777777" w:rsidTr="00221031">
        <w:trPr>
          <w:trHeight w:val="28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7B52" w14:textId="3DFE13C6" w:rsidR="00221031" w:rsidRPr="00221031" w:rsidRDefault="00221031" w:rsidP="00221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Sunday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E0B8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99.517%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A3D9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99.498%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8DBA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99.512%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06DD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99.488%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3482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99.512%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5278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99.505%</w:t>
            </w:r>
          </w:p>
        </w:tc>
      </w:tr>
      <w:tr w:rsidR="00221031" w:rsidRPr="00221031" w14:paraId="778CEF02" w14:textId="77777777" w:rsidTr="00221031">
        <w:trPr>
          <w:trHeight w:val="28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2129" w14:textId="357D0325" w:rsidR="00221031" w:rsidRPr="00221031" w:rsidRDefault="00221031" w:rsidP="00221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Monday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D5AB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99.526%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EEAB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99.505%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DF07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99.491%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DF43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99.516%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17BB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99.508%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4DA8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99.513%</w:t>
            </w:r>
          </w:p>
        </w:tc>
      </w:tr>
      <w:tr w:rsidR="00221031" w:rsidRPr="00221031" w14:paraId="64FDA1F6" w14:textId="77777777" w:rsidTr="00221031">
        <w:trPr>
          <w:trHeight w:val="28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1CC7" w14:textId="344ABA82" w:rsidR="00221031" w:rsidRPr="00221031" w:rsidRDefault="00221031" w:rsidP="00221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Tuesday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4A4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99.521%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D547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99.526%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EC7E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99.427%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8698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99.486%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79D7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99.526%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1A6D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99.509%</w:t>
            </w:r>
          </w:p>
        </w:tc>
      </w:tr>
      <w:tr w:rsidR="00221031" w:rsidRPr="00221031" w14:paraId="4C3E1472" w14:textId="77777777" w:rsidTr="00221031">
        <w:trPr>
          <w:trHeight w:val="28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3674" w14:textId="41FA2DE4" w:rsidR="00221031" w:rsidRPr="00221031" w:rsidRDefault="00221031" w:rsidP="00221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Wednesday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E30D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99.500%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1435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99.512%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0EB8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99.508%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7E0A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99.499%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0D44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99.530%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B60F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99.509%</w:t>
            </w:r>
          </w:p>
        </w:tc>
      </w:tr>
      <w:tr w:rsidR="00221031" w:rsidRPr="00221031" w14:paraId="546740C4" w14:textId="77777777" w:rsidTr="00221031">
        <w:trPr>
          <w:trHeight w:val="28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3FB2" w14:textId="0A7ECF07" w:rsidR="00221031" w:rsidRPr="00221031" w:rsidRDefault="00221031" w:rsidP="00221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Thursday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40D2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99.536%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71C1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99.534%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0587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99.520%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F52C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99.520%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4664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99.519%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4704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99.527%</w:t>
            </w:r>
          </w:p>
        </w:tc>
      </w:tr>
      <w:tr w:rsidR="00221031" w:rsidRPr="00221031" w14:paraId="0A82007F" w14:textId="77777777" w:rsidTr="00221031">
        <w:trPr>
          <w:trHeight w:val="28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70A7" w14:textId="48292A64" w:rsidR="00221031" w:rsidRPr="00221031" w:rsidRDefault="00221031" w:rsidP="00221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Friday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7B26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99.526%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61C1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99.546%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A2E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99.506%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344D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99.533%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1C6E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99.539%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731D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99.533%</w:t>
            </w:r>
          </w:p>
        </w:tc>
      </w:tr>
      <w:tr w:rsidR="00221031" w:rsidRPr="00221031" w14:paraId="110AE099" w14:textId="77777777" w:rsidTr="00221031">
        <w:trPr>
          <w:trHeight w:val="28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BD43" w14:textId="79E308CC" w:rsidR="00221031" w:rsidRPr="00221031" w:rsidRDefault="00221031" w:rsidP="00221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Saturday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84DC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99.537%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DDBD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99.530%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7220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99.506%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26FE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99.509%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B14C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99.530%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6DFA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99.525%</w:t>
            </w:r>
          </w:p>
        </w:tc>
      </w:tr>
      <w:tr w:rsidR="00221031" w:rsidRPr="00221031" w14:paraId="09E6B22D" w14:textId="77777777" w:rsidTr="00221031">
        <w:trPr>
          <w:trHeight w:val="282"/>
        </w:trPr>
        <w:tc>
          <w:tcPr>
            <w:tcW w:w="333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56F9B6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Grand Total</w:t>
            </w:r>
          </w:p>
        </w:tc>
        <w:tc>
          <w:tcPr>
            <w:tcW w:w="130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B6BACB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99.523%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28EB5E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99.522%</w:t>
            </w:r>
          </w:p>
        </w:tc>
        <w:tc>
          <w:tcPr>
            <w:tcW w:w="111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DA4506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99.498%</w:t>
            </w:r>
          </w:p>
        </w:tc>
        <w:tc>
          <w:tcPr>
            <w:tcW w:w="107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96C2C9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99.507%</w:t>
            </w:r>
          </w:p>
        </w:tc>
        <w:tc>
          <w:tcPr>
            <w:tcW w:w="106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BB5710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99.523%</w:t>
            </w:r>
          </w:p>
        </w:tc>
        <w:tc>
          <w:tcPr>
            <w:tcW w:w="124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07C394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99.517%</w:t>
            </w:r>
          </w:p>
        </w:tc>
      </w:tr>
    </w:tbl>
    <w:p w14:paraId="59FB6560" w14:textId="77777777" w:rsidR="00221031" w:rsidRDefault="00221031" w:rsidP="00221031"/>
    <w:p w14:paraId="489A1BB3" w14:textId="77980D4F" w:rsidR="00221031" w:rsidRDefault="00221031" w:rsidP="006227BC">
      <w:pPr>
        <w:pStyle w:val="Heading2"/>
        <w:ind w:left="360"/>
      </w:pPr>
      <w:r>
        <w:t>Top 7 area as per completion rate</w:t>
      </w:r>
    </w:p>
    <w:p w14:paraId="559A7860" w14:textId="77777777" w:rsidR="0026474E" w:rsidRPr="0026474E" w:rsidRDefault="0026474E" w:rsidP="0026474E"/>
    <w:tbl>
      <w:tblPr>
        <w:tblW w:w="8376" w:type="dxa"/>
        <w:tblLook w:val="04A0" w:firstRow="1" w:lastRow="0" w:firstColumn="1" w:lastColumn="0" w:noHBand="0" w:noVBand="1"/>
      </w:tblPr>
      <w:tblGrid>
        <w:gridCol w:w="4074"/>
        <w:gridCol w:w="4302"/>
      </w:tblGrid>
      <w:tr w:rsidR="00221031" w:rsidRPr="00221031" w14:paraId="16629A80" w14:textId="77777777" w:rsidTr="00221031">
        <w:trPr>
          <w:trHeight w:val="288"/>
        </w:trPr>
        <w:tc>
          <w:tcPr>
            <w:tcW w:w="40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1F4AEF" w14:textId="7BDFE002" w:rsidR="00221031" w:rsidRPr="00221031" w:rsidRDefault="0026474E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Drop area</w:t>
            </w:r>
          </w:p>
        </w:tc>
        <w:tc>
          <w:tcPr>
            <w:tcW w:w="430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8A9428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Average of Completion rate</w:t>
            </w:r>
          </w:p>
        </w:tc>
      </w:tr>
      <w:tr w:rsidR="00221031" w:rsidRPr="00221031" w14:paraId="541DAC63" w14:textId="77777777" w:rsidTr="00221031">
        <w:trPr>
          <w:trHeight w:val="288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DD6A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Kudlu</w:t>
            </w:r>
            <w:proofErr w:type="spellEnd"/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1F32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99.56%</w:t>
            </w:r>
          </w:p>
        </w:tc>
      </w:tr>
      <w:tr w:rsidR="00221031" w:rsidRPr="00221031" w14:paraId="551C238D" w14:textId="77777777" w:rsidTr="00221031">
        <w:trPr>
          <w:trHeight w:val="288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291C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HSR Layout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D42A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99.54%</w:t>
            </w:r>
          </w:p>
        </w:tc>
      </w:tr>
      <w:tr w:rsidR="00221031" w:rsidRPr="00221031" w14:paraId="17616216" w14:textId="77777777" w:rsidTr="00221031">
        <w:trPr>
          <w:trHeight w:val="288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BF53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Bomannahali</w:t>
            </w:r>
            <w:proofErr w:type="spellEnd"/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 xml:space="preserve"> - </w:t>
            </w:r>
            <w:proofErr w:type="spellStart"/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MicoLayout</w:t>
            </w:r>
            <w:proofErr w:type="spellEnd"/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AA98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99.51%</w:t>
            </w:r>
          </w:p>
        </w:tc>
      </w:tr>
      <w:tr w:rsidR="00221031" w:rsidRPr="00221031" w14:paraId="0EF4D043" w14:textId="77777777" w:rsidTr="00221031">
        <w:trPr>
          <w:trHeight w:val="288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A9CE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BTM Stage 2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0613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99.49%</w:t>
            </w:r>
          </w:p>
        </w:tc>
      </w:tr>
      <w:tr w:rsidR="00221031" w:rsidRPr="00221031" w14:paraId="3F8F22B4" w14:textId="77777777" w:rsidTr="00221031">
        <w:trPr>
          <w:trHeight w:val="288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4725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ITI Layout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481B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99.48%</w:t>
            </w:r>
          </w:p>
        </w:tc>
      </w:tr>
      <w:tr w:rsidR="00221031" w:rsidRPr="00221031" w14:paraId="7D3838F7" w14:textId="77777777" w:rsidTr="00221031">
        <w:trPr>
          <w:trHeight w:val="288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26A2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 xml:space="preserve">Koramangala, </w:t>
            </w:r>
            <w:proofErr w:type="spellStart"/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Ejipura</w:t>
            </w:r>
            <w:proofErr w:type="spellEnd"/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0D7C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99.46%</w:t>
            </w:r>
          </w:p>
        </w:tc>
      </w:tr>
      <w:tr w:rsidR="00221031" w:rsidRPr="00221031" w14:paraId="1B858915" w14:textId="77777777" w:rsidTr="00221031">
        <w:trPr>
          <w:trHeight w:val="288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63A6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Harlur</w:t>
            </w:r>
            <w:proofErr w:type="spellEnd"/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C454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99.34%</w:t>
            </w:r>
          </w:p>
        </w:tc>
      </w:tr>
      <w:tr w:rsidR="00221031" w:rsidRPr="00221031" w14:paraId="52AF7FA5" w14:textId="77777777" w:rsidTr="00221031">
        <w:trPr>
          <w:trHeight w:val="288"/>
        </w:trPr>
        <w:tc>
          <w:tcPr>
            <w:tcW w:w="407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E8B7CD" w14:textId="77777777" w:rsidR="00221031" w:rsidRPr="00221031" w:rsidRDefault="00221031" w:rsidP="002210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Grand Total</w:t>
            </w:r>
          </w:p>
        </w:tc>
        <w:tc>
          <w:tcPr>
            <w:tcW w:w="430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E0371F" w14:textId="77777777" w:rsidR="00221031" w:rsidRPr="00221031" w:rsidRDefault="00221031" w:rsidP="002210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210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99.52%</w:t>
            </w:r>
          </w:p>
        </w:tc>
      </w:tr>
    </w:tbl>
    <w:p w14:paraId="477B2BEA" w14:textId="77777777" w:rsidR="00221031" w:rsidRDefault="00221031" w:rsidP="00221031"/>
    <w:p w14:paraId="22DBFE12" w14:textId="77777777" w:rsidR="0026474E" w:rsidRDefault="0026474E" w:rsidP="0026474E"/>
    <w:p w14:paraId="01E2C735" w14:textId="77777777" w:rsidR="00FA10F0" w:rsidRDefault="00FA10F0" w:rsidP="0026474E"/>
    <w:p w14:paraId="639AA35D" w14:textId="77777777" w:rsidR="00FA10F0" w:rsidRDefault="00FA10F0" w:rsidP="0026474E"/>
    <w:p w14:paraId="6CC3E5C6" w14:textId="77777777" w:rsidR="00FA10F0" w:rsidRDefault="00FA10F0" w:rsidP="0026474E"/>
    <w:p w14:paraId="2C905A6A" w14:textId="77777777" w:rsidR="00FA10F0" w:rsidRPr="0026474E" w:rsidRDefault="00FA10F0" w:rsidP="0026474E"/>
    <w:p w14:paraId="4053C2D7" w14:textId="58FA5D8C" w:rsidR="004135E7" w:rsidRDefault="0026474E" w:rsidP="006227BC">
      <w:pPr>
        <w:pStyle w:val="Heading2"/>
        <w:ind w:left="360"/>
      </w:pPr>
      <w:r>
        <w:lastRenderedPageBreak/>
        <w:t>C</w:t>
      </w:r>
      <w:r w:rsidR="004135E7">
        <w:t xml:space="preserve">ompletion rate wrt No of product </w:t>
      </w:r>
    </w:p>
    <w:p w14:paraId="4A2C967E" w14:textId="77777777" w:rsidR="0026474E" w:rsidRPr="0026474E" w:rsidRDefault="0026474E" w:rsidP="0026474E"/>
    <w:p w14:paraId="4A813932" w14:textId="2ACD0061" w:rsidR="00221031" w:rsidRDefault="00221031" w:rsidP="00221031">
      <w:pPr>
        <w:rPr>
          <w:noProof/>
        </w:rPr>
      </w:pPr>
      <w:r>
        <w:rPr>
          <w:noProof/>
        </w:rPr>
        <w:drawing>
          <wp:inline distT="0" distB="0" distL="0" distR="0" wp14:anchorId="15945392" wp14:editId="65038668">
            <wp:extent cx="5943600" cy="2681605"/>
            <wp:effectExtent l="0" t="0" r="0" b="4445"/>
            <wp:docPr id="9633627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DE4FCC-C41B-C1F8-AFEA-68B4EACFB8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0AED89" w14:textId="495A22EB" w:rsidR="0026474E" w:rsidRDefault="0026474E" w:rsidP="0026474E">
      <w:r>
        <w:t xml:space="preserve">*There is overall increase in the completion rate wrt No of product </w:t>
      </w:r>
    </w:p>
    <w:p w14:paraId="17B2995C" w14:textId="10CCF6E2" w:rsidR="004135E7" w:rsidRDefault="0026474E" w:rsidP="006227BC">
      <w:pPr>
        <w:pStyle w:val="Heading2"/>
        <w:ind w:left="360"/>
        <w:rPr>
          <w:noProof/>
        </w:rPr>
      </w:pPr>
      <w:r>
        <w:rPr>
          <w:noProof/>
        </w:rPr>
        <w:t>Slot wrt</w:t>
      </w:r>
      <w:r w:rsidR="004135E7">
        <w:rPr>
          <w:noProof/>
        </w:rPr>
        <w:t xml:space="preserve"> Order completion rate</w:t>
      </w:r>
    </w:p>
    <w:p w14:paraId="6492E065" w14:textId="77777777" w:rsidR="0026474E" w:rsidRPr="0026474E" w:rsidRDefault="0026474E" w:rsidP="0026474E"/>
    <w:p w14:paraId="036A87EF" w14:textId="6A086C5E" w:rsidR="004135E7" w:rsidRDefault="004135E7" w:rsidP="004135E7">
      <w:pPr>
        <w:rPr>
          <w:noProof/>
        </w:rPr>
      </w:pPr>
      <w:r>
        <w:rPr>
          <w:noProof/>
        </w:rPr>
        <w:drawing>
          <wp:inline distT="0" distB="0" distL="0" distR="0" wp14:anchorId="6032532C" wp14:editId="05ADB6F3">
            <wp:extent cx="4572000" cy="2743200"/>
            <wp:effectExtent l="0" t="0" r="0" b="0"/>
            <wp:docPr id="19022702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3BE32C-49CE-5223-ACBF-844B7B5712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33E18C" w14:textId="77777777" w:rsidR="0026474E" w:rsidRDefault="0026474E" w:rsidP="0026474E">
      <w:pPr>
        <w:rPr>
          <w:noProof/>
        </w:rPr>
      </w:pPr>
      <w:r>
        <w:rPr>
          <w:noProof/>
        </w:rPr>
        <w:t>Evening Night &amp; Afternoon has very high Order completion rate</w:t>
      </w:r>
    </w:p>
    <w:p w14:paraId="0FDD5B8A" w14:textId="77777777" w:rsidR="004135E7" w:rsidRDefault="004135E7" w:rsidP="004135E7"/>
    <w:p w14:paraId="757DCFBA" w14:textId="74372E8B" w:rsidR="00B44CC8" w:rsidRPr="004135E7" w:rsidRDefault="00B44CC8" w:rsidP="004135E7">
      <w:r>
        <w:t xml:space="preserve">Overall less order completion rate in the late night than the other slot </w:t>
      </w:r>
      <w:proofErr w:type="spellStart"/>
      <w:proofErr w:type="gramStart"/>
      <w:r>
        <w:t>time,Kudhu</w:t>
      </w:r>
      <w:proofErr w:type="spellEnd"/>
      <w:proofErr w:type="gramEnd"/>
      <w:r>
        <w:t xml:space="preserve"> has max Order completion rate with 99.56% followed by HSR Layout. Increase in the Completion rate </w:t>
      </w:r>
      <w:proofErr w:type="spellStart"/>
      <w:r>
        <w:t>wrt</w:t>
      </w:r>
      <w:proofErr w:type="spellEnd"/>
      <w:r>
        <w:t xml:space="preserve"> to no of product for evening, Night &amp; afternoon than the morning &amp; Late night. </w:t>
      </w:r>
    </w:p>
    <w:p w14:paraId="32E7A85A" w14:textId="72C6E3E3" w:rsidR="004135E7" w:rsidRDefault="00F22B6D" w:rsidP="006227BC">
      <w:pPr>
        <w:pStyle w:val="Heading1"/>
        <w:rPr>
          <w:noProof/>
        </w:rPr>
      </w:pPr>
      <w:r w:rsidRPr="00F22B6D">
        <w:rPr>
          <w:noProof/>
        </w:rPr>
        <w:lastRenderedPageBreak/>
        <w:t>Customer Level Analysis</w:t>
      </w:r>
    </w:p>
    <w:p w14:paraId="1E3FE356" w14:textId="27BB7004" w:rsidR="00F22B6D" w:rsidRDefault="00F22B6D" w:rsidP="006227BC">
      <w:pPr>
        <w:pStyle w:val="Heading2"/>
        <w:ind w:left="360"/>
      </w:pPr>
      <w:r>
        <w:t>Top 20 Customer User ID</w:t>
      </w:r>
    </w:p>
    <w:p w14:paraId="341D436D" w14:textId="77777777" w:rsidR="00F22B6D" w:rsidRPr="00F22B6D" w:rsidRDefault="00F22B6D" w:rsidP="00F22B6D"/>
    <w:tbl>
      <w:tblPr>
        <w:tblW w:w="3870" w:type="dxa"/>
        <w:tblLook w:val="04A0" w:firstRow="1" w:lastRow="0" w:firstColumn="1" w:lastColumn="0" w:noHBand="0" w:noVBand="1"/>
      </w:tblPr>
      <w:tblGrid>
        <w:gridCol w:w="1441"/>
        <w:gridCol w:w="2429"/>
      </w:tblGrid>
      <w:tr w:rsidR="00F22B6D" w:rsidRPr="00F22B6D" w14:paraId="5CF7330D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7F431" w14:textId="6D07F8E6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User ID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FCE3A" w14:textId="77777777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Average of LTV</w:t>
            </w:r>
          </w:p>
        </w:tc>
      </w:tr>
      <w:tr w:rsidR="00F22B6D" w:rsidRPr="00F22B6D" w14:paraId="54536C0F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6B78" w14:textId="6CBA13E4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APQ2413449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83BB" w14:textId="66DACCD7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6766</w:t>
            </w:r>
          </w:p>
        </w:tc>
      </w:tr>
      <w:tr w:rsidR="00F22B6D" w:rsidRPr="00F22B6D" w14:paraId="062A707A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4E19" w14:textId="2D50A27D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ZQB198457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D5F9" w14:textId="1BE7E658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6013</w:t>
            </w:r>
          </w:p>
        </w:tc>
      </w:tr>
      <w:tr w:rsidR="00F22B6D" w:rsidRPr="00F22B6D" w14:paraId="74C12B7E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A295" w14:textId="0460A559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FDO1013281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F2B0" w14:textId="342E39F1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4678</w:t>
            </w:r>
          </w:p>
        </w:tc>
      </w:tr>
      <w:tr w:rsidR="00F22B6D" w:rsidRPr="00F22B6D" w14:paraId="26A28B3F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6DA5" w14:textId="60E67EE0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LQK77449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29F0" w14:textId="2522AAFE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4568</w:t>
            </w:r>
          </w:p>
        </w:tc>
      </w:tr>
      <w:tr w:rsidR="00F22B6D" w:rsidRPr="00F22B6D" w14:paraId="361E5DF5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A60F" w14:textId="1F84778A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WWC812033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73CD" w14:textId="40BA44FF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4235</w:t>
            </w:r>
          </w:p>
        </w:tc>
      </w:tr>
      <w:tr w:rsidR="00F22B6D" w:rsidRPr="00F22B6D" w14:paraId="43F6E6BC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5BB7" w14:textId="231D9264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AFB1613116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61E9" w14:textId="68E4BB16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4032</w:t>
            </w:r>
          </w:p>
        </w:tc>
      </w:tr>
      <w:tr w:rsidR="00F22B6D" w:rsidRPr="00F22B6D" w14:paraId="12F14AA3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91E3" w14:textId="18838F22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VBS2518354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9844" w14:textId="28A5FA08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3978</w:t>
            </w:r>
          </w:p>
        </w:tc>
      </w:tr>
      <w:tr w:rsidR="00F22B6D" w:rsidRPr="00F22B6D" w14:paraId="71A2F636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1233" w14:textId="7A548C14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XXV119663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1734" w14:textId="3BB47133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3899</w:t>
            </w:r>
          </w:p>
        </w:tc>
      </w:tr>
      <w:tr w:rsidR="00F22B6D" w:rsidRPr="00F22B6D" w14:paraId="4E6E685F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6B08" w14:textId="638B449F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SGN1921789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DDA9" w14:textId="1F9FB7E3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3715</w:t>
            </w:r>
          </w:p>
        </w:tc>
      </w:tr>
      <w:tr w:rsidR="00F22B6D" w:rsidRPr="00F22B6D" w14:paraId="0C027544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E564" w14:textId="3242544F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SSD207101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2836" w14:textId="36C76A03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3714</w:t>
            </w:r>
          </w:p>
        </w:tc>
      </w:tr>
      <w:tr w:rsidR="00F22B6D" w:rsidRPr="00F22B6D" w14:paraId="5FDA7787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566B" w14:textId="3AF60890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CGM1916254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20DC" w14:textId="7A366540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3645</w:t>
            </w:r>
          </w:p>
        </w:tc>
      </w:tr>
      <w:tr w:rsidR="00F22B6D" w:rsidRPr="00F22B6D" w14:paraId="43FEEC06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6D8D" w14:textId="4417A67E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RGZ2419374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AF90" w14:textId="716CFF20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3633</w:t>
            </w:r>
          </w:p>
        </w:tc>
      </w:tr>
      <w:tr w:rsidR="00F22B6D" w:rsidRPr="00F22B6D" w14:paraId="0823602F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6B50" w14:textId="5D96A196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ATO237404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9A54" w14:textId="0493FB0A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3515</w:t>
            </w:r>
          </w:p>
        </w:tc>
      </w:tr>
      <w:tr w:rsidR="00F22B6D" w:rsidRPr="00F22B6D" w14:paraId="19112980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B27B" w14:textId="25C6BAD1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WDE1131845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F67F" w14:textId="297CD8BB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3473</w:t>
            </w:r>
          </w:p>
        </w:tc>
      </w:tr>
      <w:tr w:rsidR="00F22B6D" w:rsidRPr="00F22B6D" w14:paraId="631ECEA7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D24A" w14:textId="6BFACDE2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GDF423244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42F7" w14:textId="50018F00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3432</w:t>
            </w:r>
          </w:p>
        </w:tc>
      </w:tr>
      <w:tr w:rsidR="00F22B6D" w:rsidRPr="00F22B6D" w14:paraId="5B0E3952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BD1A" w14:textId="03805BC0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FVX108073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5F84" w14:textId="098305B4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3398</w:t>
            </w:r>
          </w:p>
        </w:tc>
      </w:tr>
      <w:tr w:rsidR="00F22B6D" w:rsidRPr="00F22B6D" w14:paraId="09316320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EDFB" w14:textId="488A4C83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OII227941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A54E" w14:textId="0A8D4343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3388</w:t>
            </w:r>
          </w:p>
        </w:tc>
      </w:tr>
      <w:tr w:rsidR="00F22B6D" w:rsidRPr="00F22B6D" w14:paraId="2BC63A65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8888" w14:textId="617EB760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KAE1212480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B54E" w14:textId="2217B2F2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3326</w:t>
            </w:r>
          </w:p>
        </w:tc>
      </w:tr>
      <w:tr w:rsidR="00F22B6D" w:rsidRPr="00F22B6D" w14:paraId="4B18AE22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EBFC" w14:textId="565CD3E8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JHA1111625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24B3" w14:textId="51C80FEF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2624</w:t>
            </w:r>
          </w:p>
        </w:tc>
      </w:tr>
      <w:tr w:rsidR="00F22B6D" w:rsidRPr="00F22B6D" w14:paraId="4ACA1D3E" w14:textId="77777777" w:rsidTr="00F22B6D">
        <w:trPr>
          <w:trHeight w:val="28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36A8" w14:textId="50E32129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EYL2311682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7884" w14:textId="135B6524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2609</w:t>
            </w:r>
          </w:p>
        </w:tc>
      </w:tr>
    </w:tbl>
    <w:p w14:paraId="4384440B" w14:textId="77777777" w:rsidR="00F22B6D" w:rsidRDefault="00F22B6D" w:rsidP="00F22B6D"/>
    <w:p w14:paraId="3DF9C815" w14:textId="77777777" w:rsidR="00A86D30" w:rsidRDefault="00A86D30" w:rsidP="00F22B6D"/>
    <w:p w14:paraId="1986AEFB" w14:textId="5173391B" w:rsidR="00F22B6D" w:rsidRDefault="00F22B6D" w:rsidP="006227BC">
      <w:pPr>
        <w:pStyle w:val="Heading2"/>
        <w:ind w:left="360"/>
      </w:pPr>
      <w:r>
        <w:t>Organic &amp; Google has very high LTV value than the others Sources</w:t>
      </w:r>
    </w:p>
    <w:p w14:paraId="046F4ABC" w14:textId="77777777" w:rsidR="0026474E" w:rsidRPr="0026474E" w:rsidRDefault="0026474E" w:rsidP="0026474E"/>
    <w:tbl>
      <w:tblPr>
        <w:tblW w:w="5098" w:type="dxa"/>
        <w:tblLook w:val="04A0" w:firstRow="1" w:lastRow="0" w:firstColumn="1" w:lastColumn="0" w:noHBand="0" w:noVBand="1"/>
      </w:tblPr>
      <w:tblGrid>
        <w:gridCol w:w="2628"/>
        <w:gridCol w:w="2470"/>
      </w:tblGrid>
      <w:tr w:rsidR="00F22B6D" w:rsidRPr="00F22B6D" w14:paraId="7AC7F027" w14:textId="77777777" w:rsidTr="00F22B6D">
        <w:trPr>
          <w:trHeight w:val="285"/>
        </w:trPr>
        <w:tc>
          <w:tcPr>
            <w:tcW w:w="262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09176" w14:textId="35A876A6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Source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94990" w14:textId="77777777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Average of LTV</w:t>
            </w:r>
          </w:p>
        </w:tc>
      </w:tr>
      <w:tr w:rsidR="00F22B6D" w:rsidRPr="00F22B6D" w14:paraId="2B49AAFE" w14:textId="77777777" w:rsidTr="00F22B6D">
        <w:trPr>
          <w:trHeight w:val="28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F603" w14:textId="77777777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Organic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B605" w14:textId="77777777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389.0</w:t>
            </w:r>
          </w:p>
        </w:tc>
      </w:tr>
      <w:tr w:rsidR="00F22B6D" w:rsidRPr="00F22B6D" w14:paraId="58301F9D" w14:textId="77777777" w:rsidTr="00F22B6D">
        <w:trPr>
          <w:trHeight w:val="28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AF8F" w14:textId="77777777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Google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E042" w14:textId="77777777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342.7</w:t>
            </w:r>
          </w:p>
        </w:tc>
      </w:tr>
      <w:tr w:rsidR="00F22B6D" w:rsidRPr="00F22B6D" w14:paraId="54D39D8C" w14:textId="77777777" w:rsidTr="00F22B6D">
        <w:trPr>
          <w:trHeight w:val="28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A97E" w14:textId="77777777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Offline Campaign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3059" w14:textId="77777777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66.0</w:t>
            </w:r>
          </w:p>
        </w:tc>
      </w:tr>
      <w:tr w:rsidR="00F22B6D" w:rsidRPr="00F22B6D" w14:paraId="7446C55C" w14:textId="77777777" w:rsidTr="00F22B6D">
        <w:trPr>
          <w:trHeight w:val="28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EE2F" w14:textId="77777777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Facebook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513F" w14:textId="77777777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57.7</w:t>
            </w:r>
          </w:p>
        </w:tc>
      </w:tr>
      <w:tr w:rsidR="00F22B6D" w:rsidRPr="00F22B6D" w14:paraId="47F070E6" w14:textId="77777777" w:rsidTr="00F22B6D">
        <w:trPr>
          <w:trHeight w:val="28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54C7" w14:textId="77777777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Snapchat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47F5" w14:textId="77777777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57.5</w:t>
            </w:r>
          </w:p>
        </w:tc>
      </w:tr>
      <w:tr w:rsidR="00F22B6D" w:rsidRPr="00F22B6D" w14:paraId="776BCFF1" w14:textId="77777777" w:rsidTr="00F22B6D">
        <w:trPr>
          <w:trHeight w:val="285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FACC" w14:textId="77777777" w:rsidR="00F22B6D" w:rsidRPr="00F22B6D" w:rsidRDefault="00F22B6D" w:rsidP="00F22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Instagram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5CBF" w14:textId="77777777" w:rsidR="00F22B6D" w:rsidRPr="00F22B6D" w:rsidRDefault="00F22B6D" w:rsidP="00F22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F22B6D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55.5</w:t>
            </w:r>
          </w:p>
        </w:tc>
      </w:tr>
    </w:tbl>
    <w:p w14:paraId="5DF91C4B" w14:textId="77777777" w:rsidR="00F22B6D" w:rsidRDefault="00F22B6D" w:rsidP="00F22B6D"/>
    <w:p w14:paraId="21FF9E83" w14:textId="77777777" w:rsidR="00A86D30" w:rsidRDefault="00A86D30" w:rsidP="00F22B6D"/>
    <w:p w14:paraId="450EE889" w14:textId="77777777" w:rsidR="00A86D30" w:rsidRDefault="00A86D30" w:rsidP="00F22B6D"/>
    <w:p w14:paraId="495EB024" w14:textId="2CA52DDC" w:rsidR="00626465" w:rsidRDefault="00626465" w:rsidP="006227BC">
      <w:pPr>
        <w:pStyle w:val="Heading2"/>
        <w:ind w:left="360"/>
      </w:pPr>
      <w:r>
        <w:lastRenderedPageBreak/>
        <w:t>LTV of the decreasing over the months from Jan to Sep.</w:t>
      </w:r>
    </w:p>
    <w:p w14:paraId="22E5813F" w14:textId="77777777" w:rsidR="0026474E" w:rsidRPr="0026474E" w:rsidRDefault="0026474E" w:rsidP="0026474E"/>
    <w:p w14:paraId="752611F8" w14:textId="3334AB5F" w:rsidR="00F22B6D" w:rsidRPr="00F22B6D" w:rsidRDefault="00626465" w:rsidP="00F22B6D">
      <w:r>
        <w:rPr>
          <w:noProof/>
        </w:rPr>
        <w:drawing>
          <wp:inline distT="0" distB="0" distL="0" distR="0" wp14:anchorId="069F34E8" wp14:editId="2EA5AAD8">
            <wp:extent cx="5715000" cy="2743200"/>
            <wp:effectExtent l="0" t="0" r="0" b="0"/>
            <wp:docPr id="10386643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996BA7-C3BE-BF56-28EC-8D501436F9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FE94768" w14:textId="23651B4D" w:rsidR="004135E7" w:rsidRDefault="004135E7" w:rsidP="004135E7">
      <w:pPr>
        <w:tabs>
          <w:tab w:val="left" w:pos="1440"/>
        </w:tabs>
      </w:pPr>
      <w:r>
        <w:tab/>
      </w:r>
    </w:p>
    <w:tbl>
      <w:tblPr>
        <w:tblW w:w="8842" w:type="dxa"/>
        <w:tblLook w:val="04A0" w:firstRow="1" w:lastRow="0" w:firstColumn="1" w:lastColumn="0" w:noHBand="0" w:noVBand="1"/>
      </w:tblPr>
      <w:tblGrid>
        <w:gridCol w:w="4234"/>
        <w:gridCol w:w="4608"/>
      </w:tblGrid>
      <w:tr w:rsidR="00626465" w:rsidRPr="00626465" w14:paraId="75B74D60" w14:textId="77777777" w:rsidTr="00626465">
        <w:trPr>
          <w:trHeight w:val="242"/>
        </w:trPr>
        <w:tc>
          <w:tcPr>
            <w:tcW w:w="42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B107F8" w14:textId="43633F7D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Acquisition Month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8BA7F5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Average of LTV</w:t>
            </w:r>
          </w:p>
        </w:tc>
      </w:tr>
      <w:tr w:rsidR="00626465" w:rsidRPr="00626465" w14:paraId="404B7644" w14:textId="77777777" w:rsidTr="00626465">
        <w:trPr>
          <w:trHeight w:val="242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40E2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Jan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BE2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471.0</w:t>
            </w:r>
          </w:p>
        </w:tc>
      </w:tr>
      <w:tr w:rsidR="00626465" w:rsidRPr="00626465" w14:paraId="4387047B" w14:textId="77777777" w:rsidTr="00626465">
        <w:trPr>
          <w:trHeight w:val="242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EE63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Feb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2415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222.0</w:t>
            </w:r>
          </w:p>
        </w:tc>
      </w:tr>
      <w:tr w:rsidR="00626465" w:rsidRPr="00626465" w14:paraId="474FB464" w14:textId="77777777" w:rsidTr="00626465">
        <w:trPr>
          <w:trHeight w:val="242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CE22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Mar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B3F6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132.4</w:t>
            </w:r>
          </w:p>
        </w:tc>
      </w:tr>
      <w:tr w:rsidR="00626465" w:rsidRPr="00626465" w14:paraId="18F75013" w14:textId="77777777" w:rsidTr="00626465">
        <w:trPr>
          <w:trHeight w:val="242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9DE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Apr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D5D0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80.5</w:t>
            </w:r>
          </w:p>
        </w:tc>
      </w:tr>
      <w:tr w:rsidR="00626465" w:rsidRPr="00626465" w14:paraId="7F12572F" w14:textId="77777777" w:rsidTr="00626465">
        <w:trPr>
          <w:trHeight w:val="242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B5A1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May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BB54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49.6</w:t>
            </w:r>
          </w:p>
        </w:tc>
      </w:tr>
      <w:tr w:rsidR="00626465" w:rsidRPr="00626465" w14:paraId="208DEA39" w14:textId="77777777" w:rsidTr="00626465">
        <w:trPr>
          <w:trHeight w:val="242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A5D3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Jun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8451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30.4</w:t>
            </w:r>
          </w:p>
        </w:tc>
      </w:tr>
      <w:tr w:rsidR="00626465" w:rsidRPr="00626465" w14:paraId="32769EF2" w14:textId="77777777" w:rsidTr="00626465">
        <w:trPr>
          <w:trHeight w:val="242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5B87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Jul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4D8C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32.4</w:t>
            </w:r>
          </w:p>
        </w:tc>
      </w:tr>
      <w:tr w:rsidR="00626465" w:rsidRPr="00626465" w14:paraId="07B89993" w14:textId="77777777" w:rsidTr="00626465">
        <w:trPr>
          <w:trHeight w:val="242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6E67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Aug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19A4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12.8</w:t>
            </w:r>
          </w:p>
        </w:tc>
      </w:tr>
      <w:tr w:rsidR="00626465" w:rsidRPr="00626465" w14:paraId="1FF92E59" w14:textId="77777777" w:rsidTr="00626465">
        <w:trPr>
          <w:trHeight w:val="242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4C95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Sep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C21A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2.8</w:t>
            </w:r>
          </w:p>
        </w:tc>
      </w:tr>
    </w:tbl>
    <w:p w14:paraId="206AB6EF" w14:textId="77777777" w:rsidR="00626465" w:rsidRDefault="00626465" w:rsidP="004135E7">
      <w:pPr>
        <w:tabs>
          <w:tab w:val="left" w:pos="1440"/>
        </w:tabs>
      </w:pPr>
    </w:p>
    <w:p w14:paraId="3731E1BB" w14:textId="046DDA52" w:rsidR="00626465" w:rsidRDefault="0026474E" w:rsidP="006227BC">
      <w:pPr>
        <w:pStyle w:val="Heading2"/>
        <w:ind w:left="360"/>
      </w:pPr>
      <w:r>
        <w:t>Source</w:t>
      </w:r>
      <w:r w:rsidR="00626465">
        <w:t xml:space="preserve"> LTV </w:t>
      </w:r>
      <w:r>
        <w:t>Wrt.</w:t>
      </w:r>
      <w:r w:rsidR="00626465">
        <w:t xml:space="preserve"> Average Rev/Order</w:t>
      </w:r>
      <w:r w:rsidR="00126CCF">
        <w:t xml:space="preserve"> </w:t>
      </w:r>
    </w:p>
    <w:p w14:paraId="4927A9E2" w14:textId="77777777" w:rsidR="0026474E" w:rsidRPr="0026474E" w:rsidRDefault="0026474E" w:rsidP="0026474E"/>
    <w:tbl>
      <w:tblPr>
        <w:tblW w:w="6112" w:type="dxa"/>
        <w:tblLook w:val="04A0" w:firstRow="1" w:lastRow="0" w:firstColumn="1" w:lastColumn="0" w:noHBand="0" w:noVBand="1"/>
      </w:tblPr>
      <w:tblGrid>
        <w:gridCol w:w="2386"/>
        <w:gridCol w:w="3726"/>
      </w:tblGrid>
      <w:tr w:rsidR="00626465" w:rsidRPr="00626465" w14:paraId="50194168" w14:textId="77777777" w:rsidTr="00626465">
        <w:trPr>
          <w:trHeight w:val="281"/>
        </w:trPr>
        <w:tc>
          <w:tcPr>
            <w:tcW w:w="238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DC185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Row Labels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5D27F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Average of avg Rev / order</w:t>
            </w:r>
          </w:p>
        </w:tc>
      </w:tr>
      <w:tr w:rsidR="00626465" w:rsidRPr="00626465" w14:paraId="259C6B5E" w14:textId="77777777" w:rsidTr="00626465">
        <w:trPr>
          <w:trHeight w:val="281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0294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Facebook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D2C4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203.6</w:t>
            </w:r>
          </w:p>
        </w:tc>
      </w:tr>
      <w:tr w:rsidR="00626465" w:rsidRPr="00626465" w14:paraId="4C7A62D1" w14:textId="77777777" w:rsidTr="00626465">
        <w:trPr>
          <w:trHeight w:val="281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B788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Offline Campaign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DA10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196.7</w:t>
            </w:r>
          </w:p>
        </w:tc>
      </w:tr>
      <w:tr w:rsidR="00626465" w:rsidRPr="00626465" w14:paraId="70FAE3B6" w14:textId="77777777" w:rsidTr="00626465">
        <w:trPr>
          <w:trHeight w:val="281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BEF3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Snapchat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2DA6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193.5</w:t>
            </w:r>
          </w:p>
        </w:tc>
      </w:tr>
      <w:tr w:rsidR="00626465" w:rsidRPr="00626465" w14:paraId="0DD912D9" w14:textId="77777777" w:rsidTr="00626465">
        <w:trPr>
          <w:trHeight w:val="281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B5FA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Instagram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1136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193.2</w:t>
            </w:r>
          </w:p>
        </w:tc>
      </w:tr>
      <w:tr w:rsidR="00626465" w:rsidRPr="00626465" w14:paraId="5270AC75" w14:textId="77777777" w:rsidTr="00626465">
        <w:trPr>
          <w:trHeight w:val="281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B438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Organic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BAAF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128.4</w:t>
            </w:r>
          </w:p>
        </w:tc>
      </w:tr>
      <w:tr w:rsidR="00626465" w:rsidRPr="00626465" w14:paraId="77FEB9BA" w14:textId="77777777" w:rsidTr="00626465">
        <w:trPr>
          <w:trHeight w:val="281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D906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Google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90D3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116.2</w:t>
            </w:r>
          </w:p>
        </w:tc>
      </w:tr>
      <w:tr w:rsidR="00626465" w:rsidRPr="00626465" w14:paraId="58ECBDFD" w14:textId="77777777" w:rsidTr="00626465">
        <w:trPr>
          <w:trHeight w:val="281"/>
        </w:trPr>
        <w:tc>
          <w:tcPr>
            <w:tcW w:w="238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2814ED" w14:textId="77777777" w:rsidR="00626465" w:rsidRPr="00626465" w:rsidRDefault="00626465" w:rsidP="006264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Grand Total</w:t>
            </w:r>
          </w:p>
        </w:tc>
        <w:tc>
          <w:tcPr>
            <w:tcW w:w="372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B7816B" w14:textId="77777777" w:rsidR="00626465" w:rsidRPr="00626465" w:rsidRDefault="00626465" w:rsidP="006264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6264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179.1</w:t>
            </w:r>
          </w:p>
        </w:tc>
      </w:tr>
    </w:tbl>
    <w:p w14:paraId="73529A87" w14:textId="77777777" w:rsidR="004A2991" w:rsidRDefault="004A2991" w:rsidP="0026474E"/>
    <w:p w14:paraId="3B4183F2" w14:textId="4F225639" w:rsidR="0026474E" w:rsidRDefault="0026474E" w:rsidP="0026474E">
      <w:r>
        <w:t xml:space="preserve">*Offline Campaign &amp; </w:t>
      </w:r>
      <w:proofErr w:type="spellStart"/>
      <w:r>
        <w:t>facebook</w:t>
      </w:r>
      <w:proofErr w:type="spellEnd"/>
      <w:r>
        <w:t xml:space="preserve"> has Less LTV but high Average Rev/Order </w:t>
      </w:r>
    </w:p>
    <w:p w14:paraId="436685A8" w14:textId="77777777" w:rsidR="004A2991" w:rsidRDefault="004A2991" w:rsidP="0026474E"/>
    <w:p w14:paraId="56C66DC8" w14:textId="72E8B08D" w:rsidR="00626465" w:rsidRDefault="0026474E" w:rsidP="006227BC">
      <w:pPr>
        <w:pStyle w:val="Heading2"/>
        <w:ind w:left="360"/>
      </w:pPr>
      <w:r>
        <w:t>Rating wrt Slot &amp; No. of Products ordered</w:t>
      </w:r>
    </w:p>
    <w:p w14:paraId="2C11F6CA" w14:textId="77777777" w:rsidR="00126CCF" w:rsidRDefault="00126CCF" w:rsidP="004135E7">
      <w:pPr>
        <w:tabs>
          <w:tab w:val="left" w:pos="1440"/>
        </w:tabs>
      </w:pPr>
    </w:p>
    <w:tbl>
      <w:tblPr>
        <w:tblpPr w:leftFromText="180" w:rightFromText="180" w:vertAnchor="text" w:tblpY="1"/>
        <w:tblOverlap w:val="never"/>
        <w:tblW w:w="3680" w:type="dxa"/>
        <w:tblLook w:val="04A0" w:firstRow="1" w:lastRow="0" w:firstColumn="1" w:lastColumn="0" w:noHBand="0" w:noVBand="1"/>
      </w:tblPr>
      <w:tblGrid>
        <w:gridCol w:w="1360"/>
        <w:gridCol w:w="2320"/>
      </w:tblGrid>
      <w:tr w:rsidR="00126CCF" w:rsidRPr="00126CCF" w14:paraId="70E79A63" w14:textId="77777777" w:rsidTr="00126CC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FB03E9" w14:textId="77777777" w:rsidR="00126CCF" w:rsidRPr="00126CCF" w:rsidRDefault="00126CCF" w:rsidP="00126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Row Labels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1B3B1" w14:textId="77777777" w:rsidR="00126CCF" w:rsidRPr="00126CCF" w:rsidRDefault="00126CCF" w:rsidP="00126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Average of Order Rating</w:t>
            </w:r>
          </w:p>
        </w:tc>
      </w:tr>
      <w:tr w:rsidR="00126CCF" w:rsidRPr="00126CCF" w14:paraId="4421F3C2" w14:textId="77777777" w:rsidTr="00126CC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C95F" w14:textId="77777777" w:rsidR="00126CCF" w:rsidRPr="00126CCF" w:rsidRDefault="00126CCF" w:rsidP="00126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Afternoon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E94D" w14:textId="77777777" w:rsidR="00126CCF" w:rsidRPr="00126CCF" w:rsidRDefault="00126CCF" w:rsidP="00126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3.68</w:t>
            </w:r>
          </w:p>
        </w:tc>
      </w:tr>
      <w:tr w:rsidR="00126CCF" w:rsidRPr="00126CCF" w14:paraId="5B3549B1" w14:textId="77777777" w:rsidTr="00126CC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37F6" w14:textId="77777777" w:rsidR="00126CCF" w:rsidRPr="00126CCF" w:rsidRDefault="00126CCF" w:rsidP="00126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Evening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B415" w14:textId="77777777" w:rsidR="00126CCF" w:rsidRPr="00126CCF" w:rsidRDefault="00126CCF" w:rsidP="00126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3.67</w:t>
            </w:r>
          </w:p>
        </w:tc>
      </w:tr>
      <w:tr w:rsidR="00126CCF" w:rsidRPr="00126CCF" w14:paraId="014A2732" w14:textId="77777777" w:rsidTr="00126CC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F0C1" w14:textId="77777777" w:rsidR="00126CCF" w:rsidRPr="00126CCF" w:rsidRDefault="00126CCF" w:rsidP="00126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Late Night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F3B4" w14:textId="77777777" w:rsidR="00126CCF" w:rsidRPr="00126CCF" w:rsidRDefault="00126CCF" w:rsidP="00126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3.33</w:t>
            </w:r>
          </w:p>
        </w:tc>
      </w:tr>
      <w:tr w:rsidR="00126CCF" w:rsidRPr="00126CCF" w14:paraId="5E511555" w14:textId="77777777" w:rsidTr="00126CC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64BC" w14:textId="77777777" w:rsidR="00126CCF" w:rsidRPr="00126CCF" w:rsidRDefault="00126CCF" w:rsidP="00126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Morning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349" w14:textId="77777777" w:rsidR="00126CCF" w:rsidRPr="00126CCF" w:rsidRDefault="00126CCF" w:rsidP="00126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3.70</w:t>
            </w:r>
          </w:p>
        </w:tc>
      </w:tr>
      <w:tr w:rsidR="00126CCF" w:rsidRPr="00126CCF" w14:paraId="4471AECC" w14:textId="77777777" w:rsidTr="00126CC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3CE3" w14:textId="77777777" w:rsidR="00126CCF" w:rsidRPr="00126CCF" w:rsidRDefault="00126CCF" w:rsidP="00126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Night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B697" w14:textId="77777777" w:rsidR="00126CCF" w:rsidRPr="00126CCF" w:rsidRDefault="00126CCF" w:rsidP="00126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3.58</w:t>
            </w:r>
          </w:p>
        </w:tc>
      </w:tr>
      <w:tr w:rsidR="00126CCF" w:rsidRPr="00126CCF" w14:paraId="6B56B2E4" w14:textId="77777777" w:rsidTr="00126CCF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4BB02F" w14:textId="77777777" w:rsidR="00126CCF" w:rsidRPr="00126CCF" w:rsidRDefault="00126CCF" w:rsidP="00126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Grand Total</w:t>
            </w:r>
          </w:p>
        </w:tc>
        <w:tc>
          <w:tcPr>
            <w:tcW w:w="2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B2E060" w14:textId="77777777" w:rsidR="00126CCF" w:rsidRPr="00126CCF" w:rsidRDefault="00126CCF" w:rsidP="00126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26C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14:ligatures w14:val="none"/>
              </w:rPr>
              <w:t>3.64</w:t>
            </w:r>
          </w:p>
        </w:tc>
      </w:tr>
    </w:tbl>
    <w:p w14:paraId="2FD9157C" w14:textId="0239E682" w:rsidR="00126CCF" w:rsidRDefault="00126CCF" w:rsidP="004135E7">
      <w:pPr>
        <w:tabs>
          <w:tab w:val="left" w:pos="1440"/>
        </w:tabs>
      </w:pPr>
      <w:r>
        <w:br w:type="textWrapping" w:clear="all"/>
      </w:r>
    </w:p>
    <w:p w14:paraId="2B81DB57" w14:textId="1D89A1F1" w:rsidR="00A43545" w:rsidRDefault="009773DA" w:rsidP="00A43545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4E231B41" wp14:editId="3C5C02A1">
            <wp:extent cx="5250180" cy="2743200"/>
            <wp:effectExtent l="0" t="0" r="7620" b="0"/>
            <wp:docPr id="12970256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369025-10F0-51AC-7845-8DD3F1545F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BDBC67" w14:textId="60175B40" w:rsidR="004A2991" w:rsidRDefault="004A2991" w:rsidP="004A2991">
      <w:r>
        <w:t xml:space="preserve">Only 459 Customer has more LTV than 3750 Customer. In organic &amp; google customer has high LTV as per trend </w:t>
      </w:r>
      <w:r w:rsidR="004C5FC1">
        <w:t>of LTV value is decreasing over month Jan to Sept.</w:t>
      </w:r>
    </w:p>
    <w:p w14:paraId="5FAD5F8E" w14:textId="67DF411F" w:rsidR="004C5FC1" w:rsidRPr="004A2991" w:rsidRDefault="004C5FC1" w:rsidP="004A2991">
      <w:r>
        <w:t xml:space="preserve">Offline campaign &amp; Facebook has less LTV but the high avg Revenue/Order value. Rating is in increasing order for more no of Product purchased, Late night has less rating than other slots </w:t>
      </w:r>
    </w:p>
    <w:p w14:paraId="4EBD4692" w14:textId="77777777" w:rsidR="004A2991" w:rsidRDefault="004A2991" w:rsidP="004C5FC1">
      <w:pPr>
        <w:rPr>
          <w:noProof/>
        </w:rPr>
      </w:pPr>
    </w:p>
    <w:p w14:paraId="1E96DA5F" w14:textId="42FF145F" w:rsidR="00A43545" w:rsidRDefault="00A43545" w:rsidP="006227BC">
      <w:pPr>
        <w:pStyle w:val="Heading1"/>
        <w:rPr>
          <w:noProof/>
        </w:rPr>
      </w:pPr>
      <w:r>
        <w:rPr>
          <w:noProof/>
        </w:rPr>
        <w:lastRenderedPageBreak/>
        <w:t>Delivery Level Analysis</w:t>
      </w:r>
    </w:p>
    <w:p w14:paraId="6F4ED491" w14:textId="19842AA2" w:rsidR="00A43545" w:rsidRPr="00A43545" w:rsidRDefault="0040704D" w:rsidP="006227BC">
      <w:pPr>
        <w:pStyle w:val="Heading2"/>
        <w:ind w:left="360"/>
      </w:pPr>
      <w:r>
        <w:t>Avg overall delivery time wrt Drop area and months.</w:t>
      </w:r>
    </w:p>
    <w:p w14:paraId="30689700" w14:textId="4C5B24AB" w:rsidR="00E02D29" w:rsidRDefault="00E02D29" w:rsidP="009773DA">
      <w:r w:rsidRPr="00E02D29">
        <w:rPr>
          <w:noProof/>
        </w:rPr>
        <w:drawing>
          <wp:anchor distT="0" distB="0" distL="114300" distR="114300" simplePos="0" relativeHeight="251658240" behindDoc="0" locked="0" layoutInCell="1" allowOverlap="1" wp14:anchorId="3D8DB1A2" wp14:editId="030697D6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577840" cy="2202180"/>
            <wp:effectExtent l="0" t="0" r="3810" b="7620"/>
            <wp:wrapSquare wrapText="bothSides"/>
            <wp:docPr id="67762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93D137" w14:textId="77777777" w:rsidR="00E02D29" w:rsidRPr="00E02D29" w:rsidRDefault="00E02D29" w:rsidP="00E02D29"/>
    <w:p w14:paraId="7A48E43D" w14:textId="77777777" w:rsidR="00E02D29" w:rsidRPr="00E02D29" w:rsidRDefault="00E02D29" w:rsidP="00E02D29"/>
    <w:p w14:paraId="29D0A7C2" w14:textId="77777777" w:rsidR="00E02D29" w:rsidRPr="00E02D29" w:rsidRDefault="00E02D29" w:rsidP="00E02D29"/>
    <w:p w14:paraId="2B65B101" w14:textId="77777777" w:rsidR="00E02D29" w:rsidRPr="00E02D29" w:rsidRDefault="00E02D29" w:rsidP="00E02D29"/>
    <w:p w14:paraId="10D446C4" w14:textId="77777777" w:rsidR="00E02D29" w:rsidRPr="00E02D29" w:rsidRDefault="00E02D29" w:rsidP="00E02D29"/>
    <w:p w14:paraId="620C9284" w14:textId="77777777" w:rsidR="00E02D29" w:rsidRPr="00E02D29" w:rsidRDefault="00E02D29" w:rsidP="00E02D29"/>
    <w:p w14:paraId="03CD2BCC" w14:textId="77777777" w:rsidR="00E02D29" w:rsidRDefault="00E02D29" w:rsidP="009773DA"/>
    <w:p w14:paraId="2AB2B050" w14:textId="77777777" w:rsidR="0040704D" w:rsidRDefault="0040704D" w:rsidP="0040704D">
      <w:pPr>
        <w:tabs>
          <w:tab w:val="left" w:pos="900"/>
        </w:tabs>
      </w:pPr>
    </w:p>
    <w:p w14:paraId="5403334D" w14:textId="7EEB82A6" w:rsidR="009773DA" w:rsidRDefault="009773DA" w:rsidP="0040704D"/>
    <w:p w14:paraId="1306A490" w14:textId="54481BF9" w:rsidR="00E02D29" w:rsidRDefault="00E02D29" w:rsidP="00E02D29">
      <w:pPr>
        <w:tabs>
          <w:tab w:val="left" w:pos="1884"/>
        </w:tabs>
      </w:pPr>
      <w:r w:rsidRPr="00E02D29">
        <w:rPr>
          <w:noProof/>
        </w:rPr>
        <w:drawing>
          <wp:inline distT="0" distB="0" distL="0" distR="0" wp14:anchorId="793BF9C9" wp14:editId="3B194A67">
            <wp:extent cx="5318760" cy="2202180"/>
            <wp:effectExtent l="0" t="0" r="0" b="7620"/>
            <wp:docPr id="226648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4F30" w14:textId="10C28C0C" w:rsidR="00E02D29" w:rsidRDefault="0040704D" w:rsidP="006227BC">
      <w:pPr>
        <w:pStyle w:val="Heading2"/>
        <w:ind w:left="360"/>
      </w:pPr>
      <w:r>
        <w:t>Avg overall delivery time wrt weekday/Weekend and Months.</w:t>
      </w:r>
    </w:p>
    <w:p w14:paraId="5552A7CF" w14:textId="77777777" w:rsidR="0040704D" w:rsidRPr="0040704D" w:rsidRDefault="0040704D" w:rsidP="0040704D"/>
    <w:p w14:paraId="2FD6BCB4" w14:textId="030E6E94" w:rsidR="00E02D29" w:rsidRDefault="00E02D29" w:rsidP="00E02D29">
      <w:r w:rsidRPr="00E02D29">
        <w:rPr>
          <w:noProof/>
        </w:rPr>
        <w:drawing>
          <wp:inline distT="0" distB="0" distL="0" distR="0" wp14:anchorId="0356D76F" wp14:editId="4EE6B083">
            <wp:extent cx="2392680" cy="2019300"/>
            <wp:effectExtent l="0" t="0" r="7620" b="0"/>
            <wp:docPr id="1799912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E769" w14:textId="439FC8F7" w:rsidR="0040704D" w:rsidRDefault="0040704D" w:rsidP="006227BC">
      <w:pPr>
        <w:pStyle w:val="Heading2"/>
        <w:ind w:left="360"/>
      </w:pPr>
      <w:r>
        <w:lastRenderedPageBreak/>
        <w:t>Avg overall delivery time wrt Slot.</w:t>
      </w:r>
    </w:p>
    <w:p w14:paraId="700B2147" w14:textId="77777777" w:rsidR="0040704D" w:rsidRPr="0040704D" w:rsidRDefault="0040704D" w:rsidP="0040704D"/>
    <w:p w14:paraId="7245D758" w14:textId="684DE135" w:rsidR="00E02D29" w:rsidRDefault="00E02D29" w:rsidP="00E02D29">
      <w:pPr>
        <w:rPr>
          <w:noProof/>
        </w:rPr>
      </w:pPr>
      <w:r w:rsidRPr="00E02D29">
        <w:rPr>
          <w:noProof/>
        </w:rPr>
        <w:drawing>
          <wp:inline distT="0" distB="0" distL="0" distR="0" wp14:anchorId="6B98B956" wp14:editId="2BD011F6">
            <wp:extent cx="2331720" cy="1287780"/>
            <wp:effectExtent l="0" t="0" r="0" b="7620"/>
            <wp:docPr id="4347636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C960" w14:textId="77777777" w:rsidR="00A86D30" w:rsidRDefault="00A86D30" w:rsidP="00A86D30">
      <w:pPr>
        <w:rPr>
          <w:noProof/>
        </w:rPr>
      </w:pPr>
    </w:p>
    <w:p w14:paraId="46F9342F" w14:textId="6D3B4983" w:rsidR="00A86D30" w:rsidRPr="00A86D30" w:rsidRDefault="00A86D30" w:rsidP="00A86D30">
      <w:pP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A86D30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Bellandur</w:t>
      </w:r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</w:t>
      </w:r>
      <w:proofErr w:type="spellStart"/>
      <w:proofErr w:type="gramStart"/>
      <w:r w:rsidRPr="00A86D30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Bomannahali</w:t>
      </w:r>
      <w:proofErr w:type="spellEnd"/>
      <w:r w:rsidRPr="00A86D30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,</w:t>
      </w:r>
      <w:proofErr w:type="gramEnd"/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</w:t>
      </w:r>
      <w:proofErr w:type="spellStart"/>
      <w:r w:rsidRPr="00A86D30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Harlur</w:t>
      </w:r>
      <w:proofErr w:type="spellEnd"/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</w:t>
      </w:r>
      <w:r w:rsidRPr="00A86D30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HSR Layout</w:t>
      </w:r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, </w:t>
      </w:r>
      <w:r w:rsidRPr="00A86D30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ITI Layout</w:t>
      </w:r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has nearly avg delivery time of 30 mins &amp; approx. same trend followed for the delivery/product charge. For all the months avg delivery for weekend is more than the weekdays &amp; has less delivery time in the Late</w:t>
      </w:r>
      <w:r w:rsidR="00FA10F0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-</w:t>
      </w:r>
      <w:r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night slot due to less traffic.</w:t>
      </w:r>
    </w:p>
    <w:sectPr w:rsidR="00A86D30" w:rsidRPr="00A8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82B8D" w14:textId="77777777" w:rsidR="00CC3A74" w:rsidRDefault="00CC3A74" w:rsidP="004135E7">
      <w:pPr>
        <w:spacing w:after="0" w:line="240" w:lineRule="auto"/>
      </w:pPr>
      <w:r>
        <w:separator/>
      </w:r>
    </w:p>
  </w:endnote>
  <w:endnote w:type="continuationSeparator" w:id="0">
    <w:p w14:paraId="5B0F226E" w14:textId="77777777" w:rsidR="00CC3A74" w:rsidRDefault="00CC3A74" w:rsidP="0041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082C8" w14:textId="77777777" w:rsidR="00CC3A74" w:rsidRDefault="00CC3A74" w:rsidP="004135E7">
      <w:pPr>
        <w:spacing w:after="0" w:line="240" w:lineRule="auto"/>
      </w:pPr>
      <w:r>
        <w:separator/>
      </w:r>
    </w:p>
  </w:footnote>
  <w:footnote w:type="continuationSeparator" w:id="0">
    <w:p w14:paraId="0E780E62" w14:textId="77777777" w:rsidR="00CC3A74" w:rsidRDefault="00CC3A74" w:rsidP="00413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7AA5"/>
    <w:multiLevelType w:val="hybridMultilevel"/>
    <w:tmpl w:val="025A7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3E47"/>
    <w:multiLevelType w:val="hybridMultilevel"/>
    <w:tmpl w:val="CA14EC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421339"/>
    <w:multiLevelType w:val="hybridMultilevel"/>
    <w:tmpl w:val="D3A26FEE"/>
    <w:lvl w:ilvl="0" w:tplc="B90EE1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B7FF9"/>
    <w:multiLevelType w:val="hybridMultilevel"/>
    <w:tmpl w:val="B366CE0A"/>
    <w:lvl w:ilvl="0" w:tplc="90B88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87947">
    <w:abstractNumId w:val="3"/>
  </w:num>
  <w:num w:numId="2" w16cid:durableId="334186999">
    <w:abstractNumId w:val="2"/>
  </w:num>
  <w:num w:numId="3" w16cid:durableId="868883424">
    <w:abstractNumId w:val="0"/>
  </w:num>
  <w:num w:numId="4" w16cid:durableId="160132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EC"/>
    <w:rsid w:val="00126CCF"/>
    <w:rsid w:val="00193523"/>
    <w:rsid w:val="00221031"/>
    <w:rsid w:val="0026474E"/>
    <w:rsid w:val="002E26E9"/>
    <w:rsid w:val="00393433"/>
    <w:rsid w:val="003C52DE"/>
    <w:rsid w:val="0040704D"/>
    <w:rsid w:val="004135E7"/>
    <w:rsid w:val="00473D31"/>
    <w:rsid w:val="004A2991"/>
    <w:rsid w:val="004C5FC1"/>
    <w:rsid w:val="004D39E2"/>
    <w:rsid w:val="006227BC"/>
    <w:rsid w:val="00626465"/>
    <w:rsid w:val="006553A4"/>
    <w:rsid w:val="0065704F"/>
    <w:rsid w:val="00714FF0"/>
    <w:rsid w:val="00721CE5"/>
    <w:rsid w:val="007D7B36"/>
    <w:rsid w:val="00944299"/>
    <w:rsid w:val="009773DA"/>
    <w:rsid w:val="00981881"/>
    <w:rsid w:val="009D249C"/>
    <w:rsid w:val="00A43545"/>
    <w:rsid w:val="00A67A71"/>
    <w:rsid w:val="00A7423B"/>
    <w:rsid w:val="00A86D30"/>
    <w:rsid w:val="00B068D8"/>
    <w:rsid w:val="00B44CC8"/>
    <w:rsid w:val="00B56678"/>
    <w:rsid w:val="00BC5D77"/>
    <w:rsid w:val="00C14D0B"/>
    <w:rsid w:val="00C34DE5"/>
    <w:rsid w:val="00CC3A74"/>
    <w:rsid w:val="00D93D1E"/>
    <w:rsid w:val="00E02D29"/>
    <w:rsid w:val="00E221BC"/>
    <w:rsid w:val="00F22B6D"/>
    <w:rsid w:val="00F23CEC"/>
    <w:rsid w:val="00FA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3D22"/>
  <w15:chartTrackingRefBased/>
  <w15:docId w15:val="{DF108D65-61A1-4B49-9229-F682BEA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E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F23CE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413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E7"/>
  </w:style>
  <w:style w:type="paragraph" w:styleId="Footer">
    <w:name w:val="footer"/>
    <w:basedOn w:val="Normal"/>
    <w:link w:val="FooterChar"/>
    <w:uiPriority w:val="99"/>
    <w:unhideWhenUsed/>
    <w:rsid w:val="00413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E7"/>
  </w:style>
  <w:style w:type="character" w:customStyle="1" w:styleId="Heading3Char">
    <w:name w:val="Heading 3 Char"/>
    <w:basedOn w:val="DefaultParagraphFont"/>
    <w:link w:val="Heading3"/>
    <w:uiPriority w:val="9"/>
    <w:rsid w:val="00A4354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26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4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%20K\Downloads\Excel%20CapstoneTransactionData_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%20K\Downloads\Excel%20CapstoneTransactionData_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%20K\Downloads\Excel%20CapstoneTransactionData_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%20K\Downloads\Excel%20CapstoneTransactionData_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%20K\Downloads\Excel%20CapstoneTransactionData_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Analysis'!$J$3:$J$4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Analysis'!$I$5:$I$10</c:f>
              <c:strCache>
                <c:ptCount val="5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</c:strCache>
            </c:strRef>
          </c:cat>
          <c:val>
            <c:numRef>
              <c:f>'Order Level Analysis'!$J$5:$J$10</c:f>
              <c:numCache>
                <c:formatCode>0.00%</c:formatCode>
                <c:ptCount val="5"/>
                <c:pt idx="0">
                  <c:v>4.8602229124794442E-2</c:v>
                </c:pt>
                <c:pt idx="1">
                  <c:v>1.2013520920884341E-2</c:v>
                </c:pt>
                <c:pt idx="2">
                  <c:v>2.4209756988854375E-3</c:v>
                </c:pt>
                <c:pt idx="3">
                  <c:v>4.0654120226566786E-3</c:v>
                </c:pt>
                <c:pt idx="4">
                  <c:v>2.5123332724282842E-3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45-44E4-945F-5B97892805E9}"/>
            </c:ext>
          </c:extLst>
        </c:ser>
        <c:ser>
          <c:idx val="1"/>
          <c:order val="1"/>
          <c:tx>
            <c:strRef>
              <c:f>'Order Level Analysis'!$K$3:$K$4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Analysis'!$I$5:$I$10</c:f>
              <c:strCache>
                <c:ptCount val="5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</c:strCache>
            </c:strRef>
          </c:cat>
          <c:val>
            <c:numRef>
              <c:f>'Order Level Analysis'!$K$5:$K$10</c:f>
              <c:numCache>
                <c:formatCode>0.00%</c:formatCode>
                <c:ptCount val="5"/>
                <c:pt idx="0">
                  <c:v>5.408368353736525E-2</c:v>
                </c:pt>
                <c:pt idx="1">
                  <c:v>1.1511054266398684E-2</c:v>
                </c:pt>
                <c:pt idx="2">
                  <c:v>3.1518362872282111E-3</c:v>
                </c:pt>
                <c:pt idx="3">
                  <c:v>1.964187831171204E-3</c:v>
                </c:pt>
                <c:pt idx="4">
                  <c:v>2.0555454047140507E-3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45-44E4-945F-5B97892805E9}"/>
            </c:ext>
          </c:extLst>
        </c:ser>
        <c:ser>
          <c:idx val="2"/>
          <c:order val="2"/>
          <c:tx>
            <c:strRef>
              <c:f>'Order Level Analysis'!$L$3:$L$4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Analysis'!$I$5:$I$10</c:f>
              <c:strCache>
                <c:ptCount val="5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</c:strCache>
            </c:strRef>
          </c:cat>
          <c:val>
            <c:numRef>
              <c:f>'Order Level Analysis'!$L$5:$L$10</c:f>
              <c:numCache>
                <c:formatCode>0.00%</c:formatCode>
                <c:ptCount val="5"/>
                <c:pt idx="0">
                  <c:v>7.121322857664901E-2</c:v>
                </c:pt>
                <c:pt idx="1">
                  <c:v>1.5941896583226749E-2</c:v>
                </c:pt>
                <c:pt idx="2">
                  <c:v>3.9740544491138315E-3</c:v>
                </c:pt>
                <c:pt idx="3">
                  <c:v>2.1925817650283209E-3</c:v>
                </c:pt>
                <c:pt idx="4">
                  <c:v>2.3296181253425908E-3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45-44E4-945F-5B97892805E9}"/>
            </c:ext>
          </c:extLst>
        </c:ser>
        <c:ser>
          <c:idx val="3"/>
          <c:order val="3"/>
          <c:tx>
            <c:strRef>
              <c:f>'Order Level Analysis'!$M$3:$M$4</c:f>
              <c:strCache>
                <c:ptCount val="1"/>
                <c:pt idx="0">
                  <c:v>Apr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Analysis'!$I$5:$I$10</c:f>
              <c:strCache>
                <c:ptCount val="5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</c:strCache>
            </c:strRef>
          </c:cat>
          <c:val>
            <c:numRef>
              <c:f>'Order Level Analysis'!$M$5:$M$10</c:f>
              <c:numCache>
                <c:formatCode>0.00%</c:formatCode>
                <c:ptCount val="5"/>
                <c:pt idx="0">
                  <c:v>8.1125525306047871E-2</c:v>
                </c:pt>
                <c:pt idx="1">
                  <c:v>1.6764114745112371E-2</c:v>
                </c:pt>
                <c:pt idx="2">
                  <c:v>3.9283756623424079E-3</c:v>
                </c:pt>
                <c:pt idx="3">
                  <c:v>2.6493696327425545E-3</c:v>
                </c:pt>
                <c:pt idx="4">
                  <c:v>2.1469029782568974E-3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45-44E4-945F-5B97892805E9}"/>
            </c:ext>
          </c:extLst>
        </c:ser>
        <c:ser>
          <c:idx val="4"/>
          <c:order val="4"/>
          <c:tx>
            <c:strRef>
              <c:f>'Order Level Analysis'!$N$3:$N$4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Analysis'!$I$5:$I$10</c:f>
              <c:strCache>
                <c:ptCount val="5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</c:strCache>
            </c:strRef>
          </c:cat>
          <c:val>
            <c:numRef>
              <c:f>'Order Level Analysis'!$N$5:$N$10</c:f>
              <c:numCache>
                <c:formatCode>0.00%</c:formatCode>
                <c:ptCount val="5"/>
                <c:pt idx="0">
                  <c:v>8.0668737438333638E-2</c:v>
                </c:pt>
                <c:pt idx="1">
                  <c:v>1.6170290517083866E-2</c:v>
                </c:pt>
                <c:pt idx="2">
                  <c:v>3.106157500456788E-3</c:v>
                </c:pt>
                <c:pt idx="3">
                  <c:v>2.2839393385711677E-3</c:v>
                </c:pt>
                <c:pt idx="4">
                  <c:v>3.5629453681710215E-3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45-44E4-945F-5B97892805E9}"/>
            </c:ext>
          </c:extLst>
        </c:ser>
        <c:ser>
          <c:idx val="5"/>
          <c:order val="5"/>
          <c:tx>
            <c:strRef>
              <c:f>'Order Level Analysis'!$O$3:$O$4</c:f>
              <c:strCache>
                <c:ptCount val="1"/>
                <c:pt idx="0">
                  <c:v>Jun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'Order Level Analysis'!$I$5:$I$10</c:f>
              <c:strCache>
                <c:ptCount val="5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</c:strCache>
            </c:strRef>
          </c:cat>
          <c:val>
            <c:numRef>
              <c:f>'Order Level Analysis'!$O$5:$O$10</c:f>
              <c:numCache>
                <c:formatCode>0.00%</c:formatCode>
                <c:ptCount val="5"/>
                <c:pt idx="0">
                  <c:v>8.4688470674218891E-2</c:v>
                </c:pt>
                <c:pt idx="1">
                  <c:v>1.9961629819112005E-2</c:v>
                </c:pt>
                <c:pt idx="2">
                  <c:v>3.0604787136853644E-3</c:v>
                </c:pt>
                <c:pt idx="3">
                  <c:v>2.9691211401425177E-3</c:v>
                </c:pt>
                <c:pt idx="4">
                  <c:v>4.5678786771423353E-3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345-44E4-945F-5B97892805E9}"/>
            </c:ext>
          </c:extLst>
        </c:ser>
        <c:ser>
          <c:idx val="6"/>
          <c:order val="6"/>
          <c:tx>
            <c:strRef>
              <c:f>'Order Level Analysis'!$P$3:$P$4</c:f>
              <c:strCache>
                <c:ptCount val="1"/>
                <c:pt idx="0">
                  <c:v>Jul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Analysis'!$I$5:$I$10</c:f>
              <c:strCache>
                <c:ptCount val="5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</c:strCache>
            </c:strRef>
          </c:cat>
          <c:val>
            <c:numRef>
              <c:f>'Order Level Analysis'!$P$5:$P$10</c:f>
              <c:numCache>
                <c:formatCode>0.00%</c:formatCode>
                <c:ptCount val="5"/>
                <c:pt idx="0">
                  <c:v>8.5876119130275902E-2</c:v>
                </c:pt>
                <c:pt idx="1">
                  <c:v>2.1331993422254704E-2</c:v>
                </c:pt>
                <c:pt idx="2">
                  <c:v>3.8370180887995617E-3</c:v>
                </c:pt>
                <c:pt idx="3">
                  <c:v>2.9691211401425177E-3</c:v>
                </c:pt>
                <c:pt idx="4">
                  <c:v>2.6036908459711309E-3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345-44E4-945F-5B97892805E9}"/>
            </c:ext>
          </c:extLst>
        </c:ser>
        <c:ser>
          <c:idx val="7"/>
          <c:order val="7"/>
          <c:tx>
            <c:strRef>
              <c:f>'Order Level Analysis'!$Q$3:$Q$4</c:f>
              <c:strCache>
                <c:ptCount val="1"/>
                <c:pt idx="0">
                  <c:v>Aug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Analysis'!$I$5:$I$10</c:f>
              <c:strCache>
                <c:ptCount val="5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</c:strCache>
            </c:strRef>
          </c:cat>
          <c:val>
            <c:numRef>
              <c:f>'Order Level Analysis'!$Q$5:$Q$10</c:f>
              <c:numCache>
                <c:formatCode>0.00%</c:formatCode>
                <c:ptCount val="5"/>
                <c:pt idx="0">
                  <c:v>8.7657591814361405E-2</c:v>
                </c:pt>
                <c:pt idx="1">
                  <c:v>2.3981363054997259E-2</c:v>
                </c:pt>
                <c:pt idx="2">
                  <c:v>1.1556733053170109E-2</c:v>
                </c:pt>
                <c:pt idx="3">
                  <c:v>3.6086241549424447E-3</c:v>
                </c:pt>
                <c:pt idx="4">
                  <c:v>2.4666544856568611E-3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345-44E4-945F-5B97892805E9}"/>
            </c:ext>
          </c:extLst>
        </c:ser>
        <c:ser>
          <c:idx val="8"/>
          <c:order val="8"/>
          <c:tx>
            <c:strRef>
              <c:f>'Order Level Analysis'!$R$3:$R$4</c:f>
              <c:strCache>
                <c:ptCount val="1"/>
                <c:pt idx="0">
                  <c:v>Sep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'Order Level Analysis'!$I$5:$I$10</c:f>
              <c:strCache>
                <c:ptCount val="5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</c:strCache>
            </c:strRef>
          </c:cat>
          <c:val>
            <c:numRef>
              <c:f>'Order Level Analysis'!$R$5:$R$10</c:f>
              <c:numCache>
                <c:formatCode>0.00%</c:formatCode>
                <c:ptCount val="5"/>
                <c:pt idx="0">
                  <c:v>0.11844509409830074</c:v>
                </c:pt>
                <c:pt idx="1">
                  <c:v>4.1841768682623792E-2</c:v>
                </c:pt>
                <c:pt idx="2">
                  <c:v>2.4575187283025764E-2</c:v>
                </c:pt>
                <c:pt idx="3">
                  <c:v>2.2839393385711677E-3</c:v>
                </c:pt>
                <c:pt idx="4">
                  <c:v>1.2790060295998539E-3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345-44E4-945F-5B9789280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39599"/>
        <c:axId val="257829519"/>
      </c:barChart>
      <c:catAx>
        <c:axId val="257839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829519"/>
        <c:crosses val="autoZero"/>
        <c:auto val="1"/>
        <c:lblAlgn val="ctr"/>
        <c:lblOffset val="100"/>
        <c:noMultiLvlLbl val="0"/>
      </c:catAx>
      <c:valAx>
        <c:axId val="25782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839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CapstoneTransactionData_.xlsx]Completion Rate Analysis!PivotTable7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Order completion rate Vs</a:t>
            </a:r>
            <a:r>
              <a:rPr lang="en-US" baseline="0"/>
              <a:t> No of Product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'Completion Rate Analysis'!$I$14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'Completion Rate Analysis'!$H$15:$H$40</c:f>
              <c:strCach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strCache>
            </c:strRef>
          </c:cat>
          <c:val>
            <c:numRef>
              <c:f>'Completion Rate Analysis'!$I$15:$I$40</c:f>
              <c:numCache>
                <c:formatCode>0.00%</c:formatCode>
                <c:ptCount val="25"/>
                <c:pt idx="0">
                  <c:v>0.99485388977102807</c:v>
                </c:pt>
                <c:pt idx="1">
                  <c:v>0.99500570094669949</c:v>
                </c:pt>
                <c:pt idx="2">
                  <c:v>0.99516936241074339</c:v>
                </c:pt>
                <c:pt idx="3">
                  <c:v>0.99521856673603648</c:v>
                </c:pt>
                <c:pt idx="4">
                  <c:v>0.99526346869215976</c:v>
                </c:pt>
                <c:pt idx="5">
                  <c:v>0.99525778015925637</c:v>
                </c:pt>
                <c:pt idx="6">
                  <c:v>0.99545800250704586</c:v>
                </c:pt>
                <c:pt idx="7">
                  <c:v>0.99540376809263809</c:v>
                </c:pt>
                <c:pt idx="8">
                  <c:v>0.995442843997565</c:v>
                </c:pt>
                <c:pt idx="9">
                  <c:v>0.99552854787328759</c:v>
                </c:pt>
                <c:pt idx="10">
                  <c:v>0.99550160429450485</c:v>
                </c:pt>
                <c:pt idx="11">
                  <c:v>0.99551457389923936</c:v>
                </c:pt>
                <c:pt idx="12">
                  <c:v>0.99559212193315882</c:v>
                </c:pt>
                <c:pt idx="13">
                  <c:v>0.99552540869670947</c:v>
                </c:pt>
                <c:pt idx="14">
                  <c:v>0.99539215380277402</c:v>
                </c:pt>
                <c:pt idx="15">
                  <c:v>0.99579143196724518</c:v>
                </c:pt>
                <c:pt idx="16">
                  <c:v>0.99546192710913228</c:v>
                </c:pt>
                <c:pt idx="17">
                  <c:v>0.99565369632833467</c:v>
                </c:pt>
                <c:pt idx="18">
                  <c:v>0.9956904247204974</c:v>
                </c:pt>
                <c:pt idx="19">
                  <c:v>0.99400942067027542</c:v>
                </c:pt>
                <c:pt idx="20">
                  <c:v>0.99582026656651423</c:v>
                </c:pt>
                <c:pt idx="21">
                  <c:v>0.99584795599851017</c:v>
                </c:pt>
                <c:pt idx="22">
                  <c:v>0.99550471554773945</c:v>
                </c:pt>
                <c:pt idx="23">
                  <c:v>0.99630086582678101</c:v>
                </c:pt>
                <c:pt idx="24">
                  <c:v>0.99692093762415579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1A-4BA3-A082-1D58B8314A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8903119"/>
        <c:axId val="1148904559"/>
      </c:lineChart>
      <c:catAx>
        <c:axId val="114890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904559"/>
        <c:crosses val="autoZero"/>
        <c:auto val="1"/>
        <c:lblAlgn val="ctr"/>
        <c:lblOffset val="100"/>
        <c:noMultiLvlLbl val="0"/>
      </c:catAx>
      <c:valAx>
        <c:axId val="114890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90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CapstoneTransactionData_.xlsx]Completion Rate Analysis!PivotTable8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of Completion rate wrt Slot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'Completion Rate Analysis'!$K$2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Rate Analysis'!$J$3:$J$8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'Completion Rate Analysis'!$K$3:$K$8</c:f>
              <c:numCache>
                <c:formatCode>0.000%</c:formatCode>
                <c:ptCount val="5"/>
                <c:pt idx="0">
                  <c:v>0.9952311382788569</c:v>
                </c:pt>
                <c:pt idx="1">
                  <c:v>0.99522046307841383</c:v>
                </c:pt>
                <c:pt idx="2">
                  <c:v>0.99497501095212026</c:v>
                </c:pt>
                <c:pt idx="3">
                  <c:v>0.99506914569943572</c:v>
                </c:pt>
                <c:pt idx="4">
                  <c:v>0.99523470721417551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4C-4798-9963-3529DD418C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48914639"/>
        <c:axId val="1148893519"/>
      </c:barChart>
      <c:catAx>
        <c:axId val="11489146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893519"/>
        <c:crosses val="autoZero"/>
        <c:auto val="1"/>
        <c:lblAlgn val="ctr"/>
        <c:lblOffset val="100"/>
        <c:noMultiLvlLbl val="0"/>
      </c:catAx>
      <c:valAx>
        <c:axId val="1148893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914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Average of LTV</a:t>
            </a:r>
            <a:r>
              <a:rPr lang="en-US" sz="1400" b="0" i="0" u="none" strike="noStrike" baseline="0"/>
              <a:t>  wrt </a:t>
            </a:r>
            <a:r>
              <a:rPr lang="en-US" sz="1400" b="1" i="0" u="none" strike="noStrike" baseline="0">
                <a:effectLst/>
              </a:rPr>
              <a:t>Aqusition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Analysis'!$G$2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'Customer Level Analysis'!$F$3:$F$12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'Customer Level Analysis'!$G$3:$G$12</c:f>
              <c:numCache>
                <c:formatCode>0.0</c:formatCode>
                <c:ptCount val="9"/>
                <c:pt idx="0">
                  <c:v>471.03735105839269</c:v>
                </c:pt>
                <c:pt idx="1">
                  <c:v>221.99194375015784</c:v>
                </c:pt>
                <c:pt idx="2">
                  <c:v>132.38335058278497</c:v>
                </c:pt>
                <c:pt idx="3">
                  <c:v>80.474953551770255</c:v>
                </c:pt>
                <c:pt idx="4">
                  <c:v>49.64735034106603</c:v>
                </c:pt>
                <c:pt idx="5">
                  <c:v>30.368875317397755</c:v>
                </c:pt>
                <c:pt idx="6">
                  <c:v>32.377683436620643</c:v>
                </c:pt>
                <c:pt idx="7">
                  <c:v>12.792792084174041</c:v>
                </c:pt>
                <c:pt idx="8">
                  <c:v>2.7527645261707185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22-4224-BEBC-E1768A391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8935279"/>
        <c:axId val="1148942959"/>
      </c:barChart>
      <c:catAx>
        <c:axId val="1148935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942959"/>
        <c:crosses val="autoZero"/>
        <c:auto val="1"/>
        <c:lblAlgn val="ctr"/>
        <c:lblOffset val="100"/>
        <c:noMultiLvlLbl val="0"/>
      </c:catAx>
      <c:valAx>
        <c:axId val="114894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935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CapstoneTransactionData_.xlsx]Customer Level Analysis!PivotTable15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of Order Rating wrt no of products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'Customer Level Analysis'!$M$11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'Customer Level Analysis'!$L$12:$L$37</c:f>
              <c:strCach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strCache>
            </c:strRef>
          </c:cat>
          <c:val>
            <c:numRef>
              <c:f>'Customer Level Analysis'!$M$12:$M$37</c:f>
              <c:numCache>
                <c:formatCode>0.00</c:formatCode>
                <c:ptCount val="25"/>
                <c:pt idx="0">
                  <c:v>3.5620229007633588</c:v>
                </c:pt>
                <c:pt idx="1">
                  <c:v>3.6189766517635369</c:v>
                </c:pt>
                <c:pt idx="2">
                  <c:v>3.6739811912225706</c:v>
                </c:pt>
                <c:pt idx="3">
                  <c:v>3.6862110796603318</c:v>
                </c:pt>
                <c:pt idx="4">
                  <c:v>3.7255096966683241</c:v>
                </c:pt>
                <c:pt idx="5">
                  <c:v>3.8018867924528301</c:v>
                </c:pt>
                <c:pt idx="6">
                  <c:v>3.7341236240474176</c:v>
                </c:pt>
                <c:pt idx="7">
                  <c:v>3.6193548387096772</c:v>
                </c:pt>
                <c:pt idx="8">
                  <c:v>3.7737127371273713</c:v>
                </c:pt>
                <c:pt idx="9">
                  <c:v>3.5805860805860807</c:v>
                </c:pt>
                <c:pt idx="10">
                  <c:v>3.6272321428571428</c:v>
                </c:pt>
                <c:pt idx="11">
                  <c:v>3.7217125382262997</c:v>
                </c:pt>
                <c:pt idx="12">
                  <c:v>3.4275092936802976</c:v>
                </c:pt>
                <c:pt idx="13">
                  <c:v>3.4782608695652173</c:v>
                </c:pt>
                <c:pt idx="14">
                  <c:v>4.0618556701030926</c:v>
                </c:pt>
                <c:pt idx="15">
                  <c:v>3.4393939393939394</c:v>
                </c:pt>
                <c:pt idx="16">
                  <c:v>3.3675213675213675</c:v>
                </c:pt>
                <c:pt idx="17">
                  <c:v>2.912087912087912</c:v>
                </c:pt>
                <c:pt idx="18">
                  <c:v>3.8857142857142857</c:v>
                </c:pt>
                <c:pt idx="19">
                  <c:v>3.3333333333333335</c:v>
                </c:pt>
                <c:pt idx="20">
                  <c:v>3.7</c:v>
                </c:pt>
                <c:pt idx="21">
                  <c:v>4.5454545454545459</c:v>
                </c:pt>
                <c:pt idx="22">
                  <c:v>4</c:v>
                </c:pt>
                <c:pt idx="23">
                  <c:v>2.5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9B-4767-BF21-E286E0A07A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8904079"/>
        <c:axId val="1148905999"/>
      </c:lineChart>
      <c:catAx>
        <c:axId val="1148904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905999"/>
        <c:crosses val="autoZero"/>
        <c:auto val="1"/>
        <c:lblAlgn val="ctr"/>
        <c:lblOffset val="100"/>
        <c:noMultiLvlLbl val="0"/>
      </c:catAx>
      <c:valAx>
        <c:axId val="114890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904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Kesharwani</dc:creator>
  <cp:keywords/>
  <dc:description/>
  <cp:lastModifiedBy>Harsh Kesharwani</cp:lastModifiedBy>
  <cp:revision>10</cp:revision>
  <cp:lastPrinted>2024-10-27T16:39:00Z</cp:lastPrinted>
  <dcterms:created xsi:type="dcterms:W3CDTF">2024-10-25T07:24:00Z</dcterms:created>
  <dcterms:modified xsi:type="dcterms:W3CDTF">2024-10-27T17:09:00Z</dcterms:modified>
</cp:coreProperties>
</file>