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Module 7: Emotional Resilience</w:t>
      </w:r>
    </w:p>
    <w:p>
      <w:pPr>
        <w:pBdr>
          <w:bottom w:val="single" w:color="333333" w:sz="5" w:space="4"/>
        </w:pBdr>
        <w:spacing w:after="160"/>
        <w:jc w:val="center"/>
      </w:pPr>
      <w:r>
        <w:rPr>
          <w:sz w:val="24"/>
          <w:szCs w:val="24"/>
        </w:rPr>
        <w:t xml:space="preserve">Lesson</w:t>
      </w:r>
    </w:p>
    <w:p>
      <w:pPr>
        <w:pBdr>
          <w:bottom w:val="single" w:color="333333" w:sz="5" w:space="2"/>
        </w:pBdr>
        <w:spacing w:after="130" w:before="280"/>
      </w:pPr>
      <w:r>
        <w:rPr>
          <w:b/>
          <w:bCs/>
          <w:sz w:val="28"/>
          <w:szCs w:val="28"/>
        </w:rPr>
        <w:t xml:space="preserve">Learning Objectives</w:t>
      </w:r>
    </w:p>
    <w:p>
      <w:pPr>
        <w:spacing w:after="80" w:line="276"/>
      </w:pPr>
      <w:r>
        <w:t xml:space="preserve">By the end of this module, you will be able to:</w:t>
      </w:r>
    </w:p>
    <w:p>
      <w:pPr>
        <w:pStyle w:val="ListParagraph"/>
        <w:numPr>
          <w:ilvl w:val="0"/>
          <w:numId w:val="2"/>
        </w:numPr>
        <w:spacing w:after="70" w:line="268"/>
      </w:pPr>
      <w:r>
        <w:t xml:space="preserve">Define imposter syndrome and code-switching in the context of first-gen students, and give a personal example of each.</w:t>
      </w:r>
    </w:p>
    <w:p>
      <w:pPr>
        <w:pStyle w:val="ListParagraph"/>
        <w:numPr>
          <w:ilvl w:val="0"/>
          <w:numId w:val="2"/>
        </w:numPr>
        <w:spacing w:after="70" w:line="268"/>
      </w:pPr>
      <w:r>
        <w:t xml:space="preserve">Identify at least two campus mental health resources and explain how to access them.</w:t>
      </w:r>
    </w:p>
    <w:p>
      <w:pPr>
        <w:pStyle w:val="ListParagraph"/>
        <w:numPr>
          <w:ilvl w:val="0"/>
          <w:numId w:val="2"/>
        </w:numPr>
        <w:spacing w:after="70" w:line="268"/>
      </w:pPr>
      <w:r>
        <w:t xml:space="preserve">Apply a specific coping strategy from this module to one challenge you expect in your first semester.</w:t>
      </w:r>
    </w:p>
    <w:p>
      <w:pPr>
        <w:pStyle w:val="ListParagraph"/>
        <w:numPr>
          <w:ilvl w:val="0"/>
          <w:numId w:val="2"/>
        </w:numPr>
        <w:spacing w:after="70" w:line="268"/>
      </w:pPr>
      <w:r>
        <w:t xml:space="preserve">Write honestly about a fear and a strength you are bringing into college.</w:t>
      </w:r>
    </w:p>
    <w:p>
      <w:pPr>
        <w:pBdr>
          <w:bottom w:val="single" w:color="333333" w:sz="5" w:space="2"/>
        </w:pBdr>
        <w:spacing w:after="130" w:before="280"/>
      </w:pPr>
      <w:r>
        <w:rPr>
          <w:b/>
          <w:bCs/>
          <w:sz w:val="28"/>
          <w:szCs w:val="28"/>
        </w:rPr>
        <w:t xml:space="preserve">Lesson</w:t>
      </w:r>
    </w:p>
    <w:p>
      <w:pPr>
        <w:spacing w:after="140" w:line="276"/>
      </w:pPr>
      <w:r>
        <w:t xml:space="preserve">There is a version of college orientation that makes the whole thing sound exciting and manageable, and while that version is not entirely wrong, it leaves out the part where you sit in a 300-person lecture hall in your second week feeling certain that everyone around you got a manual you never received. This module is about that feeling and the others like it, because they are the part nobody puts in the brochure and the part most likely to make a first-gen student quietly decide they do not belong.</w:t>
      </w:r>
    </w:p>
    <w:p>
      <w:pPr>
        <w:spacing w:after="140" w:line="276"/>
      </w:pPr>
      <w:r>
        <w:t xml:space="preserve">Start with the one almost everyone gets. You earn an 87 on your first exam, and instead of thinking "I studied and I understood the material," your first thought is "the test must have been easy." That reflex has a name: Clance and Imes (1978) named it the impostor phenomenon, the experience of capable people who cannot accept their own success and always feel like they are about to be found out as a fraud. It hits hardest when you are the first person to enter a space, which is exactly the position of a first-gen student, and three things help: name it out loud when it happens because naming it interrupts the spiral, find one other person who feels it too because these feelings shrink in company, and keep a written list of what you have accomplished because the feeling lies and a list does not.</w:t>
      </w:r>
    </w:p>
    <w:p>
      <w:pPr>
        <w:spacing w:after="140" w:line="276"/>
      </w:pPr>
      <w:r>
        <w:t xml:space="preserve">You probably already switch how you talk depending on who you are with, because the way you text your cousins is not the way you will email a professor, and when that switch happens between home and campus, it can start to feel like you are being fake, like you left the real version of yourself behind. You are not being fake; you are being fluent. Code-switching is a skill, not a betrayal, and while it is tiring and the goal is not to perform it everywhere all the time, the practical goal is to find a few spaces on campus where you do not have to: a cultural organization, a first-gen student group, an affinity space, those rooms where you get to stop translating.</w:t>
      </w:r>
    </w:p>
    <w:p>
      <w:pPr>
        <w:spacing w:after="140" w:line="276"/>
      </w:pPr>
      <w:r>
        <w:rPr>
          <w:b w:val="false"/>
          <w:bCs w:val="false"/>
          <w:i w:val="false"/>
          <w:iCs w:val="false"/>
        </w:rPr>
        <w:t xml:space="preserve">Homesickness does not mean you made a mistake. </w:t>
      </w:r>
      <w:r>
        <w:rPr>
          <w:b w:val="false"/>
          <w:bCs w:val="false"/>
          <w:i w:val="false"/>
          <w:iCs w:val="false"/>
        </w:rPr>
        <w:t xml:space="preserve">Say that again on a hard night.</w:t>
      </w:r>
      <w:r>
        <w:rPr>
          <w:b w:val="false"/>
          <w:bCs w:val="false"/>
          <w:i w:val="false"/>
          <w:iCs w:val="false"/>
        </w:rPr>
        <w:t xml:space="preserve"> Missing your neighborhood, your food, your language, the sound of your house is not weakness and not a sign you should not have left. Many first-gen students carry an extra layer of this, a guilt about leaving people behind, a feeling that going to college is somehow a betrayal of where you came from, but it is not, and going does not mean leaving them. Most students who make it through learn to call home on a schedule so that missing home becomes a rhythm instead of a flood.</w:t>
      </w:r>
    </w:p>
    <w:p>
      <w:pPr>
        <w:spacing w:after="140" w:line="276"/>
      </w:pPr>
      <w:r>
        <w:rPr>
          <w:b w:val="false"/>
          <w:bCs w:val="false"/>
          <w:i w:val="false"/>
          <w:iCs w:val="false"/>
        </w:rPr>
        <w:t xml:space="preserve">The most important research finding in this module is called belonging uncertainty. Walton and Cohen (2007) describe it as the experience of doubting whether you fit in somewhere new, especially for students from groups that have not always been well represented in that space. Doubting whether you belong is not evidence that you do not belong; </w:t>
      </w:r>
      <w:r>
        <w:rPr>
          <w:b w:val="false"/>
          <w:bCs w:val="false"/>
          <w:i w:val="false"/>
          <w:iCs w:val="false"/>
        </w:rPr>
        <w:t xml:space="preserve">it is evidence that you are new to this place.</w:t>
      </w:r>
      <w:r>
        <w:rPr>
          <w:b w:val="false"/>
          <w:bCs w:val="false"/>
          <w:i w:val="false"/>
          <w:iCs w:val="false"/>
        </w:rPr>
        <w:t xml:space="preserve"> Walton and Cohen (2011) found that students who saw their early struggles as normal and temporary, instead of proof they did not fit, did measurably better over the years that followed, and the students who navigate this best are not the ones who never feel the doubt but the ones who have a plan for when it hits.</w:t>
      </w:r>
    </w:p>
    <w:p>
      <w:pPr>
        <w:spacing w:after="140" w:line="276"/>
      </w:pPr>
      <w:r>
        <w:t xml:space="preserve">Knowing where to go matters more before a crisis than during one. Find your campus counseling center this week, write down the building, the phone number, and how to book an intake appointment, and save it in your phone now. An intake appointment is not therapy and you do not have to be in crisis to make one, and waitlists get long around midterms so doing this early is smart. For anything urgent, the 988 Suicide and Crisis Lifeline is available 24 hours a day by call or text, so put 988 in your contacts today the same way you would save any number you hope never to need.</w:t>
      </w:r>
    </w:p>
    <w:p>
      <w:pPr>
        <w:spacing w:after="140" w:line="276"/>
      </w:pPr>
      <w:r>
        <w:t xml:space="preserve">None of this is meant to scare you. The fact that you are doing this course before your first semester even starts tells me something about how seriously you are approaching this, and the students who take the hard parts seriously are the ones who are still here in the spring.</w:t>
      </w:r>
    </w:p>
    <w:p>
      <w:pPr>
        <w:pBdr>
          <w:bottom w:val="single" w:color="333333" w:sz="5" w:space="2"/>
        </w:pBdr>
        <w:spacing w:after="130" w:before="280"/>
      </w:pPr>
      <w:r>
        <w:rPr>
          <w:b/>
          <w:bCs/>
          <w:sz w:val="28"/>
          <w:szCs w:val="28"/>
        </w:rPr>
        <w:t xml:space="preserve">References</w:t>
      </w:r>
    </w:p>
    <w:p>
      <w:pPr>
        <w:spacing w:after="120" w:line="276"/>
        <w:ind w:left="720" w:hanging="720"/>
      </w:pPr>
      <w:r>
        <w:rPr>
          <w:i w:val="false"/>
          <w:iCs w:val="false"/>
        </w:rPr>
        <w:t xml:space="preserve">Clance, P. R., &amp; Imes, S. A. (1978). The imposter phenomenon in high achieving women: Dynamics and therapeutic intervention. </w:t>
      </w:r>
      <w:r>
        <w:rPr>
          <w:i/>
          <w:iCs/>
        </w:rPr>
        <w:t xml:space="preserve">Psychotherapy: Theory, Research and Practice, 15</w:t>
      </w:r>
      <w:r>
        <w:rPr>
          <w:i w:val="false"/>
          <w:iCs w:val="false"/>
        </w:rPr>
        <w:t xml:space="preserve">(3), 241-247.</w:t>
      </w:r>
    </w:p>
    <w:p>
      <w:pPr>
        <w:spacing w:after="120" w:line="276"/>
        <w:ind w:left="720" w:hanging="720"/>
      </w:pPr>
      <w:r>
        <w:rPr>
          <w:i w:val="false"/>
          <w:iCs w:val="false"/>
        </w:rPr>
        <w:t xml:space="preserve">Walton, G. M., &amp; Cohen, G. L. (2007). A question of belonging: Race, social fit, and achievement. </w:t>
      </w:r>
      <w:r>
        <w:rPr>
          <w:i/>
          <w:iCs/>
        </w:rPr>
        <w:t xml:space="preserve">Journal of Personality and Social Psychology, 92</w:t>
      </w:r>
      <w:r>
        <w:rPr>
          <w:i w:val="false"/>
          <w:iCs w:val="false"/>
        </w:rPr>
        <w:t xml:space="preserve">(1), 82-96.</w:t>
      </w:r>
    </w:p>
    <w:p>
      <w:pPr>
        <w:spacing w:after="120" w:line="276"/>
        <w:ind w:left="720" w:hanging="720"/>
      </w:pPr>
      <w:r>
        <w:rPr>
          <w:i w:val="false"/>
          <w:iCs w:val="false"/>
        </w:rPr>
        <w:t xml:space="preserve">Walton, G. M., &amp; Cohen, G. L. (2011). A brief social-belonging intervention improves academic and health outcomes of minority students. </w:t>
      </w:r>
      <w:r>
        <w:rPr>
          <w:i/>
          <w:iCs/>
        </w:rPr>
        <w:t xml:space="preserve">Science, 331</w:t>
      </w:r>
      <w:r>
        <w:rPr>
          <w:i w:val="false"/>
          <w:iCs w:val="false"/>
        </w:rPr>
        <w:t xml:space="preserve">(6023), 1447-1451.</w:t>
      </w:r>
    </w:p>
    <w:p>
      <w:pPr>
        <w:pBdr>
          <w:top w:val="single" w:color="888888" w:sz="4" w:space="4"/>
        </w:pBdr>
        <w:spacing w:before="200"/>
        <w:jc w:val="center"/>
      </w:pPr>
      <w:r>
        <w:rPr>
          <w:i w:val="false"/>
          <w:iCs w:val="false"/>
          <w:sz w:val="18"/>
          <w:szCs w:val="18"/>
        </w:rPr>
        <w:t xml:space="preserve">Alum's Declassified: College Survival Guide  |  EDUC 992  |  UNC Chapel Hill  |  Summer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7: Emotional Resilience - Lesson</dc:title>
  <dc:creator>Khat</dc:creator>
  <cp:lastModifiedBy>Un-named</cp:lastModifiedBy>
  <cp:revision>1</cp:revision>
  <dcterms:created xsi:type="dcterms:W3CDTF">2026-06-07T16:00:54.029Z</dcterms:created>
  <dcterms:modified xsi:type="dcterms:W3CDTF">2026-06-07T16:00:54.029Z</dcterms:modified>
</cp:coreProperties>
</file>

<file path=docProps/custom.xml><?xml version="1.0" encoding="utf-8"?>
<Properties xmlns="http://schemas.openxmlformats.org/officeDocument/2006/custom-properties" xmlns:vt="http://schemas.openxmlformats.org/officeDocument/2006/docPropsVTypes"/>
</file>