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KDN Constitution &amp; Master Blueprint v1.0</w:t>
      </w:r>
    </w:p>
    <w:p>
      <w:pPr>
        <w:jc w:val="center"/>
      </w:pPr>
      <w:r>
        <w:rPr>
          <w:i/>
        </w:rPr>
        <w:t>Human-controlled AI • Seva • Participation • Privacy • Accountability</w:t>
      </w:r>
    </w:p>
    <w:p>
      <w:pPr>
        <w:pStyle w:val="Heading1"/>
      </w:pPr>
      <w:r>
        <w:t>KDN CONSTITUTION v1.0 — Community &amp; Digital Governance Charter</w:t>
      </w:r>
    </w:p>
    <w:p>
      <w:r>
        <w:t>Status: Foundational draft for KDN platform/community governance. It does not replace the Constitution or laws of any country.</w:t>
      </w:r>
    </w:p>
    <w:p>
      <w:pPr>
        <w:pStyle w:val="Heading2"/>
      </w:pPr>
      <w:r>
        <w:t>Preamble</w:t>
      </w:r>
    </w:p>
    <w:p>
      <w:r>
        <w:t>KDN exists to increase human agency, dignity, seva (service), knowledge, cooperation, accountable participation and peaceful problem-solving. Technology and AI are servants of people, never sovereign authorities over them.</w:t>
      </w:r>
    </w:p>
    <w:p>
      <w:pPr>
        <w:pStyle w:val="Heading2"/>
      </w:pPr>
      <w:r>
        <w:t>Article 1 — Human dignity and equal membership</w:t>
      </w:r>
    </w:p>
    <w:p>
      <w:r>
        <w:t>1. Every person has equal human dignity.</w:t>
      </w:r>
    </w:p>
    <w:p>
      <w:r>
        <w:t>2. Access, rights and safety may not depend on caste, religion, ethnicity, sex, gender, language, nationality, disability, wealth or political opinion.</w:t>
      </w:r>
    </w:p>
    <w:p>
      <w:r>
        <w:t>3. Cultural/community identities may be voluntarily represented, but may not be used to deny another person's basic rights or services.</w:t>
      </w:r>
    </w:p>
    <w:p>
      <w:r>
        <w:t>4. No points, score, AI ranking or reputation metric defines a person's human worth.</w:t>
      </w:r>
    </w:p>
    <w:p>
      <w:pPr>
        <w:pStyle w:val="Heading2"/>
      </w:pPr>
      <w:r>
        <w:t>Article 2 — Freedom and consent</w:t>
      </w:r>
    </w:p>
    <w:p>
      <w:r>
        <w:t>1. Participation is voluntary. Consent must be meaningful, understandable and revocable.</w:t>
      </w:r>
    </w:p>
    <w:p>
      <w:r>
        <w:t>2. Users may leave, export data where feasible, and request deletion subject to lawful retention duties.</w:t>
      </w:r>
    </w:p>
    <w:p>
      <w:r>
        <w:t>3. Coercion, forced affiliation and deceptive consent are prohibited.</w:t>
      </w:r>
    </w:p>
    <w:p>
      <w:pPr>
        <w:pStyle w:val="Heading2"/>
      </w:pPr>
      <w:r>
        <w:t>Article 3 — Privacy and data rights</w:t>
      </w:r>
    </w:p>
    <w:p>
      <w:r>
        <w:t>1. Collect the minimum data necessary for a stated purpose and protect sensitive data more strongly.</w:t>
      </w:r>
    </w:p>
    <w:p>
      <w:r>
        <w:t>2. Users should be able to inspect, correct or delete important stored profile/memory information where lawful.</w:t>
      </w:r>
    </w:p>
    <w:p>
      <w:r>
        <w:t>3. Private data must not silently become public.</w:t>
      </w:r>
    </w:p>
    <w:p>
      <w:pPr>
        <w:pStyle w:val="Heading2"/>
      </w:pPr>
      <w:r>
        <w:t>Article 4 — Khatri AI constitutional limits</w:t>
      </w:r>
    </w:p>
    <w:p>
      <w:r>
        <w:t>1. Khatri AI is an assistant and coordinator, not a ruler, judge, police authority or owner of the user.</w:t>
      </w:r>
    </w:p>
    <w:p>
      <w:r>
        <w:t>2. High-impact actions require human authorization.</w:t>
      </w:r>
    </w:p>
    <w:p>
      <w:r>
        <w:t>3. AI must identify uncertainty and avoid fabricated sources/actions.</w:t>
      </w:r>
    </w:p>
    <w:p>
      <w:r>
        <w:t>4. User-controlled memory is opt-in and manageable.</w:t>
      </w:r>
    </w:p>
    <w:p>
      <w:r>
        <w:t>5. AI decisions affecting access, sanctions, money, voting or essential services require human review and appeal.</w:t>
      </w:r>
    </w:p>
    <w:p>
      <w:pPr>
        <w:pStyle w:val="Heading2"/>
      </w:pPr>
      <w:r>
        <w:t>Article 5 — Seva and community assistance</w:t>
      </w:r>
    </w:p>
    <w:p>
      <w:r>
        <w:t>1. Food, shelter, medical navigation, education, work assistance and other help are handled with dignity and privacy.</w:t>
      </w:r>
    </w:p>
    <w:p>
      <w:r>
        <w:t>2. Seva records may document verified contributions but cannot create superior human rank.</w:t>
      </w:r>
    </w:p>
    <w:p>
      <w:r>
        <w:t>3. Emergency services must never be withheld because of low points or reputation.</w:t>
      </w:r>
    </w:p>
    <w:p>
      <w:pPr>
        <w:pStyle w:val="Heading2"/>
      </w:pPr>
      <w:r>
        <w:t>Article 6 — Participation and My Neta</w:t>
      </w:r>
    </w:p>
    <w:p>
      <w:r>
        <w:t>1. Digital participation publishes eligibility, rules, counting and audit methods.</w:t>
      </w:r>
    </w:p>
    <w:p>
      <w:r>
        <w:t>2. KDN polls are not governmental elections unless run by a legally authorized body.</w:t>
      </w:r>
    </w:p>
    <w:p>
      <w:r>
        <w:t>3. Recall, delegation and community voting publish rules before participation.</w:t>
      </w:r>
    </w:p>
    <w:p>
      <w:r>
        <w:t>4. Bots, duplicate identities, intimidation, vote buying and manipulated counts are prohibited.</w:t>
      </w:r>
    </w:p>
    <w:p>
      <w:r>
        <w:t>5. Minority rights cannot be removed merely by majority vote.</w:t>
      </w:r>
    </w:p>
    <w:p>
      <w:pPr>
        <w:pStyle w:val="Heading2"/>
      </w:pPr>
      <w:r>
        <w:t>Article 7 — Points, trust and Nanak Coin concepts</w:t>
      </w:r>
    </w:p>
    <w:p>
      <w:r>
        <w:t>1. Contribution points record verified participation, not human value.</w:t>
      </w:r>
    </w:p>
    <w:p>
      <w:r>
        <w:t>2. Trust signals must be explainable and contestable.</w:t>
      </w:r>
    </w:p>
    <w:p>
      <w:r>
        <w:t>3. Symbolic coins/points are not legal tender, guaranteed investments or guaranteed returns.</w:t>
      </w:r>
    </w:p>
    <w:p>
      <w:r>
        <w:t>4. Any financially valuable future token requires applicable legal review before launch.</w:t>
      </w:r>
    </w:p>
    <w:p>
      <w:pPr>
        <w:pStyle w:val="Heading2"/>
      </w:pPr>
      <w:r>
        <w:t>Article 8 — Transparent administration</w:t>
      </w:r>
    </w:p>
    <w:p>
      <w:r>
        <w:t>1. Admin powers are role-based and least-privilege; material actions are logged.</w:t>
      </w:r>
    </w:p>
    <w:p>
      <w:r>
        <w:t>2. Administrators cannot secretly alter votes, contribution records or audit history.</w:t>
      </w:r>
    </w:p>
    <w:p>
      <w:r>
        <w:t>3. Serious sanctions require reasons and appeal.</w:t>
      </w:r>
    </w:p>
    <w:p>
      <w:pPr>
        <w:pStyle w:val="Heading2"/>
      </w:pPr>
      <w:r>
        <w:t>Article 9 — Safety and peaceful conduct</w:t>
      </w:r>
    </w:p>
    <w:p>
      <w:r>
        <w:t>1. KDN rejects violence, threats, harassment and collective punishment.</w:t>
      </w:r>
    </w:p>
    <w:p>
      <w:r>
        <w:t>2. Community dispute systems support mediation; they do not replace lawful courts or emergency services.</w:t>
      </w:r>
    </w:p>
    <w:p>
      <w:r>
        <w:t>3. Moderation uses published rules and proportional enforcement.</w:t>
      </w:r>
    </w:p>
    <w:p>
      <w:pPr>
        <w:pStyle w:val="Heading2"/>
      </w:pPr>
      <w:r>
        <w:t>Article 10 — Children and young people</w:t>
      </w:r>
    </w:p>
    <w:p>
      <w:r>
        <w:t>Minors receive privacy-by-default, age-appropriate experiences and restrictions on unnecessary data collection/commercial profiling.</w:t>
      </w:r>
    </w:p>
    <w:p>
      <w:pPr>
        <w:pStyle w:val="Heading2"/>
      </w:pPr>
      <w:r>
        <w:t>Article 11 — Knowledge, news and creator integrity</w:t>
      </w:r>
    </w:p>
    <w:p>
      <w:r>
        <w:t>Fact, opinion, satire and promotional content should be distinguishable. Corrections, provenance and sources are preserved where practical. Fabricated citations and deceptive synthetic media are prohibited.</w:t>
      </w:r>
    </w:p>
    <w:p>
      <w:pPr>
        <w:pStyle w:val="Heading2"/>
      </w:pPr>
      <w:r>
        <w:t>Article 12 — Emoji Language</w:t>
      </w:r>
    </w:p>
    <w:p>
      <w:r>
        <w:t>Emoji Language is an open universal communication layer intended to bridge languages, not erase them. Meanings, grammar and versions are documented. Safety-critical messages retain clear text equivalents and accessibility support.</w:t>
      </w:r>
    </w:p>
    <w:p>
      <w:pPr>
        <w:pStyle w:val="Heading2"/>
      </w:pPr>
      <w:r>
        <w:t>Article 13 — Technical constitution</w:t>
      </w:r>
    </w:p>
    <w:p>
      <w:r>
        <w:t>Security by default includes secret management, encryption in transit, dependency review, backups and integrity checks. Production changes use versioning/testing/rollback. Critical actions use authorization and audit. External connectors stay disabled until genuinely authorized. KDN fails safely when providers are unavailable.</w:t>
      </w:r>
    </w:p>
    <w:p>
      <w:pPr>
        <w:pStyle w:val="Heading2"/>
      </w:pPr>
      <w:r>
        <w:t>Article 14 — Amendments</w:t>
      </w:r>
    </w:p>
    <w:p>
      <w:r>
        <w:t>Changes include rationale and impact, receive review except urgent security fixes, and retain version history.</w:t>
      </w:r>
    </w:p>
    <w:p>
      <w:pPr>
        <w:pStyle w:val="Heading2"/>
      </w:pPr>
      <w:r>
        <w:t>Article 15 — Applicable law</w:t>
      </w:r>
    </w:p>
    <w:p>
      <w:r>
        <w:t>Where this charter conflicts with applicable law, lawful requirements govern. KDN updates its charter/software rather than claiming a private digital constitution overrides public law.</w:t>
      </w:r>
    </w:p>
    <w:p>
      <w:r>
        <w:br w:type="page"/>
      </w:r>
    </w:p>
    <w:p>
      <w:pPr>
        <w:pStyle w:val="Heading1"/>
      </w:pPr>
      <w:r>
        <w:t>MASTER KDN BLUEPRINT v1.0</w:t>
      </w:r>
    </w:p>
    <w:p>
      <w:pPr>
        <w:pStyle w:val="Heading2"/>
      </w:pPr>
      <w:r>
        <w:t>North Star</w:t>
      </w:r>
    </w:p>
    <w:p>
      <w:r>
        <w:t>Build a human-controlled digital ecosystem combining AI, community service, participation, knowledge, communication and transparent administration.</w:t>
      </w:r>
    </w:p>
    <w:p>
      <w:pPr>
        <w:pStyle w:val="Heading2"/>
      </w:pPr>
      <w:r>
        <w:t>Core Products</w:t>
      </w:r>
    </w:p>
    <w:p>
      <w:pPr>
        <w:pStyle w:val="ListBullet"/>
      </w:pPr>
      <w:r>
        <w:t>Khatri AI — multilingual assistant, retrieval, voice, user-controlled memory and approval-gated actions.</w:t>
      </w:r>
    </w:p>
    <w:p>
      <w:pPr>
        <w:pStyle w:val="ListBullet"/>
      </w:pPr>
      <w:r>
        <w:t>My Neta — transparent participation, polls, delegation/recall concepts and accountability.</w:t>
      </w:r>
    </w:p>
    <w:p>
      <w:pPr>
        <w:pStyle w:val="ListBullet"/>
      </w:pPr>
      <w:r>
        <w:t>Khatri Konnect — identity, community and collaboration.</w:t>
      </w:r>
    </w:p>
    <w:p>
      <w:pPr>
        <w:pStyle w:val="ListBullet"/>
      </w:pPr>
      <w:r>
        <w:t>Khatri News Network — sourced news, corrections and creator workflows.</w:t>
      </w:r>
    </w:p>
    <w:p>
      <w:pPr>
        <w:pStyle w:val="ListBullet"/>
      </w:pPr>
      <w:r>
        <w:t>Guru Nanak Kitchen / Langar — food/service coordination.</w:t>
      </w:r>
    </w:p>
    <w:p>
      <w:pPr>
        <w:pStyle w:val="ListBullet"/>
      </w:pPr>
      <w:r>
        <w:t>Aid / Seva Network — requests, volunteers, matching and status.</w:t>
      </w:r>
    </w:p>
    <w:p>
      <w:pPr>
        <w:pStyle w:val="ListBullet"/>
      </w:pPr>
      <w:r>
        <w:t>Emoji Language — cross-language visual communication.</w:t>
      </w:r>
    </w:p>
    <w:p>
      <w:pPr>
        <w:pStyle w:val="ListBullet"/>
      </w:pPr>
      <w:r>
        <w:t>Admin &amp; Security Center — permissions, audits, policies and incident response.</w:t>
      </w:r>
    </w:p>
    <w:p>
      <w:pPr>
        <w:pStyle w:val="Heading2"/>
      </w:pPr>
      <w:r>
        <w:t>Shared Platform Layers</w:t>
      </w:r>
    </w:p>
    <w:p>
      <w:r>
        <w:t>1. Unified Identity &amp; Consent</w:t>
      </w:r>
    </w:p>
    <w:p>
      <w:r>
        <w:t>2. Khatri AI Agent Hub</w:t>
      </w:r>
    </w:p>
    <w:p>
      <w:r>
        <w:t>3. Seva Engine</w:t>
      </w:r>
    </w:p>
    <w:p>
      <w:r>
        <w:t>4. Participation Engine</w:t>
      </w:r>
    </w:p>
    <w:p>
      <w:r>
        <w:t>5. Contribution &amp; Trust Ledger</w:t>
      </w:r>
    </w:p>
    <w:p>
      <w:r>
        <w:t>6. Knowledge / News Layer</w:t>
      </w:r>
    </w:p>
    <w:p>
      <w:r>
        <w:t>7. Notification &amp; Communication Layer</w:t>
      </w:r>
    </w:p>
    <w:p>
      <w:r>
        <w:t>8. Audit / Security / Appeals Layer</w:t>
      </w:r>
    </w:p>
    <w:p>
      <w:pPr>
        <w:pStyle w:val="Heading2"/>
      </w:pPr>
      <w:r>
        <w:t>Constitutional software rules</w:t>
      </w:r>
    </w:p>
    <w:p>
      <w:pPr>
        <w:pStyle w:val="ListBullet"/>
      </w:pPr>
      <w:r>
        <w:t>Human approval for consequential AI actions.</w:t>
      </w:r>
    </w:p>
    <w:p>
      <w:pPr>
        <w:pStyle w:val="ListBullet"/>
      </w:pPr>
      <w:r>
        <w:t>No human-worth score.</w:t>
      </w:r>
    </w:p>
    <w:p>
      <w:pPr>
        <w:pStyle w:val="ListBullet"/>
      </w:pPr>
      <w:r>
        <w:t>Essential aid never depends on points.</w:t>
      </w:r>
    </w:p>
    <w:p>
      <w:pPr>
        <w:pStyle w:val="ListBullet"/>
      </w:pPr>
      <w:r>
        <w:t>Contribution and trust are separate concepts.</w:t>
      </w:r>
    </w:p>
    <w:p>
      <w:pPr>
        <w:pStyle w:val="ListBullet"/>
      </w:pPr>
      <w:r>
        <w:t>Published rules for polls and moderation.</w:t>
      </w:r>
    </w:p>
    <w:p>
      <w:pPr>
        <w:pStyle w:val="ListBullet"/>
      </w:pPr>
      <w:r>
        <w:t>External connectors remain disabled until truly authorized.</w:t>
      </w:r>
    </w:p>
    <w:p>
      <w:pPr>
        <w:pStyle w:val="ListBullet"/>
      </w:pPr>
      <w:r>
        <w:t>Sensitive admin actions are auditable.</w:t>
      </w:r>
    </w:p>
    <w:p>
      <w:pPr>
        <w:pStyle w:val="ListBullet"/>
      </w:pPr>
      <w:r>
        <w:t>Users can inspect/manage AI memory.</w:t>
      </w:r>
    </w:p>
    <w:p>
      <w:pPr>
        <w:pStyle w:val="ListBullet"/>
      </w:pPr>
      <w:r>
        <w:t>Minor accounts receive stronger privacy defaults.</w:t>
      </w:r>
    </w:p>
    <w:p>
      <w:pPr>
        <w:pStyle w:val="Heading2"/>
      </w:pPr>
      <w:r>
        <w:t>Roadmap</w:t>
      </w:r>
    </w:p>
    <w:p>
      <w:r>
        <w:t>Phase 20 — Constitution &amp; Digital Society Core.</w:t>
      </w:r>
    </w:p>
    <w:p>
      <w:r>
        <w:t>Phase 21 — Unified KDN Identity.</w:t>
      </w:r>
    </w:p>
    <w:p>
      <w:r>
        <w:t>Phase 22 — Personal Khatri AI.</w:t>
      </w:r>
    </w:p>
    <w:p>
      <w:r>
        <w:t>Phase 23 — Emoji Language 1.0.</w:t>
      </w:r>
    </w:p>
    <w:p>
      <w:r>
        <w:t>Phase 24 — Creator Studio.</w:t>
      </w:r>
    </w:p>
    <w:p>
      <w:r>
        <w:t>Phase 25 — Seva Network.</w:t>
      </w:r>
    </w:p>
    <w:p>
      <w:r>
        <w:t>Phase 26 — Public Beta.</w:t>
      </w:r>
    </w:p>
    <w:p>
      <w:pPr>
        <w:pStyle w:val="Heading2"/>
      </w:pPr>
      <w:r>
        <w:t>Grok Collaboration Protocol</w:t>
      </w:r>
    </w:p>
    <w:p>
      <w:r>
        <w:t>Grok is a parallel reviewer/tester, not a second uncontrolled master branch.</w:t>
      </w:r>
    </w:p>
    <w:p>
      <w:r>
        <w:t>1. Give Grok a copy of the current MASTER ZIP.</w:t>
      </w:r>
    </w:p>
    <w:p>
      <w:r>
        <w:t>2. Assign a bounded task: regression testing, UI review, bug hunt, threat review or architecture critique.</w:t>
      </w:r>
    </w:p>
    <w:p>
      <w:r>
        <w:t>3. Require a change log and prohibit deleting/renaming existing features unless explicitly requested.</w:t>
      </w:r>
    </w:p>
    <w:p>
      <w:r>
        <w:t>4. Review Grok output before merging.</w:t>
      </w:r>
    </w:p>
    <w:p>
      <w:r>
        <w:t>5. After merge, create a new MASTER ZIP and checksum.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