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response-to-reviewers"/>
    <w:p>
      <w:pPr>
        <w:pStyle w:val="Heading1"/>
      </w:pPr>
      <w:r>
        <w:t xml:space="preserve">Response to Reviewers</w:t>
      </w:r>
    </w:p>
    <w:p>
      <w:pPr>
        <w:pStyle w:val="FirstParagraph"/>
      </w:pPr>
      <w:r>
        <w:rPr>
          <w:b/>
          <w:bCs/>
        </w:rPr>
        <w:t xml:space="preserve">Manuscript:</w:t>
      </w:r>
      <w:r>
        <w:t xml:space="preserve"> </w:t>
      </w:r>
      <w:r>
        <w:t xml:space="preserve">CiSE-2026-06-0105,</w:t>
      </w:r>
      <w:r>
        <w:t xml:space="preserve"> </w:t>
      </w:r>
      <w:r>
        <w:t xml:space="preserve">“Auditing AI-Assisted Research: The VAR Framework and AIVS Schema”</w:t>
      </w:r>
    </w:p>
    <w:p>
      <w:pPr>
        <w:pStyle w:val="BodyText"/>
      </w:pPr>
      <w:r>
        <w:t xml:space="preserve">We thank the five reviewers for the time they spent on this manuscript, and particularly those</w:t>
      </w:r>
      <w:r>
        <w:t xml:space="preserve"> </w:t>
      </w:r>
      <w:r>
        <w:t xml:space="preserve">who opened the deposits and checked them against the text. Two reviewers did so independently and</w:t>
      </w:r>
      <w:r>
        <w:t xml:space="preserve"> </w:t>
      </w:r>
      <w:r>
        <w:t xml:space="preserve">both found the deposits wanting. They were right, and finding that out was worth more to this</w:t>
      </w:r>
      <w:r>
        <w:t xml:space="preserve"> </w:t>
      </w:r>
      <w:r>
        <w:t xml:space="preserve">paper than any amount of favourable comment.</w:t>
      </w:r>
    </w:p>
    <w:p>
      <w:pPr>
        <w:pStyle w:val="BodyText"/>
      </w:pPr>
      <w:r>
        <w:t xml:space="preserve">Four changes are structural, and we summarise them here before the point-by-point.</w:t>
      </w:r>
    </w:p>
    <w:p>
      <w:pPr>
        <w:pStyle w:val="BodyText"/>
      </w:pPr>
      <w:r>
        <w:rPr>
          <w:b/>
          <w:bCs/>
        </w:rPr>
        <w:t xml:space="preserve">Section 3 now specifies the schema that exists.</w:t>
      </w:r>
      <w:r>
        <w:t xml:space="preserve"> </w:t>
      </w:r>
      <w:r>
        <w:t xml:space="preserve">Reviewer 3 observed that §3 defined five</w:t>
      </w:r>
      <w:r>
        <w:t xml:space="preserve"> </w:t>
      </w:r>
      <w:r>
        <w:t xml:space="preserve">record types while §4 described the record in a different vocabulary, and that the relationship</w:t>
      </w:r>
      <w:r>
        <w:t xml:space="preserve"> </w:t>
      </w:r>
      <w:r>
        <w:t xml:space="preserve">was never stated. This was correct: the five types were designed on paper and never implemented,</w:t>
      </w:r>
      <w:r>
        <w:t xml:space="preserve"> </w:t>
      </w:r>
      <w:r>
        <w:t xml:space="preserve">and the audit was built on a different kernel. Reviewer 3 offered two remedies and we have taken</w:t>
      </w:r>
      <w:r>
        <w:t xml:space="preserve"> </w:t>
      </w:r>
      <w:r>
        <w:t xml:space="preserve">the second, revising §3 to specify the model actually built.</w:t>
      </w:r>
    </w:p>
    <w:p>
      <w:pPr>
        <w:pStyle w:val="BodyText"/>
      </w:pPr>
      <w:r>
        <w:rPr>
          <w:b/>
          <w:bCs/>
        </w:rPr>
        <w:t xml:space="preserve">The central claim is narrowed.</w:t>
      </w:r>
      <w:r>
        <w:t xml:space="preserve"> </w:t>
      </w:r>
      <w:r>
        <w:t xml:space="preserve">The abstract credited the schema with catching errors that the</w:t>
      </w:r>
      <w:r>
        <w:t xml:space="preserve"> </w:t>
      </w:r>
      <w:r>
        <w:t xml:space="preserve">rest of the paper attributed to manual auditing. It now claims what is supportable, and states</w:t>
      </w:r>
      <w:r>
        <w:t xml:space="preserve"> </w:t>
      </w:r>
      <w:r>
        <w:t xml:space="preserve">the mechanism by which the schema’s structure directed the audit.</w:t>
      </w:r>
    </w:p>
    <w:p>
      <w:pPr>
        <w:pStyle w:val="BodyText"/>
      </w:pPr>
      <w:r>
        <w:rPr>
          <w:b/>
          <w:bCs/>
        </w:rPr>
        <w:t xml:space="preserve">Cost is reported and the scaling claim is withdrawn.</w:t>
      </w:r>
      <w:r>
        <w:t xml:space="preserve"> </w:t>
      </w:r>
      <w:r>
        <w:t xml:space="preserve">Approximately 60 person-hours of audit</w:t>
      </w:r>
      <w:r>
        <w:t xml:space="preserve"> </w:t>
      </w:r>
      <w:r>
        <w:t xml:space="preserve">against approximately 520 hours of development, roughly twelve percent overhead.</w:t>
      </w:r>
    </w:p>
    <w:p>
      <w:pPr>
        <w:pStyle w:val="BodyText"/>
      </w:pPr>
      <w:r>
        <w:rPr>
          <w:b/>
          <w:bCs/>
        </w:rPr>
        <w:t xml:space="preserve">The deposits are repaired.</w:t>
      </w:r>
      <w:r>
        <w:t xml:space="preserve"> </w:t>
      </w:r>
      <w:r>
        <w:t xml:space="preserve">They did not contain what the manuscript said they contained.</w:t>
      </w:r>
    </w:p>
    <w:p>
      <w:pPr>
        <w:pStyle w:val="BodyText"/>
      </w:pPr>
      <w:r>
        <w:t xml:space="preserve">Three comments are declined, with reasons: R4.3, R4.5, and R5.4. One further defect was found</w:t>
      </w:r>
      <w:r>
        <w:t xml:space="preserve"> </w:t>
      </w:r>
      <w:r>
        <w:t xml:space="preserve">during revision, is disclosed in the manuscript, and is described at R3.8 below.</w:t>
      </w:r>
    </w:p>
    <w:p>
      <w:r>
        <w:pict>
          <v:rect style="width:0;height:1.5pt" o:hralign="center" o:hrstd="t" o:hr="t"/>
        </w:pict>
      </w:r>
    </w:p>
    <w:bookmarkStart w:id="9" w:name="reviewer-1"/>
    <w:p>
      <w:pPr>
        <w:pStyle w:val="Heading2"/>
      </w:pPr>
      <w:r>
        <w:t xml:space="preserve">Reviewer 1</w:t>
      </w:r>
    </w:p>
    <w:p>
      <w:pPr>
        <w:pStyle w:val="FirstParagraph"/>
      </w:pPr>
      <w:r>
        <w:rPr>
          <w:b/>
          <w:bCs/>
        </w:rPr>
        <w:t xml:space="preserve">1.1. Section 3.1 describes the record types, but it is not clear how they map onto the files in</w:t>
      </w:r>
      <w:r>
        <w:rPr>
          <w:b/>
          <w:bCs/>
        </w:rPr>
        <w:t xml:space="preserve"> </w:t>
      </w:r>
      <w:r>
        <w:rPr>
          <w:b/>
          <w:bCs/>
        </w:rPr>
        <w:t xml:space="preserve">the supplemental data. How does the AIVS record graph in Figure 1 get instantiated for the case</w:t>
      </w:r>
      <w:r>
        <w:rPr>
          <w:b/>
          <w:bCs/>
        </w:rPr>
        <w:t xml:space="preserve"> </w:t>
      </w:r>
      <w:r>
        <w:rPr>
          <w:b/>
          <w:bCs/>
        </w:rPr>
        <w:t xml:space="preserve">study?</w:t>
      </w:r>
    </w:p>
    <w:p>
      <w:pPr>
        <w:pStyle w:val="BodyText"/>
      </w:pPr>
      <w:r>
        <w:t xml:space="preserve">They did not map, and Figure 1 was not instantiated. The five record types in the submitted §3</w:t>
      </w:r>
      <w:r>
        <w:t xml:space="preserve"> </w:t>
      </w:r>
      <w:r>
        <w:t xml:space="preserve">were never implemented; the deposited audit was built on a different kernel. Section 3 has been</w:t>
      </w:r>
      <w:r>
        <w:t xml:space="preserve"> </w:t>
      </w:r>
      <w:r>
        <w:t xml:space="preserve">rewritten to specify the built kernel (Actor, Event, Evidence, Decision, Claim, AuditArtifact) and</w:t>
      </w:r>
      <w:r>
        <w:t xml:space="preserve"> </w:t>
      </w:r>
      <w:r>
        <w:t xml:space="preserve">Figure 1 redrawn to match. New Table 2 maps each of the five findings to its Decision in the</w:t>
      </w:r>
      <w:r>
        <w:t xml:space="preserve"> </w:t>
      </w:r>
      <w:r>
        <w:t xml:space="preserve">deposited record, the audit document that supports it, and the corrected output file. Both</w:t>
      </w:r>
      <w:r>
        <w:t xml:space="preserve"> </w:t>
      </w:r>
      <w:r>
        <w:t xml:space="preserve">repositories now carry a README mapping each manuscript claim to the file that supports it.</w:t>
      </w:r>
    </w:p>
    <w:p>
      <w:pPr>
        <w:pStyle w:val="BodyText"/>
      </w:pPr>
      <w:r>
        <w:rPr>
          <w:b/>
          <w:bCs/>
        </w:rPr>
        <w:t xml:space="preserve">1.2. A clear description of the research workflow that is more accessible to researchers from</w:t>
      </w:r>
      <w:r>
        <w:rPr>
          <w:b/>
          <w:bCs/>
        </w:rPr>
        <w:t xml:space="preserve"> </w:t>
      </w:r>
      <w:r>
        <w:rPr>
          <w:b/>
          <w:bCs/>
        </w:rPr>
        <w:t xml:space="preserve">other domains would be useful in §4.1.</w:t>
      </w:r>
    </w:p>
    <w:p>
      <w:pPr>
        <w:pStyle w:val="BodyText"/>
      </w:pPr>
      <w:r>
        <w:t xml:space="preserve">Section 4.1 is rewritten. It now states what conservation-based predictors assume, why</w:t>
      </w:r>
      <w:r>
        <w:t xml:space="preserve"> </w:t>
      </w:r>
      <w:r>
        <w:t xml:space="preserve">intrinsically disordered proteins violate that assumption, and why gain-of-toxic-function</w:t>
      </w:r>
      <w:r>
        <w:t xml:space="preserve"> </w:t>
      </w:r>
      <w:r>
        <w:t xml:space="preserve">variants should defeat them specifically, before naming any method. Reviewer 4 raised the same</w:t>
      </w:r>
      <w:r>
        <w:t xml:space="preserve"> </w:t>
      </w:r>
      <w:r>
        <w:t xml:space="preserve">point more sharply and we address it there.</w:t>
      </w:r>
    </w:p>
    <w:p>
      <w:pPr>
        <w:pStyle w:val="BodyText"/>
      </w:pPr>
      <w:r>
        <w:rPr>
          <w:b/>
          <w:bCs/>
        </w:rPr>
        <w:t xml:space="preserve">1.3. Numbered scripts are referenced (e.g. Script 04) and it is not clear what they do.</w:t>
      </w:r>
      <w:r>
        <w:rPr>
          <w:b/>
          <w:bCs/>
        </w:rPr>
        <w:t xml:space="preserve"> </w:t>
      </w:r>
      <w:r>
        <w:rPr>
          <w:b/>
          <w:bCs/>
        </w:rPr>
        <w:t xml:space="preserve">Perhaps a figure with analysis tasks that could be referenced in §4.2.</w:t>
      </w:r>
    </w:p>
    <w:p>
      <w:pPr>
        <w:pStyle w:val="BodyText"/>
      </w:pPr>
      <w:r>
        <w:t xml:space="preserve">Adopted. New Table 1 names five workflow stages, S1 through S5, maps each to its implementing</w:t>
      </w:r>
      <w:r>
        <w:t xml:space="preserve"> </w:t>
      </w:r>
      <w:r>
        <w:t xml:space="preserve">script, and lists the superseded scripts alongside the defect that retired each. Section 4.2 now</w:t>
      </w:r>
      <w:r>
        <w:t xml:space="preserve"> </w:t>
      </w:r>
      <w:r>
        <w:t xml:space="preserve">references stage names rather than script numbers.</w:t>
      </w:r>
    </w:p>
    <w:p>
      <w:pPr>
        <w:pStyle w:val="BodyText"/>
      </w:pPr>
      <w:r>
        <w:rPr>
          <w:b/>
          <w:bCs/>
        </w:rPr>
        <w:t xml:space="preserve">1.4. How long did the manual audit process take in comparison to the agentic workflow itself?</w:t>
      </w:r>
    </w:p>
    <w:p>
      <w:pPr>
        <w:pStyle w:val="BodyText"/>
      </w:pPr>
      <w:r>
        <w:t xml:space="preserve">Now reported in §4.5: approximately 60 person-hours of audit against approximately 520 hours of</w:t>
      </w:r>
      <w:r>
        <w:t xml:space="preserve"> </w:t>
      </w:r>
      <w:r>
        <w:t xml:space="preserve">pipeline development, roughly twelve percent overhead, about one hour of checking per eight hours</w:t>
      </w:r>
      <w:r>
        <w:t xml:space="preserve"> </w:t>
      </w:r>
      <w:r>
        <w:t xml:space="preserve">of building. Both figures are author estimates rather than measurements, and the manuscript says</w:t>
      </w:r>
      <w:r>
        <w:t xml:space="preserve"> </w:t>
      </w:r>
      <w:r>
        <w:t xml:space="preserve">so. The evidence that would have measured them, the coding-assistant session logs, was destroyed</w:t>
      </w:r>
      <w:r>
        <w:t xml:space="preserve"> </w:t>
      </w:r>
      <w:r>
        <w:t xml:space="preserve">by the tool’s default retention policy before this revision. We report that loss rather than</w:t>
      </w:r>
      <w:r>
        <w:t xml:space="preserve"> </w:t>
      </w:r>
      <w:r>
        <w:t xml:space="preserve">concealing it, and §4.5 treats it as an argument for depositing a constructed record rather than</w:t>
      </w:r>
      <w:r>
        <w:t xml:space="preserve"> </w:t>
      </w:r>
      <w:r>
        <w:t xml:space="preserve">relying on logs persisting.</w:t>
      </w:r>
    </w:p>
    <w:p>
      <w:pPr>
        <w:pStyle w:val="BodyText"/>
      </w:pPr>
      <w:r>
        <w:rPr>
          <w:b/>
          <w:bCs/>
        </w:rPr>
        <w:t xml:space="preserve">1.5. Section 4.4 could benefit from context for non-experts. Figure 2 does not seem to be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referenced. What is the significance of the numerical results?</w:t>
      </w:r>
    </w:p>
    <w:p>
      <w:pPr>
        <w:pStyle w:val="BodyText"/>
      </w:pPr>
      <w:r>
        <w:t xml:space="preserve">Section 4.4 is rewritten to lead with interpretation. It now states what an AUROC of 0.493</w:t>
      </w:r>
      <w:r>
        <w:t xml:space="preserve"> </w:t>
      </w:r>
      <w:r>
        <w:t xml:space="preserve">implies (not weak information but none), notes that three independently trained architectures</w:t>
      </w:r>
      <w:r>
        <w:t xml:space="preserve"> </w:t>
      </w:r>
      <w:r>
        <w:t xml:space="preserve">fail the same subset and what that points at, and explains the permutation control. Figure 2 is</w:t>
      </w:r>
      <w:r>
        <w:t xml:space="preserve"> </w:t>
      </w:r>
      <w:r>
        <w:t xml:space="preserve">cited at first mention, and its caption now explains the inverted score distribution rather than</w:t>
      </w:r>
      <w:r>
        <w:t xml:space="preserve"> </w:t>
      </w:r>
      <w:r>
        <w:t xml:space="preserve">only reporting it.</w:t>
      </w:r>
    </w:p>
    <w:p>
      <w:pPr>
        <w:pStyle w:val="BodyText"/>
      </w:pPr>
      <w:r>
        <w:rPr>
          <w:b/>
          <w:bCs/>
        </w:rPr>
        <w:t xml:space="preserve">1.6. Include references for the minimum information standards described in §3 (MIAME, MIQE,</w:t>
      </w:r>
      <w:r>
        <w:rPr>
          <w:b/>
          <w:bCs/>
        </w:rPr>
        <w:t xml:space="preserve"> </w:t>
      </w:r>
      <w:r>
        <w:rPr>
          <w:b/>
          <w:bCs/>
        </w:rPr>
        <w:t xml:space="preserve">ARRIVE).</w:t>
      </w:r>
    </w:p>
    <w:p>
      <w:pPr>
        <w:pStyle w:val="BodyText"/>
      </w:pPr>
      <w:r>
        <w:t xml:space="preserve">Partly adopted. MIAME is now cited. The twelve-reference limit does not accommodate all three</w:t>
      </w:r>
      <w:r>
        <w:t xml:space="preserve"> </w:t>
      </w:r>
      <w:r>
        <w:t xml:space="preserve">alongside the two provenance standards Reviewer 3 asked us to address, so MIQE and ARRIVE are</w:t>
      </w:r>
      <w:r>
        <w:t xml:space="preserve"> </w:t>
      </w:r>
      <w:r>
        <w:t xml:space="preserve">named in the text without citation. We would add them if the limit permits.</w:t>
      </w:r>
    </w:p>
    <w:p>
      <w:pPr>
        <w:pStyle w:val="BodyText"/>
      </w:pPr>
      <w:r>
        <w:rPr>
          <w:b/>
          <w:bCs/>
        </w:rPr>
        <w:t xml:space="preserve">1.C5. Organization could be improved.</w:t>
      </w:r>
    </w:p>
    <w:p>
      <w:pPr>
        <w:pStyle w:val="BodyText"/>
      </w:pPr>
      <w:r>
        <w:t xml:space="preserve">Addressed through 1.1 to 1.3. The vocabulary mismatch between §3 and §4 was the main source of</w:t>
      </w:r>
      <w:r>
        <w:t xml:space="preserve"> </w:t>
      </w:r>
      <w:r>
        <w:t xml:space="preserve">the difficulty.</w:t>
      </w:r>
    </w:p>
    <w:p>
      <w:r>
        <w:pict>
          <v:rect style="width:0;height:1.5pt" o:hralign="center" o:hrstd="t" o:hr="t"/>
        </w:pict>
      </w:r>
    </w:p>
    <w:bookmarkEnd w:id="9"/>
    <w:bookmarkStart w:id="10" w:name="reviewer-2"/>
    <w:p>
      <w:pPr>
        <w:pStyle w:val="Heading2"/>
      </w:pPr>
      <w:r>
        <w:t xml:space="preserve">Reviewer 2</w:t>
      </w:r>
    </w:p>
    <w:p>
      <w:pPr>
        <w:pStyle w:val="FirstParagraph"/>
      </w:pPr>
      <w:r>
        <w:rPr>
          <w:b/>
          <w:bCs/>
        </w:rPr>
        <w:t xml:space="preserve">2.1. The AIVS schema in §3 is difficult to understand and it is unclear how it could be</w:t>
      </w:r>
      <w:r>
        <w:rPr>
          <w:b/>
          <w:bCs/>
        </w:rPr>
        <w:t xml:space="preserve"> </w:t>
      </w:r>
      <w:r>
        <w:rPr>
          <w:b/>
          <w:bCs/>
        </w:rPr>
        <w:t xml:space="preserve">implemented in a general research workflow.</w:t>
      </w:r>
    </w:p>
    <w:p>
      <w:pPr>
        <w:pStyle w:val="BodyText"/>
      </w:pPr>
      <w:r>
        <w:t xml:space="preserve">The root cause was the same defect Reviewer 3 identified: §3 specified a schema that was never</w:t>
      </w:r>
      <w:r>
        <w:t xml:space="preserve"> </w:t>
      </w:r>
      <w:r>
        <w:t xml:space="preserve">built, so no reader could have connected it to the demonstrated record. Section 3 now specifies</w:t>
      </w:r>
      <w:r>
        <w:t xml:space="preserve"> </w:t>
      </w:r>
      <w:r>
        <w:t xml:space="preserve">the built kernel, which is smaller and has fewer moving parts.</w:t>
      </w:r>
    </w:p>
    <w:p>
      <w:pPr>
        <w:pStyle w:val="BodyText"/>
      </w:pPr>
      <w:r>
        <w:rPr>
          <w:b/>
          <w:bCs/>
        </w:rPr>
        <w:t xml:space="preserve">2.2. The section leaves out an implementation discussion that would help to understand its</w:t>
      </w:r>
      <w:r>
        <w:rPr>
          <w:b/>
          <w:bCs/>
        </w:rPr>
        <w:t xml:space="preserve"> </w:t>
      </w:r>
      <w:r>
        <w:rPr>
          <w:b/>
          <w:bCs/>
        </w:rPr>
        <w:t xml:space="preserve">impact and level of effort required to use.</w:t>
      </w:r>
    </w:p>
    <w:p>
      <w:pPr>
        <w:pStyle w:val="BodyText"/>
      </w:pPr>
      <w:r>
        <w:t xml:space="preserve">This was a real omission and we take it as the substance of your recommendation. Two additions</w:t>
      </w:r>
      <w:r>
        <w:t xml:space="preserve"> </w:t>
      </w:r>
      <w:r>
        <w:t xml:space="preserve">respond to it. New §3.2 specifies capture tiers 0 to 3, which state what evidence a given level of</w:t>
      </w:r>
      <w:r>
        <w:t xml:space="preserve"> </w:t>
      </w:r>
      <w:r>
        <w:t xml:space="preserve">instrumentation supports: tier 0 is a manual log from memory, tier 3 adds environment metadata.</w:t>
      </w:r>
      <w:r>
        <w:t xml:space="preserve"> </w:t>
      </w:r>
      <w:r>
        <w:t xml:space="preserve">The point of grading rather than requiring is that an author with no instrumentation can still</w:t>
      </w:r>
      <w:r>
        <w:t xml:space="preserve"> </w:t>
      </w:r>
      <w:r>
        <w:t xml:space="preserve">produce a usable record, which is the common case. New cost figures in §4.5 give the level of</w:t>
      </w:r>
      <w:r>
        <w:t xml:space="preserve"> </w:t>
      </w:r>
      <w:r>
        <w:t xml:space="preserve">effort in hours.</w:t>
      </w:r>
    </w:p>
    <w:p>
      <w:pPr>
        <w:pStyle w:val="BodyText"/>
      </w:pPr>
      <w:r>
        <w:rPr>
          <w:b/>
          <w:bCs/>
        </w:rPr>
        <w:t xml:space="preserve">2.3. It was unclear how AIVS was used in the case-study workflow.</w:t>
      </w:r>
    </w:p>
    <w:p>
      <w:pPr>
        <w:pStyle w:val="BodyText"/>
      </w:pPr>
      <w:r>
        <w:t xml:space="preserve">Section 4.2 now names, for each finding, the Decision it produced in the record, and Table 2 maps</w:t>
      </w:r>
      <w:r>
        <w:t xml:space="preserve"> </w:t>
      </w:r>
      <w:r>
        <w:t xml:space="preserve">each to its audit document and corrected output. Section 4.2 also opens by describing how the</w:t>
      </w:r>
      <w:r>
        <w:t xml:space="preserve"> </w:t>
      </w:r>
      <w:r>
        <w:t xml:space="preserve">audit proceeded: enumerating decisions produces a queue of unverified ones, and working that</w:t>
      </w:r>
      <w:r>
        <w:t xml:space="preserve"> </w:t>
      </w:r>
      <w:r>
        <w:t xml:space="preserve">queue is what put attention on the defects.</w:t>
      </w:r>
    </w:p>
    <w:p>
      <w:pPr>
        <w:pStyle w:val="BodyText"/>
      </w:pPr>
      <w:r>
        <w:rPr>
          <w:b/>
          <w:bCs/>
        </w:rPr>
        <w:t xml:space="preserve">2.C4. The introduction thesis could be improved.</w:t>
      </w:r>
    </w:p>
    <w:p>
      <w:pPr>
        <w:pStyle w:val="BodyText"/>
      </w:pPr>
      <w:r>
        <w:t xml:space="preserve">Section 1 now opens with three of the documented defects, stated concretely, before any</w:t>
      </w:r>
      <w:r>
        <w:t xml:space="preserve"> </w:t>
      </w:r>
      <w:r>
        <w:t xml:space="preserve">discussion of AI adoption, and states the thesis, the contribution, and the threat model within</w:t>
      </w:r>
      <w:r>
        <w:t xml:space="preserve"> </w:t>
      </w:r>
      <w:r>
        <w:t xml:space="preserve">the section.</w:t>
      </w:r>
    </w:p>
    <w:p>
      <w:pPr>
        <w:pStyle w:val="BodyText"/>
      </w:pPr>
      <w:r>
        <w:rPr>
          <w:b/>
          <w:bCs/>
        </w:rPr>
        <w:t xml:space="preserve">2.C7. Length could be improved.</w:t>
      </w:r>
    </w:p>
    <w:p>
      <w:pPr>
        <w:pStyle w:val="BodyText"/>
      </w:pPr>
      <w:r>
        <w:t xml:space="preserve">The agentic-platform discussion in §5 is cut from roughly 230 words to two sentences, and the</w:t>
      </w:r>
      <w:r>
        <w:t xml:space="preserve"> </w:t>
      </w:r>
      <w:r>
        <w:t xml:space="preserve">§4.1 record-type mapping paragraph is removed. Net growth is small and the manuscript remains</w:t>
      </w:r>
      <w:r>
        <w:t xml:space="preserve"> </w:t>
      </w:r>
      <w:r>
        <w:t xml:space="preserve">within the 6,250-word limit.</w:t>
      </w:r>
    </w:p>
    <w:p>
      <w:r>
        <w:pict>
          <v:rect style="width:0;height:1.5pt" o:hralign="center" o:hrstd="t" o:hr="t"/>
        </w:pict>
      </w:r>
    </w:p>
    <w:bookmarkEnd w:id="10"/>
    <w:bookmarkStart w:id="11" w:name="reviewer-3"/>
    <w:p>
      <w:pPr>
        <w:pStyle w:val="Heading2"/>
      </w:pPr>
      <w:r>
        <w:t xml:space="preserve">Reviewer 3</w:t>
      </w:r>
    </w:p>
    <w:p>
      <w:pPr>
        <w:pStyle w:val="FirstParagraph"/>
      </w:pPr>
      <w:r>
        <w:rPr>
          <w:b/>
          <w:bCs/>
        </w:rPr>
        <w:t xml:space="preserve">3.1. Section 3.1 defines five record types; §§4.1 to 4.3 describe the record entirely in terms</w:t>
      </w:r>
      <w:r>
        <w:rPr>
          <w:b/>
          <w:bCs/>
        </w:rPr>
        <w:t xml:space="preserve"> </w:t>
      </w:r>
      <w:r>
        <w:rPr>
          <w:b/>
          <w:bCs/>
        </w:rPr>
        <w:t xml:space="preserve">of Decisions, Events, and Actors. The authors should either show a complete record instantiating</w:t>
      </w:r>
      <w:r>
        <w:rPr>
          <w:b/>
          <w:bCs/>
        </w:rPr>
        <w:t xml:space="preserve"> </w:t>
      </w:r>
      <w:r>
        <w:rPr>
          <w:b/>
          <w:bCs/>
        </w:rPr>
        <w:t xml:space="preserve">the five types, or revise §3 to specify the model actually built.</w:t>
      </w:r>
    </w:p>
    <w:p>
      <w:pPr>
        <w:pStyle w:val="BodyText"/>
      </w:pPr>
      <w:r>
        <w:t xml:space="preserve">We have taken the second option. The five types were specified before any audit was constructed,</w:t>
      </w:r>
      <w:r>
        <w:t xml:space="preserve"> </w:t>
      </w:r>
      <w:r>
        <w:t xml:space="preserve">and when we built one we reached for a different kernel. That is evidence about which model</w:t>
      </w:r>
      <w:r>
        <w:t xml:space="preserve"> </w:t>
      </w:r>
      <w:r>
        <w:t xml:space="preserve">works, and preserving the specification would have meant building machinery to match a document</w:t>
      </w:r>
      <w:r>
        <w:t xml:space="preserve"> </w:t>
      </w:r>
      <w:r>
        <w:t xml:space="preserve">rather than reporting what the work produced.</w:t>
      </w:r>
    </w:p>
    <w:p>
      <w:pPr>
        <w:pStyle w:val="BodyText"/>
      </w:pPr>
      <w:r>
        <w:t xml:space="preserve">Section 3 now specifies Actor, Event, Evidence, Decision, Claim, and AuditArtifact. The five</w:t>
      </w:r>
      <w:r>
        <w:t xml:space="preserve"> </w:t>
      </w:r>
      <w:r>
        <w:t xml:space="preserve">workflow-stage terms survive as open-vocabulary decision types, which is what the code already</w:t>
      </w:r>
      <w:r>
        <w:t xml:space="preserve"> </w:t>
      </w:r>
      <w:r>
        <w:t xml:space="preserve">treated them as.</w:t>
      </w:r>
    </w:p>
    <w:p>
      <w:pPr>
        <w:pStyle w:val="BodyText"/>
      </w:pPr>
      <w:r>
        <w:t xml:space="preserve">Two features of the built kernel that the submitted §3 never mentioned now do substantial work:</w:t>
      </w:r>
      <w:r>
        <w:t xml:space="preserve"> </w:t>
      </w:r>
      <w:r>
        <w:t xml:space="preserve">capture tier, and the verification status that defaults to unverified.</w:t>
      </w:r>
    </w:p>
    <w:p>
      <w:pPr>
        <w:pStyle w:val="BodyText"/>
      </w:pPr>
      <w:r>
        <w:rPr>
          <w:b/>
          <w:bCs/>
        </w:rPr>
        <w:t xml:space="preserve">3.2. The paper credits the schema with work it attributes elsewhere to manual auditing.</w:t>
      </w:r>
      <w:r>
        <w:rPr>
          <w:b/>
          <w:bCs/>
        </w:rPr>
        <w:t xml:space="preserve"> </w:t>
      </w:r>
      <w:r>
        <w:rPr>
          <w:b/>
          <w:bCs/>
        </w:rPr>
        <w:t xml:space="preserve">Strengthening the claim would require a comparison case or an account of how the schema’s</w:t>
      </w:r>
      <w:r>
        <w:rPr>
          <w:b/>
          <w:bCs/>
        </w:rPr>
        <w:t xml:space="preserve"> </w:t>
      </w:r>
      <w:r>
        <w:rPr>
          <w:b/>
          <w:bCs/>
        </w:rPr>
        <w:t xml:space="preserve">structure directed the auditor.</w:t>
      </w:r>
    </w:p>
    <w:p>
      <w:pPr>
        <w:pStyle w:val="BodyText"/>
      </w:pPr>
      <w:r>
        <w:t xml:space="preserve">The narrower claim is now what the paper makes, in the abstract, §4.2, §4.5, and the Experimental</w:t>
      </w:r>
      <w:r>
        <w:t xml:space="preserve"> </w:t>
      </w:r>
      <w:r>
        <w:t xml:space="preserve">procedures.</w:t>
      </w:r>
    </w:p>
    <w:p>
      <w:pPr>
        <w:pStyle w:val="BodyText"/>
      </w:pPr>
      <w:r>
        <w:t xml:space="preserve">On the mechanism you asked for: every Decision in the schema carries a verification status, and</w:t>
      </w:r>
      <w:r>
        <w:t xml:space="preserve"> </w:t>
      </w:r>
      <w:r>
        <w:t xml:space="preserve">the default is unverified. Enumerating a workflow’s decisions therefore produces a work list</w:t>
      </w:r>
      <w:r>
        <w:t xml:space="preserve"> </w:t>
      </w:r>
      <w:r>
        <w:t xml:space="preserve">before any checking has been done, and the unverified entries are what an auditor has to examine.</w:t>
      </w:r>
      <w:r>
        <w:t xml:space="preserve"> </w:t>
      </w:r>
      <w:r>
        <w:t xml:space="preserve">This is stated in §3.1 and again at the head of §4.2. We have not attempted a comparison case,</w:t>
      </w:r>
      <w:r>
        <w:t xml:space="preserve"> </w:t>
      </w:r>
      <w:r>
        <w:t xml:space="preserve">which would require auditing a second workflow without the schema, and we agree that a single</w:t>
      </w:r>
      <w:r>
        <w:t xml:space="preserve"> </w:t>
      </w:r>
      <w:r>
        <w:t xml:space="preserve">self-audited case cannot separate the schema’s contribution from the auditor’s. Section 5 now</w:t>
      </w:r>
      <w:r>
        <w:t xml:space="preserve"> </w:t>
      </w:r>
      <w:r>
        <w:t xml:space="preserve">says so as an explicit limitation.</w:t>
      </w:r>
    </w:p>
    <w:p>
      <w:pPr>
        <w:pStyle w:val="BodyText"/>
      </w:pPr>
      <w:r>
        <w:rPr>
          <w:b/>
          <w:bCs/>
        </w:rPr>
        <w:t xml:space="preserve">3.3. The sub-linear scaling claim rests on one observation with no cost measurement. Reporting</w:t>
      </w:r>
      <w:r>
        <w:rPr>
          <w:b/>
          <w:bCs/>
        </w:rPr>
        <w:t xml:space="preserve"> </w:t>
      </w:r>
      <w:r>
        <w:rPr>
          <w:b/>
          <w:bCs/>
        </w:rPr>
        <w:t xml:space="preserve">the audit’s cost in person-hours would be the single most useful addition.</w:t>
      </w:r>
    </w:p>
    <w:p>
      <w:pPr>
        <w:pStyle w:val="BodyText"/>
      </w:pPr>
      <w:r>
        <w:t xml:space="preserve">The claim is withdrawn, and §4.5 says that it is withdrawn rather than deleting it quietly. Cost</w:t>
      </w:r>
      <w:r>
        <w:t xml:space="preserve"> </w:t>
      </w:r>
      <w:r>
        <w:t xml:space="preserve">is reported as described at 1.4 above. We note in §4.5 that the 60 hours includes constructing</w:t>
      </w:r>
      <w:r>
        <w:t xml:space="preserve"> </w:t>
      </w:r>
      <w:r>
        <w:t xml:space="preserve">such a record for the first time with no tooling, so it is an upper bound rather than a</w:t>
      </w:r>
      <w:r>
        <w:t xml:space="preserve"> </w:t>
      </w:r>
      <w:r>
        <w:t xml:space="preserve">steady-state figure, and we make no scaling claim of any kind.</w:t>
      </w:r>
    </w:p>
    <w:p>
      <w:pPr>
        <w:pStyle w:val="BodyText"/>
      </w:pPr>
      <w:r>
        <w:rPr>
          <w:b/>
          <w:bCs/>
        </w:rPr>
        <w:t xml:space="preserve">3.4. It would help to state the threat model.</w:t>
      </w:r>
    </w:p>
    <w:p>
      <w:pPr>
        <w:pStyle w:val="BodyText"/>
      </w:pPr>
      <w:r>
        <w:t xml:space="preserve">Added in §3.4, with a short statement at the end of §1 so a reader meets the boundary early. The</w:t>
      </w:r>
      <w:r>
        <w:t xml:space="preserve"> </w:t>
      </w:r>
      <w:r>
        <w:t xml:space="preserve">threat model is honest error. The record is author-side, written by the people who did the work</w:t>
      </w:r>
      <w:r>
        <w:t xml:space="preserve"> </w:t>
      </w:r>
      <w:r>
        <w:t xml:space="preserve">from artifacts they control, and it is not tamper-evident. An author determined to conceal</w:t>
      </w:r>
      <w:r>
        <w:t xml:space="preserve"> </w:t>
      </w:r>
      <w:r>
        <w:t xml:space="preserve">something can produce a clean AIVS record exactly as they can produce a clean Methods section.</w:t>
      </w:r>
    </w:p>
    <w:p>
      <w:pPr>
        <w:pStyle w:val="BodyText"/>
      </w:pPr>
      <w:r>
        <w:rPr>
          <w:b/>
          <w:bCs/>
        </w:rPr>
        <w:t xml:space="preserve">3.5. The paper does not position itself against W3C PROV-O or RO-Crate, particularly the</w:t>
      </w:r>
      <w:r>
        <w:rPr>
          <w:b/>
          <w:bCs/>
        </w:rPr>
        <w:t xml:space="preserve"> </w:t>
      </w:r>
      <w:r>
        <w:rPr>
          <w:b/>
          <w:bCs/>
        </w:rPr>
        <w:t xml:space="preserve">Workflow Run profile.</w:t>
      </w:r>
    </w:p>
    <w:p>
      <w:pPr>
        <w:pStyle w:val="BodyText"/>
      </w:pPr>
      <w:r>
        <w:t xml:space="preserve">This was the sharpest technical gap in the reviews and is addressed in new §3.5. The argument in</w:t>
      </w:r>
      <w:r>
        <w:t xml:space="preserve"> </w:t>
      </w:r>
      <w:r>
        <w:t xml:space="preserve">brief: those standards assume instrumentation at execution time and are the better tool wherever</w:t>
      </w:r>
      <w:r>
        <w:t xml:space="preserve"> </w:t>
      </w:r>
      <w:r>
        <w:t xml:space="preserve">it exists, and their records can populate an AIVS audit directly. AIVS addresses the case where</w:t>
      </w:r>
      <w:r>
        <w:t xml:space="preserve"> </w:t>
      </w:r>
      <w:r>
        <w:t xml:space="preserve">instrumentation was absent, which is most published work. Its unit is the methodological decision</w:t>
      </w:r>
      <w:r>
        <w:t xml:space="preserve"> </w:t>
      </w:r>
      <w:r>
        <w:t xml:space="preserve">and its verification status rather than the execution step, and capture tier expresses how much</w:t>
      </w:r>
      <w:r>
        <w:t xml:space="preserve"> </w:t>
      </w:r>
      <w:r>
        <w:t xml:space="preserve">of a record was reconstructed rather than captured, which a profile of an</w:t>
      </w:r>
      <w:r>
        <w:t xml:space="preserve"> </w:t>
      </w:r>
      <w:r>
        <w:t xml:space="preserve">instrumentation-assuming standard cannot express. Both references are added.</w:t>
      </w:r>
    </w:p>
    <w:p>
      <w:pPr>
        <w:pStyle w:val="BodyText"/>
      </w:pPr>
      <w:r>
        <w:rPr>
          <w:b/>
          <w:bCs/>
        </w:rPr>
        <w:t xml:space="preserve">3.6. The data availability statement lists four items that do not appear in the deposit it</w:t>
      </w:r>
      <w:r>
        <w:rPr>
          <w:b/>
          <w:bCs/>
        </w:rPr>
        <w:t xml:space="preserve"> </w:t>
      </w:r>
      <w:r>
        <w:rPr>
          <w:b/>
          <w:bCs/>
        </w:rPr>
        <w:t xml:space="preserve">cites.</w:t>
      </w:r>
    </w:p>
    <w:p>
      <w:pPr>
        <w:pStyle w:val="BodyText"/>
      </w:pPr>
      <w:r>
        <w:t xml:space="preserve">Confirmed, and we are grateful you checked. A verification pass found that the figure-generation</w:t>
      </w:r>
      <w:r>
        <w:t xml:space="preserve"> </w:t>
      </w:r>
      <w:r>
        <w:t xml:space="preserve">scripts and environment manifest were absent, that the AIVS verification record was deposited in</w:t>
      </w:r>
      <w:r>
        <w:t xml:space="preserve"> </w:t>
      </w:r>
      <w:r>
        <w:t xml:space="preserve">the sibling repository rather than the one cited, that the variant dataset was stale, and that</w:t>
      </w:r>
      <w:r>
        <w:t xml:space="preserve"> </w:t>
      </w:r>
      <w:r>
        <w:t xml:space="preserve">twelve of twenty-one analysis scripts were deposited. The deposit was frozen at a commit well</w:t>
      </w:r>
      <w:r>
        <w:t xml:space="preserve"> </w:t>
      </w:r>
      <w:r>
        <w:t xml:space="preserve">behind the work the manuscript describes, which is why the numbers in §4.4 could not be traced.</w:t>
      </w:r>
    </w:p>
    <w:p>
      <w:pPr>
        <w:pStyle w:val="BodyText"/>
      </w:pPr>
      <w:r>
        <w:t xml:space="preserve">The deposits have been repaired and re-released with new version DOIs; the concept DOIs are</w:t>
      </w:r>
      <w:r>
        <w:t xml:space="preserve"> </w:t>
      </w:r>
      <w:r>
        <w:t xml:space="preserve">unchanged. The availability statement now describes what is actually deposited, states explicitly</w:t>
      </w:r>
      <w:r>
        <w:t xml:space="preserve"> </w:t>
      </w:r>
      <w:r>
        <w:t xml:space="preserve">where the verification record lives, and both repositories carry a README mapping manuscript</w:t>
      </w:r>
      <w:r>
        <w:t xml:space="preserve"> </w:t>
      </w:r>
      <w:r>
        <w:t xml:space="preserve">claims to files.</w:t>
      </w:r>
    </w:p>
    <w:p>
      <w:pPr>
        <w:pStyle w:val="BodyText"/>
      </w:pPr>
      <w:r>
        <w:rPr>
          <w:b/>
          <w:bCs/>
        </w:rPr>
        <w:t xml:space="preserve">3.7. The manuscript’s own AI disclosure names no tool, model, or version for drafting, which is</w:t>
      </w:r>
      <w:r>
        <w:rPr>
          <w:b/>
          <w:bCs/>
        </w:rPr>
        <w:t xml:space="preserve"> </w:t>
      </w:r>
      <w:r>
        <w:rPr>
          <w:b/>
          <w:bCs/>
        </w:rPr>
        <w:t xml:space="preserve">exactly what §3.1 requires of others.</w:t>
      </w:r>
    </w:p>
    <w:p>
      <w:pPr>
        <w:pStyle w:val="BodyText"/>
      </w:pPr>
      <w:r>
        <w:t xml:space="preserve">A fair and uncomfortable observation. The disclosure now names the tools, interfaces, date ranges,</w:t>
      </w:r>
      <w:r>
        <w:t xml:space="preserve"> </w:t>
      </w:r>
      <w:r>
        <w:t xml:space="preserve">and the model identifiers recoverable from surviving configuration, and declares its own capture</w:t>
      </w:r>
      <w:r>
        <w:t xml:space="preserve"> </w:t>
      </w:r>
      <w:r>
        <w:t xml:space="preserve">tier, which is 0 for drafting and 1 for the case-study workflow. Where the record is incomplete</w:t>
      </w:r>
      <w:r>
        <w:t xml:space="preserve"> </w:t>
      </w:r>
      <w:r>
        <w:t xml:space="preserve">the disclosure says so and says why, rather than omitting the field.</w:t>
      </w:r>
    </w:p>
    <w:p>
      <w:pPr>
        <w:pStyle w:val="BodyText"/>
      </w:pPr>
      <w:r>
        <w:rPr>
          <w:b/>
          <w:bCs/>
        </w:rPr>
        <w:t xml:space="preserve">3.8. Additional defect identified during revision (not raised by a reviewer).</w:t>
      </w:r>
    </w:p>
    <w:p>
      <w:pPr>
        <w:pStyle w:val="BodyText"/>
      </w:pPr>
      <w:r>
        <w:t xml:space="preserve">While verifying the deposits we found that the submitted §4.3 stated that agent-session logs were</w:t>
      </w:r>
      <w:r>
        <w:t xml:space="preserve"> </w:t>
      </w:r>
      <w:r>
        <w:t xml:space="preserve">deposited under access control. No such deposit exists. The logs existed when the audit was</w:t>
      </w:r>
      <w:r>
        <w:t xml:space="preserve"> </w:t>
      </w:r>
      <w:r>
        <w:t xml:space="preserve">constructed and were destroyed by the tool’s default retention policy; their absence was confirmed</w:t>
      </w:r>
      <w:r>
        <w:t xml:space="preserve"> </w:t>
      </w:r>
      <w:r>
        <w:t xml:space="preserve">on 2026-08-27. The deposited audit artifact also declared capture tier 2, which requires those</w:t>
      </w:r>
      <w:r>
        <w:t xml:space="preserve"> </w:t>
      </w:r>
      <w:r>
        <w:t xml:space="preserve">logs.</w:t>
      </w:r>
    </w:p>
    <w:p>
      <w:pPr>
        <w:pStyle w:val="BodyText"/>
      </w:pPr>
      <w:r>
        <w:t xml:space="preserve">Section 4.3 now states the loss plainly and the artifact is corrected to tier 1. We report this</w:t>
      </w:r>
      <w:r>
        <w:t xml:space="preserve"> </w:t>
      </w:r>
      <w:r>
        <w:t xml:space="preserve">because a paper arguing for auditable records should not quietly repair its own.</w:t>
      </w:r>
    </w:p>
    <w:p>
      <w:pPr>
        <w:pStyle w:val="BodyText"/>
      </w:pPr>
      <w:r>
        <w:rPr>
          <w:b/>
          <w:bCs/>
        </w:rPr>
        <w:t xml:space="preserve">3.C4. Introduction could be improved.</w:t>
      </w:r>
    </w:p>
    <w:p>
      <w:pPr>
        <w:pStyle w:val="BodyText"/>
      </w:pPr>
      <w:r>
        <w:t xml:space="preserve">See 2.C4.</w:t>
      </w:r>
    </w:p>
    <w:p>
      <w:r>
        <w:pict>
          <v:rect style="width:0;height:1.5pt" o:hralign="center" o:hrstd="t" o:hr="t"/>
        </w:pict>
      </w:r>
    </w:p>
    <w:bookmarkEnd w:id="11"/>
    <w:bookmarkStart w:id="12" w:name="reviewer-4"/>
    <w:p>
      <w:pPr>
        <w:pStyle w:val="Heading2"/>
      </w:pPr>
      <w:r>
        <w:t xml:space="preserve">Reviewer 4</w:t>
      </w:r>
    </w:p>
    <w:p>
      <w:pPr>
        <w:pStyle w:val="FirstParagraph"/>
      </w:pPr>
      <w:r>
        <w:rPr>
          <w:b/>
          <w:bCs/>
        </w:rPr>
        <w:t xml:space="preserve">4.1. The biomedical example was not scientifically coherent; the stated goal was</w:t>
      </w:r>
      <w:r>
        <w:rPr>
          <w:b/>
          <w:bCs/>
        </w:rPr>
        <w:t xml:space="preserve"> </w:t>
      </w:r>
      <w:r>
        <w:rPr>
          <w:b/>
          <w:bCs/>
        </w:rPr>
        <w:t xml:space="preserve">incomprehensible to a reviewer with deep biomedical expertise.</w:t>
      </w:r>
    </w:p>
    <w:p>
      <w:pPr>
        <w:pStyle w:val="BodyText"/>
      </w:pPr>
      <w:r>
        <w:t xml:space="preserve">We take this as a writing failure rather than an analysis failure, and the sentence you quoted</w:t>
      </w:r>
      <w:r>
        <w:t xml:space="preserve"> </w:t>
      </w:r>
      <w:r>
        <w:t xml:space="preserve">supports that reading: it stated the question in the vocabulary of the answer.</w:t>
      </w:r>
    </w:p>
    <w:p>
      <w:pPr>
        <w:pStyle w:val="BodyText"/>
      </w:pPr>
      <w:r>
        <w:t xml:space="preserve">Section 4.1 is rewritten. The question is now built in three steps. Conservation-based predictors</w:t>
      </w:r>
      <w:r>
        <w:t xml:space="preserve"> </w:t>
      </w:r>
      <w:r>
        <w:t xml:space="preserve">score a variant by how unusual it looks against evolutionary patterns, which works because</w:t>
      </w:r>
      <w:r>
        <w:t xml:space="preserve"> </w:t>
      </w:r>
      <w:r>
        <w:t xml:space="preserve">positions evolution holds fixed are the ones a folded structure depends on. Intrinsically</w:t>
      </w:r>
      <w:r>
        <w:t xml:space="preserve"> </w:t>
      </w:r>
      <w:r>
        <w:t xml:space="preserve">disordered proteins have no fixed structure and are weakly conserved, and several cause disease</w:t>
      </w:r>
      <w:r>
        <w:t xml:space="preserve"> </w:t>
      </w:r>
      <w:r>
        <w:t xml:space="preserve">by the mutant protein gaining a harmful behaviour rather than losing function, in which case the</w:t>
      </w:r>
      <w:r>
        <w:t xml:space="preserve"> </w:t>
      </w:r>
      <w:r>
        <w:t xml:space="preserve">responsible residue need not be conserved at all; what matters is where it sits. It follows that</w:t>
      </w:r>
      <w:r>
        <w:t xml:space="preserve"> </w:t>
      </w:r>
      <w:r>
        <w:t xml:space="preserve">these predictors should work on the loss-of-function cases and fail on the gain-of-function ones,</w:t>
      </w:r>
      <w:r>
        <w:t xml:space="preserve"> </w:t>
      </w:r>
      <w:r>
        <w:t xml:space="preserve">and they do, at 0.813 against 0.493.</w:t>
      </w:r>
    </w:p>
    <w:p>
      <w:pPr>
        <w:pStyle w:val="BodyText"/>
      </w:pPr>
      <w:r>
        <w:rPr>
          <w:b/>
          <w:bCs/>
        </w:rPr>
        <w:t xml:space="preserve">4.2. The manuscript has a</w:t>
      </w:r>
      <w:r>
        <w:rPr>
          <w:b/>
          <w:bCs/>
        </w:rPr>
        <w:t xml:space="preserve"> </w:t>
      </w:r>
      <w:r>
        <w:rPr>
          <w:b/>
          <w:bCs/>
        </w:rPr>
        <w:t xml:space="preserve">“word salad”</w:t>
      </w:r>
      <w:r>
        <w:rPr>
          <w:b/>
          <w:bCs/>
        </w:rPr>
        <w:t xml:space="preserve"> </w:t>
      </w:r>
      <w:r>
        <w:rPr>
          <w:b/>
          <w:bCs/>
        </w:rPr>
        <w:t xml:space="preserve">quality. Simplify the language and concepts, use jargon</w:t>
      </w:r>
      <w:r>
        <w:rPr>
          <w:b/>
          <w:bCs/>
        </w:rPr>
        <w:t xml:space="preserve"> </w:t>
      </w:r>
      <w:r>
        <w:rPr>
          <w:b/>
          <w:bCs/>
        </w:rPr>
        <w:t xml:space="preserve">only when necessary.</w:t>
      </w:r>
    </w:p>
    <w:p>
      <w:pPr>
        <w:pStyle w:val="BodyText"/>
      </w:pPr>
      <w:r>
        <w:t xml:space="preserve">The paragraph you quoted is rewritten, along with the rest of §2 and a general pass over the</w:t>
      </w:r>
      <w:r>
        <w:t xml:space="preserve"> </w:t>
      </w:r>
      <w:r>
        <w:t xml:space="preserve">manuscript. Section 2.2 now opens with a one-sentence definition and a concrete case before any</w:t>
      </w:r>
      <w:r>
        <w:t xml:space="preserve"> </w:t>
      </w:r>
      <w:r>
        <w:t xml:space="preserve">abstraction, and explains why the byline no longer carries the work that accountability requires.</w:t>
      </w:r>
      <w:r>
        <w:t xml:space="preserve"> </w:t>
      </w:r>
      <w:r>
        <w:t xml:space="preserve">Sentences are shorter and nested parentheticals are removed throughout.</w:t>
      </w:r>
    </w:p>
    <w:p>
      <w:pPr>
        <w:pStyle w:val="BodyText"/>
      </w:pPr>
      <w:r>
        <w:rPr>
          <w:b/>
          <w:bCs/>
        </w:rPr>
        <w:t xml:space="preserve">4.3. Use a published, credible, substantive, scientifically meaningful workflow from any</w:t>
      </w:r>
      <w:r>
        <w:rPr>
          <w:b/>
          <w:bCs/>
        </w:rPr>
        <w:t xml:space="preserve"> </w:t>
      </w:r>
      <w:r>
        <w:rPr>
          <w:b/>
          <w:bCs/>
        </w:rPr>
        <w:t xml:space="preserve">domain, rather than the authors’ own. (Declined)</w:t>
      </w:r>
    </w:p>
    <w:p>
      <w:pPr>
        <w:pStyle w:val="BodyText"/>
      </w:pPr>
      <w:r>
        <w:t xml:space="preserve">We decline this, and state the reason in §4.1 so it reaches readers rather than only reviewers.</w:t>
      </w:r>
    </w:p>
    <w:p>
      <w:pPr>
        <w:pStyle w:val="BodyText"/>
      </w:pPr>
      <w:r>
        <w:t xml:space="preserve">A retrospective audit of the kind this paper describes requires the workflow’s internal artifacts:</w:t>
      </w:r>
      <w:r>
        <w:t xml:space="preserve"> </w:t>
      </w:r>
      <w:r>
        <w:t xml:space="preserve">superseded scripts, intermediate outputs, abandoned analyses, and internal audit notes. Published</w:t>
      </w:r>
      <w:r>
        <w:t xml:space="preserve"> </w:t>
      </w:r>
      <w:r>
        <w:t xml:space="preserve">work does not deposit these. Auditing a third party’s paper would have been limited to what they</w:t>
      </w:r>
      <w:r>
        <w:t xml:space="preserve"> </w:t>
      </w:r>
      <w:r>
        <w:t xml:space="preserve">chose to deposit, which is precisely the material a disclosure statement already covers, and</w:t>
      </w:r>
      <w:r>
        <w:t xml:space="preserve"> </w:t>
      </w:r>
      <w:r>
        <w:t xml:space="preserve">would have demonstrated the opposite of the paper’s claim. Every one of the five defects reported</w:t>
      </w:r>
      <w:r>
        <w:t xml:space="preserve"> </w:t>
      </w:r>
      <w:r>
        <w:t xml:space="preserve">here was recoverable only because we had access to material no journal requires anyone to</w:t>
      </w:r>
      <w:r>
        <w:t xml:space="preserve"> </w:t>
      </w:r>
      <w:r>
        <w:t xml:space="preserve">publish. The ensemble that read its own labels, for instance, is visible only in a superseded</w:t>
      </w:r>
      <w:r>
        <w:t xml:space="preserve"> </w:t>
      </w:r>
      <w:r>
        <w:t xml:space="preserve">script that no deposit would have contained.</w:t>
      </w:r>
    </w:p>
    <w:p>
      <w:pPr>
        <w:pStyle w:val="BodyText"/>
      </w:pPr>
      <w:r>
        <w:t xml:space="preserve">We recognise the cost of this choice: a self-audit cannot separate the schema’s contribution from</w:t>
      </w:r>
      <w:r>
        <w:t xml:space="preserve"> </w:t>
      </w:r>
      <w:r>
        <w:t xml:space="preserve">the auditor’s, and §5 now states that as an explicit limitation.</w:t>
      </w:r>
    </w:p>
    <w:p>
      <w:pPr>
        <w:pStyle w:val="BodyText"/>
      </w:pPr>
      <w:r>
        <w:rPr>
          <w:b/>
          <w:bCs/>
        </w:rPr>
        <w:t xml:space="preserve">4.4. Provide evidence for the problem beyond the fact that LLMs exist and people use them.</w:t>
      </w:r>
    </w:p>
    <w:p>
      <w:pPr>
        <w:pStyle w:val="BodyText"/>
      </w:pPr>
      <w:r>
        <w:t xml:space="preserve">Partly adopted. The introduction now opens with three concrete defects from this paper’s own case</w:t>
      </w:r>
      <w:r>
        <w:t xml:space="preserve"> </w:t>
      </w:r>
      <w:r>
        <w:t xml:space="preserve">study rather than with AI adoption, and the quantitative evidence follows: 100 fabricated</w:t>
      </w:r>
      <w:r>
        <w:t xml:space="preserve"> </w:t>
      </w:r>
      <w:r>
        <w:t xml:space="preserve">references across 53 papers that had cleared expert review, and detection rates of 6.1% precision</w:t>
      </w:r>
      <w:r>
        <w:t xml:space="preserve"> </w:t>
      </w:r>
      <w:r>
        <w:t xml:space="preserve">and 21.1% recall on a benchmark of errata-level errors. We agree that the reproducibility crisis</w:t>
      </w:r>
      <w:r>
        <w:t xml:space="preserve"> </w:t>
      </w:r>
      <w:r>
        <w:t xml:space="preserve">predates language models and is driven by incentives rather than tools; the manuscript does not</w:t>
      </w:r>
      <w:r>
        <w:t xml:space="preserve"> </w:t>
      </w:r>
      <w:r>
        <w:t xml:space="preserve">claim otherwise, and confines itself to the narrower question of what a record should contain.</w:t>
      </w:r>
    </w:p>
    <w:p>
      <w:pPr>
        <w:pStyle w:val="BodyText"/>
      </w:pPr>
      <w:r>
        <w:rPr>
          <w:b/>
          <w:bCs/>
        </w:rPr>
        <w:t xml:space="preserve">4.5. An additional</w:t>
      </w:r>
      <w:r>
        <w:rPr>
          <w:b/>
          <w:bCs/>
        </w:rPr>
        <w:t xml:space="preserve"> </w:t>
      </w:r>
      <w:r>
        <w:rPr>
          <w:b/>
          <w:bCs/>
        </w:rPr>
        <w:t xml:space="preserve">“homespun”</w:t>
      </w:r>
      <w:r>
        <w:rPr>
          <w:b/>
          <w:bCs/>
        </w:rPr>
        <w:t xml:space="preserve"> </w:t>
      </w:r>
      <w:r>
        <w:rPr>
          <w:b/>
          <w:bCs/>
        </w:rPr>
        <w:t xml:space="preserve">(JSON) layer probably does not add much value. (Partly declined)</w:t>
      </w:r>
    </w:p>
    <w:p>
      <w:pPr>
        <w:pStyle w:val="BodyText"/>
      </w:pPr>
      <w:r>
        <w:t xml:space="preserve">We decline the framing while accepting the underlying point about presentation. The contribution</w:t>
      </w:r>
      <w:r>
        <w:t xml:space="preserve"> </w:t>
      </w:r>
      <w:r>
        <w:t xml:space="preserve">is the record and the discipline of constructing it, not the serialization format; JSON is an</w:t>
      </w:r>
      <w:r>
        <w:t xml:space="preserve"> </w:t>
      </w:r>
      <w:r>
        <w:t xml:space="preserve">implementation detail and the schema is defined independently of it. Section 5 now states the</w:t>
      </w:r>
      <w:r>
        <w:t xml:space="preserve"> </w:t>
      </w:r>
      <w:r>
        <w:t xml:space="preserve">contribution in those terms. We note that Reviewer 3, reviewing the same manuscript,</w:t>
      </w:r>
      <w:r>
        <w:t xml:space="preserve"> </w:t>
      </w:r>
      <w:r>
        <w:t xml:space="preserve">independently identified the documentation layer between disclosure and runtime capture as a</w:t>
      </w:r>
      <w:r>
        <w:t xml:space="preserve"> </w:t>
      </w:r>
      <w:r>
        <w:t xml:space="preserve">genuine gap in the literature.</w:t>
      </w:r>
    </w:p>
    <w:p>
      <w:pPr>
        <w:pStyle w:val="BodyText"/>
      </w:pPr>
      <w:r>
        <w:rPr>
          <w:b/>
          <w:bCs/>
        </w:rPr>
        <w:t xml:space="preserve">4.6. Focus and length could be improved.</w:t>
      </w:r>
    </w:p>
    <w:p>
      <w:pPr>
        <w:pStyle w:val="BodyText"/>
      </w:pPr>
      <w:r>
        <w:t xml:space="preserve">See 2.C7.</w:t>
      </w:r>
    </w:p>
    <w:p>
      <w:r>
        <w:pict>
          <v:rect style="width:0;height:1.5pt" o:hralign="center" o:hrstd="t" o:hr="t"/>
        </w:pict>
      </w:r>
    </w:p>
    <w:bookmarkEnd w:id="12"/>
    <w:bookmarkStart w:id="13" w:name="reviewer-5"/>
    <w:p>
      <w:pPr>
        <w:pStyle w:val="Heading2"/>
      </w:pPr>
      <w:r>
        <w:t xml:space="preserve">Reviewer 5</w:t>
      </w:r>
    </w:p>
    <w:p>
      <w:pPr>
        <w:pStyle w:val="FirstParagraph"/>
      </w:pPr>
      <w:r>
        <w:rPr>
          <w:b/>
          <w:bCs/>
        </w:rPr>
        <w:t xml:space="preserve">5.1. I had to hunt through git repos to find records. Some records discussed in the manuscript</w:t>
      </w:r>
      <w:r>
        <w:rPr>
          <w:b/>
          <w:bCs/>
        </w:rPr>
        <w:t xml:space="preserve"> </w:t>
      </w:r>
      <w:r>
        <w:rPr>
          <w:b/>
          <w:bCs/>
        </w:rPr>
        <w:t xml:space="preserve">don’t appear in the repos.</w:t>
      </w:r>
    </w:p>
    <w:p>
      <w:pPr>
        <w:pStyle w:val="BodyText"/>
      </w:pPr>
      <w:r>
        <w:t xml:space="preserve">You were right, and Reviewer 3 found the same thing independently. Beyond the missing files</w:t>
      </w:r>
      <w:r>
        <w:t xml:space="preserve"> </w:t>
      </w:r>
      <w:r>
        <w:t xml:space="preserve">described at 3.6, one cause was specific and avoidable: the AIVS repository’s README described the</w:t>
      </w:r>
      <w:r>
        <w:t xml:space="preserve"> </w:t>
      </w:r>
      <w:r>
        <w:t xml:space="preserve">release as shipping the meta-schema only, with adapters and examples out of scope. That was true</w:t>
      </w:r>
      <w:r>
        <w:t xml:space="preserve"> </w:t>
      </w:r>
      <w:r>
        <w:t xml:space="preserve">of an earlier version and false of the released one, so a reader landing on the repository was</w:t>
      </w:r>
      <w:r>
        <w:t xml:space="preserve"> </w:t>
      </w:r>
      <w:r>
        <w:t xml:space="preserve">told the audit records did not exist. It is corrected, and both repositories now carry a README</w:t>
      </w:r>
      <w:r>
        <w:t xml:space="preserve"> </w:t>
      </w:r>
      <w:r>
        <w:t xml:space="preserve">mapping each manuscript claim to its supporting file.</w:t>
      </w:r>
    </w:p>
    <w:p>
      <w:pPr>
        <w:pStyle w:val="BodyText"/>
      </w:pPr>
      <w:r>
        <w:rPr>
          <w:b/>
          <w:bCs/>
        </w:rPr>
        <w:t xml:space="preserve">5.2. It’s impossible to parse the records because they aren’t documented in much detail in the</w:t>
      </w:r>
      <w:r>
        <w:rPr>
          <w:b/>
          <w:bCs/>
        </w:rPr>
        <w:t xml:space="preserve"> </w:t>
      </w:r>
      <w:r>
        <w:rPr>
          <w:b/>
          <w:bCs/>
        </w:rPr>
        <w:t xml:space="preserve">manuscript.</w:t>
      </w:r>
    </w:p>
    <w:p>
      <w:pPr>
        <w:pStyle w:val="BodyText"/>
      </w:pPr>
      <w:r>
        <w:t xml:space="preserve">New Table 2 maps each finding to its record, its audit document, and its corrected output. Section</w:t>
      </w:r>
      <w:r>
        <w:t xml:space="preserve"> </w:t>
      </w:r>
      <w:r>
        <w:t xml:space="preserve">3 is rewritten around the six entity types the records actually use, so the vocabulary in the</w:t>
      </w:r>
      <w:r>
        <w:t xml:space="preserve"> </w:t>
      </w:r>
      <w:r>
        <w:t xml:space="preserve">manuscript now matches the vocabulary in the files.</w:t>
      </w:r>
    </w:p>
    <w:p>
      <w:pPr>
        <w:pStyle w:val="BodyText"/>
      </w:pPr>
      <w:r>
        <w:rPr>
          <w:b/>
          <w:bCs/>
        </w:rPr>
        <w:t xml:space="preserve">5.3. Why include an audit of all references? This makes it impossible to disentangle what was</w:t>
      </w:r>
      <w:r>
        <w:rPr>
          <w:b/>
          <w:bCs/>
        </w:rPr>
        <w:t xml:space="preserve"> </w:t>
      </w:r>
      <w:r>
        <w:rPr>
          <w:b/>
          <w:bCs/>
        </w:rPr>
        <w:t xml:space="preserve">AI generated and human generated.</w:t>
      </w:r>
    </w:p>
    <w:p>
      <w:pPr>
        <w:pStyle w:val="BodyText"/>
      </w:pPr>
      <w:r>
        <w:t xml:space="preserve">Section 4.3 now states the reason. The boundary between AI-suggested and author-supplied</w:t>
      </w:r>
      <w:r>
        <w:t xml:space="preserve"> </w:t>
      </w:r>
      <w:r>
        <w:t xml:space="preserve">citations in a drafted bibliography is not recoverable after the fact; the drafting process</w:t>
      </w:r>
      <w:r>
        <w:t xml:space="preserve"> </w:t>
      </w:r>
      <w:r>
        <w:t xml:space="preserve">interleaves them and no artifact records which was which. Auditing all references costs less than</w:t>
      </w:r>
      <w:r>
        <w:t xml:space="preserve"> </w:t>
      </w:r>
      <w:r>
        <w:t xml:space="preserve">reconstructing that boundary would, and produces a stronger guarantee.</w:t>
      </w:r>
    </w:p>
    <w:p>
      <w:pPr>
        <w:pStyle w:val="BodyText"/>
      </w:pPr>
      <w:r>
        <w:rPr>
          <w:b/>
          <w:bCs/>
        </w:rPr>
        <w:t xml:space="preserve">5.4. Why include AI-generated references at all? If the authors haven’t read them it seems</w:t>
      </w:r>
      <w:r>
        <w:rPr>
          <w:b/>
          <w:bCs/>
        </w:rPr>
        <w:t xml:space="preserve"> </w:t>
      </w:r>
      <w:r>
        <w:rPr>
          <w:b/>
          <w:bCs/>
        </w:rPr>
        <w:t xml:space="preserve">inappropriate. For content produced by an AI, wouldn’t the correct attribution be to the AI?</w:t>
      </w:r>
      <w:r>
        <w:rPr>
          <w:b/>
          <w:bCs/>
        </w:rPr>
        <w:t xml:space="preserve"> </w:t>
      </w:r>
      <w:r>
        <w:rPr>
          <w:b/>
          <w:bCs/>
        </w:rPr>
        <w:t xml:space="preserve">(Declined)</w:t>
      </w:r>
    </w:p>
    <w:p>
      <w:pPr>
        <w:pStyle w:val="BodyText"/>
      </w:pPr>
      <w:r>
        <w:t xml:space="preserve">We decline the premise rather than the concern. A reference is not AI-authored content. Where a</w:t>
      </w:r>
      <w:r>
        <w:t xml:space="preserve"> </w:t>
      </w:r>
      <w:r>
        <w:t xml:space="preserve">model suggested a citation, an author read the source and assessed its relevance before it</w:t>
      </w:r>
      <w:r>
        <w:t xml:space="preserve"> </w:t>
      </w:r>
      <w:r>
        <w:t xml:space="preserve">entered the manuscript, and the record holds the suggestion and the human verification as</w:t>
      </w:r>
      <w:r>
        <w:t xml:space="preserve"> </w:t>
      </w:r>
      <w:r>
        <w:t xml:space="preserve">separate entries. Attribution belongs to the author who chose to stand behind the citation, which</w:t>
      </w:r>
      <w:r>
        <w:t xml:space="preserve"> </w:t>
      </w:r>
      <w:r>
        <w:t xml:space="preserve">is the same standard that applies to a reference found through any other search tool. We agree</w:t>
      </w:r>
      <w:r>
        <w:t xml:space="preserve"> </w:t>
      </w:r>
      <w:r>
        <w:t xml:space="preserve">entirely that citing unread references is inappropriate, which is why every reference here was</w:t>
      </w:r>
      <w:r>
        <w:t xml:space="preserve"> </w:t>
      </w:r>
      <w:r>
        <w:t xml:space="preserve">read, and why §4.3 now says so.</w:t>
      </w:r>
    </w:p>
    <w:p>
      <w:pPr>
        <w:pStyle w:val="BodyText"/>
      </w:pPr>
      <w:r>
        <w:rPr>
          <w:b/>
          <w:bCs/>
        </w:rPr>
        <w:t xml:space="preserve">5.5. Substantially more context is needed for the case study.</w:t>
      </w:r>
    </w:p>
    <w:p>
      <w:pPr>
        <w:pStyle w:val="BodyText"/>
      </w:pPr>
      <w:r>
        <w:t xml:space="preserve">See 4.1.</w:t>
      </w:r>
    </w:p>
    <w:p>
      <w:pPr>
        <w:pStyle w:val="BodyText"/>
      </w:pPr>
      <w:r>
        <w:rPr>
          <w:b/>
          <w:bCs/>
        </w:rPr>
        <w:t xml:space="preserve">5.6. The case study includes data dumps that are difficult or impossible to parse.</w:t>
      </w:r>
    </w:p>
    <w:p>
      <w:pPr>
        <w:pStyle w:val="BodyText"/>
      </w:pPr>
      <w:r>
        <w:t xml:space="preserve">Section 4.4 no longer presents results as a sequence of numbers. Interpretation leads, the</w:t>
      </w:r>
      <w:r>
        <w:t xml:space="preserve"> </w:t>
      </w:r>
      <w:r>
        <w:t xml:space="preserve">numbers support it, and the repetitive provenance sentences that followed each finding in §4.2</w:t>
      </w:r>
      <w:r>
        <w:t xml:space="preserve"> </w:t>
      </w:r>
      <w:r>
        <w:t xml:space="preserve">have moved into Table 2.</w:t>
      </w:r>
    </w:p>
    <w:p>
      <w:pPr>
        <w:pStyle w:val="BodyText"/>
      </w:pPr>
      <w:r>
        <w:rPr>
          <w:b/>
          <w:bCs/>
        </w:rPr>
        <w:t xml:space="preserve">5.7. It’s not clear where the authors imagine AIVS being used. Are the records for reviewers, or</w:t>
      </w:r>
      <w:r>
        <w:rPr>
          <w:b/>
          <w:bCs/>
        </w:rPr>
        <w:t xml:space="preserve"> </w:t>
      </w:r>
      <w:r>
        <w:rPr>
          <w:b/>
          <w:bCs/>
        </w:rPr>
        <w:t xml:space="preserve">just for authors, or both?</w:t>
      </w:r>
    </w:p>
    <w:p>
      <w:pPr>
        <w:pStyle w:val="BodyText"/>
      </w:pPr>
      <w:r>
        <w:t xml:space="preserve">This was never stated and now is, in §3.4. Authors produce the record; readers, reviewers, and</w:t>
      </w:r>
      <w:r>
        <w:t xml:space="preserve"> </w:t>
      </w:r>
      <w:r>
        <w:t xml:space="preserve">downstream researchers consume it. It is not a submission requirement and nothing in the paper</w:t>
      </w:r>
      <w:r>
        <w:t xml:space="preserve"> </w:t>
      </w:r>
      <w:r>
        <w:t xml:space="preserve">depends on a venue adopting it. Whether editors should require such records is a policy question</w:t>
      </w:r>
      <w:r>
        <w:t xml:space="preserve"> </w:t>
      </w:r>
      <w:r>
        <w:t xml:space="preserve">we explicitly place out of scope.</w:t>
      </w:r>
    </w:p>
    <w:p>
      <w:pPr>
        <w:pStyle w:val="BodyText"/>
      </w:pPr>
      <w:r>
        <w:rPr>
          <w:b/>
          <w:bCs/>
        </w:rPr>
        <w:t xml:space="preserve">5.8. Reproducibility seems out of reach. How would only knowing when one used a model let</w:t>
      </w:r>
      <w:r>
        <w:rPr>
          <w:b/>
          <w:bCs/>
        </w:rPr>
        <w:t xml:space="preserve"> </w:t>
      </w:r>
      <w:r>
        <w:rPr>
          <w:b/>
          <w:bCs/>
        </w:rPr>
        <w:t xml:space="preserve">another reproduce the results?</w:t>
      </w:r>
    </w:p>
    <w:p>
      <w:pPr>
        <w:pStyle w:val="BodyText"/>
      </w:pPr>
      <w:r>
        <w:t xml:space="preserve">This is the strongest objection in your review and the submitted §2.3 did not engage it. Section</w:t>
      </w:r>
      <w:r>
        <w:t xml:space="preserve"> </w:t>
      </w:r>
      <w:r>
        <w:t xml:space="preserve">2.3 now states the objection first, then separates two things. The pipeline is ordinary</w:t>
      </w:r>
      <w:r>
        <w:t xml:space="preserve"> </w:t>
      </w:r>
      <w:r>
        <w:t xml:space="preserve">computation and reruns to the same numbers from pinned inputs; that is what the reported results</w:t>
      </w:r>
      <w:r>
        <w:t xml:space="preserve"> </w:t>
      </w:r>
      <w:r>
        <w:t xml:space="preserve">rest on. Generative invocation is not reproducible and no schema makes it so. The target is</w:t>
      </w:r>
      <w:r>
        <w:t xml:space="preserve"> </w:t>
      </w:r>
      <w:r>
        <w:t xml:space="preserve">therefore deposit rather than regeneration: what a reader cannot regenerate they can still</w:t>
      </w:r>
      <w:r>
        <w:t xml:space="preserve"> </w:t>
      </w:r>
      <w:r>
        <w:t xml:space="preserve">inspect. AI-written code is the clear case, since producing it was nondeterministic but the code</w:t>
      </w:r>
      <w:r>
        <w:t xml:space="preserve"> </w:t>
      </w:r>
      <w:r>
        <w:t xml:space="preserve">is a file and running it is as reproducible as any script.</w:t>
      </w:r>
    </w:p>
    <w:p>
      <w:pPr>
        <w:pStyle w:val="BodyText"/>
      </w:pPr>
      <w:r>
        <w:t xml:space="preserve">We apply the same standard to the audit record itself. Re-running the audit script regenerates</w:t>
      </w:r>
      <w:r>
        <w:t xml:space="preserve"> </w:t>
      </w:r>
      <w:r>
        <w:t xml:space="preserve">fresh identifiers, so its output does not match the deposited copy byte for byte. Section 4.3 and</w:t>
      </w:r>
      <w:r>
        <w:t xml:space="preserve"> </w:t>
      </w:r>
      <w:r>
        <w:t xml:space="preserve">the repository both state this rather than leaving a reader to discover that a provenance paper</w:t>
      </w:r>
      <w:r>
        <w:t xml:space="preserve"> </w:t>
      </w:r>
      <w:r>
        <w:t xml:space="preserve">ships an artifact that fails checksum reproduction.</w:t>
      </w:r>
    </w:p>
    <w:p>
      <w:pPr>
        <w:pStyle w:val="BodyText"/>
      </w:pPr>
      <w:r>
        <w:rPr>
          <w:b/>
          <w:bCs/>
        </w:rPr>
        <w:t xml:space="preserve">5.9. Define AIVS. What’s the difference between AIVS and AIVS-VAR?</w:t>
      </w:r>
    </w:p>
    <w:p>
      <w:pPr>
        <w:pStyle w:val="BodyText"/>
      </w:pPr>
      <w:r>
        <w:t xml:space="preserve">There is none; the compound term was an artifact of earlier drafts and should not have survived.</w:t>
      </w:r>
      <w:r>
        <w:t xml:space="preserve"> </w:t>
      </w:r>
      <w:r>
        <w:t xml:space="preserve">It is removed from the manuscript, the audit scripts, and the deposited records. AIVS is the</w:t>
      </w:r>
      <w:r>
        <w:t xml:space="preserve"> </w:t>
      </w:r>
      <w:r>
        <w:t xml:space="preserve">schema. VAR names the three properties it records.</w:t>
      </w:r>
    </w:p>
    <w:p>
      <w:pPr>
        <w:pStyle w:val="BodyText"/>
      </w:pPr>
      <w:r>
        <w:rPr>
          <w:b/>
          <w:bCs/>
        </w:rPr>
        <w:t xml:space="preserve">5.10. The text is extraordinarily dense and monotonous.</w:t>
      </w:r>
    </w:p>
    <w:p>
      <w:pPr>
        <w:pStyle w:val="BodyText"/>
      </w:pPr>
      <w:r>
        <w:t xml:space="preserve">See 4.2. The repeated provenance sentence in §4.2, which appeared in near-identical form after</w:t>
      </w:r>
      <w:r>
        <w:t xml:space="preserve"> </w:t>
      </w:r>
      <w:r>
        <w:t xml:space="preserve">each of the five findings, was a specific contributor and has moved into a table.</w:t>
      </w:r>
    </w:p>
    <w:p>
      <w:pPr>
        <w:pStyle w:val="BodyText"/>
      </w:pPr>
      <w:r>
        <w:rPr>
          <w:b/>
          <w:bCs/>
        </w:rPr>
        <w:t xml:space="preserve">5.11. There’s overlapping text in the figures.</w:t>
      </w:r>
    </w:p>
    <w:p>
      <w:pPr>
        <w:pStyle w:val="BodyText"/>
      </w:pPr>
      <w:r>
        <w:t xml:space="preserve">Both figures are regenerated with the overlap corrected.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2026-09-09T01:37:30Z</dcterms:created>
  <dcterms:modified xsi:type="dcterms:W3CDTF">2026-09-09T01:37:30Z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